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Hughes Von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03/01/2021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TRADEWEB MARKETS INC.</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20" w:type="dxa"/>
            <w:vAlign w:val="bottom"/>
          </w:tcPr>
          <w:p>
            <w:pPr>
              <w:ind w:left="80"/>
              <w:spacing w:after="0"/>
              <w:rPr>
                <w:sz w:val="20"/>
                <w:szCs w:val="20"/>
                <w:color w:val="auto"/>
              </w:rPr>
            </w:pPr>
            <w:r>
              <w:rPr>
                <w:rFonts w:ascii="Arial" w:cs="Arial" w:eastAsia="Arial" w:hAnsi="Arial"/>
                <w:sz w:val="15"/>
                <w:szCs w:val="15"/>
                <w:color w:val="auto"/>
                <w:w w:val="95"/>
              </w:rPr>
              <w:t>3.</w:t>
            </w:r>
          </w:p>
        </w:tc>
        <w:tc>
          <w:tcPr>
            <w:tcW w:w="3000" w:type="dxa"/>
            <w:vAlign w:val="bottom"/>
          </w:tcPr>
          <w:p>
            <w:pPr>
              <w:ind w:left="20"/>
              <w:spacing w:after="0"/>
              <w:rPr>
                <w:sz w:val="20"/>
                <w:szCs w:val="20"/>
                <w:color w:val="auto"/>
              </w:rPr>
            </w:pPr>
            <w:r>
              <w:rPr>
                <w:rFonts w:ascii="Arial" w:cs="Arial" w:eastAsia="Arial" w:hAnsi="Arial"/>
                <w:sz w:val="15"/>
                <w:szCs w:val="15"/>
                <w:color w:val="auto"/>
              </w:rPr>
              <w:t xml:space="preserve">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tc>
        <w:tc>
          <w:tcPr>
            <w:tcW w:w="2780" w:type="dxa"/>
            <w:vAlign w:val="bottom"/>
          </w:tcPr>
          <w:p>
            <w:pPr>
              <w:spacing w:after="0"/>
              <w:rPr>
                <w:sz w:val="14"/>
                <w:szCs w:val="14"/>
                <w:color w:val="auto"/>
              </w:rPr>
            </w:pPr>
          </w:p>
        </w:tc>
      </w:tr>
      <w:tr>
        <w:trPr>
          <w:trHeight w:val="306"/>
        </w:trPr>
        <w:tc>
          <w:tcPr>
            <w:tcW w:w="3220" w:type="dxa"/>
            <w:vAlign w:val="bottom"/>
            <w:gridSpan w:val="2"/>
          </w:tcPr>
          <w:p>
            <w:pPr>
              <w:ind w:left="80"/>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Tradeweb Markets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TW</w:t>
            </w:r>
            <w:r>
              <w:rPr>
                <w:rFonts w:ascii="Arial" w:cs="Arial" w:eastAsia="Arial" w:hAnsi="Arial"/>
                <w:sz w:val="24"/>
                <w:szCs w:val="24"/>
                <w:color w:val="0000EE"/>
              </w:rPr>
              <w:t xml:space="preserve"> </w:t>
            </w:r>
            <w:r>
              <w:rPr>
                <w:rFonts w:ascii="Arial" w:cs="Arial" w:eastAsia="Arial" w:hAnsi="Arial"/>
                <w:sz w:val="24"/>
                <w:szCs w:val="24"/>
                <w:color w:val="000000"/>
              </w:rPr>
              <w:t>]</w:t>
            </w:r>
          </w:p>
        </w:tc>
        <w:tc>
          <w:tcPr>
            <w:tcW w:w="2780" w:type="dxa"/>
            <w:vAlign w:val="bottom"/>
          </w:tcPr>
          <w:p>
            <w:pPr>
              <w:spacing w:after="0"/>
              <w:rPr>
                <w:sz w:val="24"/>
                <w:szCs w:val="24"/>
                <w:color w:val="auto"/>
              </w:rPr>
            </w:pPr>
          </w:p>
        </w:tc>
      </w:tr>
      <w:tr>
        <w:trPr>
          <w:trHeight w:val="313"/>
        </w:trPr>
        <w:tc>
          <w:tcPr>
            <w:tcW w:w="2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r>
      <w:tr>
        <w:trPr>
          <w:trHeight w:val="224"/>
        </w:trPr>
        <w:tc>
          <w:tcPr>
            <w:tcW w:w="220" w:type="dxa"/>
            <w:vAlign w:val="bottom"/>
          </w:tcPr>
          <w:p>
            <w:pPr>
              <w:ind w:left="80"/>
              <w:spacing w:after="0"/>
              <w:rPr>
                <w:sz w:val="20"/>
                <w:szCs w:val="20"/>
                <w:color w:val="auto"/>
              </w:rPr>
            </w:pPr>
            <w:r>
              <w:rPr>
                <w:rFonts w:ascii="Arial" w:cs="Arial" w:eastAsia="Arial" w:hAnsi="Arial"/>
                <w:sz w:val="15"/>
                <w:szCs w:val="15"/>
                <w:color w:val="auto"/>
                <w:w w:val="95"/>
              </w:rPr>
              <w:t>4.</w:t>
            </w:r>
          </w:p>
        </w:tc>
        <w:tc>
          <w:tcPr>
            <w:tcW w:w="3000" w:type="dxa"/>
            <w:vAlign w:val="bottom"/>
          </w:tcPr>
          <w:p>
            <w:pPr>
              <w:ind w:left="20"/>
              <w:spacing w:after="0"/>
              <w:rPr>
                <w:sz w:val="20"/>
                <w:szCs w:val="20"/>
                <w:color w:val="auto"/>
              </w:rPr>
            </w:pPr>
            <w:r>
              <w:rPr>
                <w:rFonts w:ascii="Arial" w:cs="Arial" w:eastAsia="Arial" w:hAnsi="Arial"/>
                <w:sz w:val="15"/>
                <w:szCs w:val="15"/>
                <w:color w:val="auto"/>
              </w:rPr>
              <w:t>Relationship of Reporting Person(s) to</w:t>
            </w:r>
          </w:p>
        </w:tc>
        <w:tc>
          <w:tcPr>
            <w:tcW w:w="2780" w:type="dxa"/>
            <w:vAlign w:val="bottom"/>
          </w:tcPr>
          <w:p>
            <w:pPr>
              <w:ind w:left="120"/>
              <w:spacing w:after="0"/>
              <w:rPr>
                <w:sz w:val="20"/>
                <w:szCs w:val="20"/>
                <w:color w:val="auto"/>
              </w:rPr>
            </w:pPr>
            <w:r>
              <w:rPr>
                <w:rFonts w:ascii="Arial" w:cs="Arial" w:eastAsia="Arial" w:hAnsi="Arial"/>
                <w:sz w:val="15"/>
                <w:szCs w:val="15"/>
                <w:color w:val="auto"/>
              </w:rPr>
              <w:t>5. If Amendment, Date of Original</w:t>
            </w:r>
          </w:p>
        </w:tc>
      </w:tr>
      <w:tr>
        <w:trPr>
          <w:trHeight w:val="165"/>
        </w:trPr>
        <w:tc>
          <w:tcPr>
            <w:tcW w:w="3220" w:type="dxa"/>
            <w:vAlign w:val="bottom"/>
            <w:gridSpan w:val="2"/>
          </w:tcPr>
          <w:p>
            <w:pPr>
              <w:ind w:left="80"/>
              <w:spacing w:after="0" w:line="165" w:lineRule="exact"/>
              <w:rPr>
                <w:sz w:val="20"/>
                <w:szCs w:val="20"/>
                <w:color w:val="auto"/>
              </w:rPr>
            </w:pPr>
            <w:r>
              <w:rPr>
                <w:rFonts w:ascii="Arial" w:cs="Arial" w:eastAsia="Arial" w:hAnsi="Arial"/>
                <w:sz w:val="15"/>
                <w:szCs w:val="15"/>
                <w:color w:val="auto"/>
              </w:rPr>
              <w:t>Issuer</w:t>
            </w:r>
          </w:p>
        </w:tc>
        <w:tc>
          <w:tcPr>
            <w:tcW w:w="2780" w:type="dxa"/>
            <w:vAlign w:val="bottom"/>
          </w:tcPr>
          <w:p>
            <w:pPr>
              <w:ind w:left="120"/>
              <w:spacing w:after="0" w:line="165" w:lineRule="exact"/>
              <w:rPr>
                <w:sz w:val="20"/>
                <w:szCs w:val="20"/>
                <w:color w:val="auto"/>
              </w:rPr>
            </w:pPr>
            <w:r>
              <w:rPr>
                <w:rFonts w:ascii="Arial" w:cs="Arial" w:eastAsia="Arial" w:hAnsi="Arial"/>
                <w:sz w:val="15"/>
                <w:szCs w:val="15"/>
                <w:color w:val="auto"/>
              </w:rPr>
              <w:t>Filed (Month/Day/Year)</w:t>
            </w:r>
          </w:p>
        </w:tc>
      </w:tr>
      <w:tr>
        <w:trPr>
          <w:trHeight w:val="180"/>
        </w:trPr>
        <w:tc>
          <w:tcPr>
            <w:tcW w:w="3220" w:type="dxa"/>
            <w:vAlign w:val="bottom"/>
            <w:gridSpan w:val="2"/>
          </w:tcPr>
          <w:p>
            <w:pPr>
              <w:ind w:left="80"/>
              <w:spacing w:after="0"/>
              <w:rPr>
                <w:sz w:val="20"/>
                <w:szCs w:val="20"/>
                <w:color w:val="auto"/>
              </w:rPr>
            </w:pPr>
            <w:r>
              <w:rPr>
                <w:rFonts w:ascii="Arial" w:cs="Arial" w:eastAsia="Arial" w:hAnsi="Arial"/>
                <w:sz w:val="15"/>
                <w:szCs w:val="15"/>
                <w:color w:val="auto"/>
              </w:rPr>
              <w:t>(Check all applicable)</w:t>
            </w:r>
          </w:p>
        </w:tc>
        <w:tc>
          <w:tcPr>
            <w:tcW w:w="2780" w:type="dxa"/>
            <w:vAlign w:val="bottom"/>
          </w:tcPr>
          <w:p>
            <w:pPr>
              <w:spacing w:after="0"/>
              <w:rPr>
                <w:sz w:val="15"/>
                <w:szCs w:val="15"/>
                <w:color w:val="auto"/>
              </w:rPr>
            </w:pPr>
          </w:p>
        </w:tc>
      </w:tr>
    </w:tbl>
    <w:p>
      <w:pPr>
        <w:spacing w:after="0" w:line="12" w:lineRule="exact"/>
        <w:rPr>
          <w:sz w:val="24"/>
          <w:szCs w:val="24"/>
          <w:color w:val="auto"/>
        </w:rPr>
      </w:pPr>
    </w:p>
    <w:p>
      <w:pPr>
        <w:sectPr>
          <w:pgSz w:w="11900" w:h="16838" w:orient="portrait"/>
          <w:cols w:equalWidth="0" w:num="2">
            <w:col w:w="4720" w:space="200"/>
            <w:col w:w="6020"/>
          </w:cols>
          <w:pgMar w:left="480" w:top="236" w:right="479" w:bottom="1440" w:gutter="0" w:footer="0" w:header="0"/>
          <w:type w:val="continuous"/>
        </w:sectPr>
      </w:pPr>
    </w:p>
    <w:p>
      <w:pPr>
        <w:spacing w:after="0" w:line="69"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1177 AVENUE OF THE AMERICAS</w:t>
      </w:r>
    </w:p>
    <w:p>
      <w:pPr>
        <w:spacing w:after="0" w:line="35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214" w:lineRule="auto"/>
        <w:tabs>
          <w:tab w:leader="none" w:pos="1140" w:val="left"/>
          <w:tab w:leader="none" w:pos="2180" w:val="left"/>
        </w:tabs>
        <w:rPr>
          <w:sz w:val="20"/>
          <w:szCs w:val="20"/>
          <w:color w:val="auto"/>
        </w:rPr>
      </w:pPr>
      <w:r>
        <w:rPr>
          <w:rFonts w:ascii="Arial" w:cs="Arial" w:eastAsia="Arial" w:hAnsi="Arial"/>
          <w:sz w:val="19"/>
          <w:szCs w:val="19"/>
          <w:color w:val="0000FF"/>
          <w:vertAlign w:val="superscript"/>
        </w:rPr>
        <w:t>NEW</w:t>
      </w:r>
      <w:r>
        <w:rPr>
          <w:sz w:val="20"/>
          <w:szCs w:val="20"/>
          <w:color w:val="auto"/>
        </w:rPr>
        <w:tab/>
      </w:r>
      <w:r>
        <w:rPr>
          <w:rFonts w:ascii="Arial" w:cs="Arial" w:eastAsia="Arial" w:hAnsi="Arial"/>
          <w:sz w:val="13"/>
          <w:szCs w:val="13"/>
          <w:color w:val="0000FF"/>
        </w:rPr>
        <w:t>NY</w:t>
      </w:r>
      <w:r>
        <w:rPr>
          <w:sz w:val="20"/>
          <w:szCs w:val="20"/>
          <w:color w:val="auto"/>
        </w:rPr>
        <w:tab/>
      </w:r>
      <w:r>
        <w:rPr>
          <w:rFonts w:ascii="Arial" w:cs="Arial" w:eastAsia="Arial" w:hAnsi="Arial"/>
          <w:sz w:val="16"/>
          <w:szCs w:val="16"/>
          <w:color w:val="0000FF"/>
        </w:rPr>
        <w:t>10036</w:t>
      </w:r>
    </w:p>
    <w:p>
      <w:pPr>
        <w:spacing w:after="0" w:line="12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YORK</w:t>
      </w:r>
    </w:p>
    <w:p>
      <w:pPr>
        <w:spacing w:after="0" w:line="20" w:lineRule="exact"/>
        <w:rPr>
          <w:sz w:val="24"/>
          <w:szCs w:val="24"/>
          <w:color w:val="auto"/>
        </w:rPr>
      </w:pPr>
      <w:r>
        <w:rPr>
          <w:sz w:val="24"/>
          <w:szCs w:val="24"/>
          <w:color w:val="auto"/>
        </w:rPr>
        <w:br w:type="column"/>
      </w:r>
    </w:p>
    <w:p>
      <w:pPr>
        <w:spacing w:after="0"/>
        <w:tabs>
          <w:tab w:leader="none" w:pos="320" w:val="left"/>
          <w:tab w:leader="none" w:pos="1860"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14"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340"/>
        <w:spacing w:after="0"/>
        <w:tabs>
          <w:tab w:leader="none" w:pos="1860"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ind w:left="-9" w:right="480" w:firstLine="9"/>
        <w:spacing w:after="0" w:line="239" w:lineRule="auto"/>
        <w:tabs>
          <w:tab w:leader="none" w:pos="158" w:val="left"/>
        </w:tabs>
        <w:numPr>
          <w:ilvl w:val="0"/>
          <w:numId w:val="1"/>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2"/>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3" w:lineRule="exact"/>
        <w:rPr>
          <w:sz w:val="24"/>
          <w:szCs w:val="24"/>
          <w:color w:val="auto"/>
        </w:rPr>
      </w:pPr>
    </w:p>
    <w:p>
      <w:pPr>
        <w:sectPr>
          <w:pgSz w:w="11900" w:h="16838" w:orient="portrait"/>
          <w:cols w:equalWidth="0" w:num="3">
            <w:col w:w="4460" w:space="720"/>
            <w:col w:w="2820" w:space="269"/>
            <w:col w:w="2671"/>
          </w:cols>
          <w:pgMar w:left="480" w:top="236" w:right="479" w:bottom="1440" w:gutter="0" w:footer="0" w:header="0"/>
          <w:type w:val="continuous"/>
        </w:sectPr>
      </w:pPr>
    </w:p>
    <w:p>
      <w:pPr>
        <w:spacing w:after="0" w:line="16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Scott Zucker,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03/03/2021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 for Von Hughes</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8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360" w:type="dxa"/>
            <w:vAlign w:val="bottom"/>
            <w:gridSpan w:val="2"/>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4"/>
          <w:szCs w:val="24"/>
          <w:color w:val="auto"/>
        </w:rPr>
        <w:t>POWER OF ATTORNEY</w:t>
      </w:r>
    </w:p>
    <w:p>
      <w:pPr>
        <w:spacing w:after="0" w:line="174" w:lineRule="exact"/>
        <w:rPr>
          <w:sz w:val="20"/>
          <w:szCs w:val="20"/>
          <w:color w:val="auto"/>
        </w:rPr>
      </w:pPr>
    </w:p>
    <w:p>
      <w:pPr>
        <w:jc w:val="both"/>
        <w:ind w:right="220" w:firstLine="720"/>
        <w:spacing w:after="0" w:line="247" w:lineRule="auto"/>
        <w:rPr>
          <w:sz w:val="20"/>
          <w:szCs w:val="20"/>
          <w:color w:val="auto"/>
        </w:rPr>
      </w:pPr>
      <w:r>
        <w:rPr>
          <w:rFonts w:ascii="Arial" w:cs="Arial" w:eastAsia="Arial" w:hAnsi="Arial"/>
          <w:sz w:val="24"/>
          <w:szCs w:val="24"/>
          <w:color w:val="auto"/>
        </w:rPr>
        <w:t>Know all by these presents, that the undersigned hereby constitutes and appoints Scott Zucker, Douglas Friedman, and Scott Wells, and each of them, with full power of substitution, the undersigned’s true and lawful attorneys-in-fact to:</w:t>
      </w:r>
    </w:p>
    <w:p>
      <w:pPr>
        <w:spacing w:after="0" w:line="146" w:lineRule="exact"/>
        <w:rPr>
          <w:sz w:val="20"/>
          <w:szCs w:val="20"/>
          <w:color w:val="auto"/>
        </w:rPr>
      </w:pPr>
    </w:p>
    <w:p>
      <w:pPr>
        <w:ind w:left="1440" w:right="20" w:hanging="720"/>
        <w:spacing w:after="0" w:line="289" w:lineRule="auto"/>
        <w:tabs>
          <w:tab w:leader="none" w:pos="1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executive officer, director and/or beneficial owner of equity securities of Tradeweb Markets Inc. (the “</w:t>
      </w:r>
      <w:r>
        <w:rPr>
          <w:rFonts w:ascii="Arial" w:cs="Arial" w:eastAsia="Arial" w:hAnsi="Arial"/>
          <w:sz w:val="18"/>
          <w:szCs w:val="18"/>
          <w:u w:val="single" w:color="auto"/>
          <w:color w:val="auto"/>
        </w:rPr>
        <w:t>Company</w:t>
      </w:r>
      <w:r>
        <w:rPr>
          <w:rFonts w:ascii="Arial" w:cs="Arial" w:eastAsia="Arial" w:hAnsi="Arial"/>
          <w:sz w:val="18"/>
          <w:szCs w:val="18"/>
          <w:color w:val="auto"/>
        </w:rPr>
        <w:t>”), (i) any forms required to be filed by the undersigned pursuant to Rule 144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(ii) Forms 3, 4, and 5 in accordance with Section 16(a) of the Exchange Act, (iii) Schedules 13D and 13G in accordance with Section 13 of the Exchange Act, and (iv) any other forms or reports the undersigned may be required to file in connection with the undersigned’s ownership, acquisition, or disposition of securities of the Company;</w:t>
      </w:r>
    </w:p>
    <w:p>
      <w:pPr>
        <w:spacing w:after="0" w:line="305" w:lineRule="exact"/>
        <w:rPr>
          <w:rFonts w:ascii="Arial" w:cs="Arial" w:eastAsia="Arial" w:hAnsi="Arial"/>
          <w:sz w:val="18"/>
          <w:szCs w:val="18"/>
          <w:color w:val="auto"/>
        </w:rPr>
      </w:pPr>
    </w:p>
    <w:p>
      <w:pPr>
        <w:ind w:left="1440" w:hanging="720"/>
        <w:spacing w:after="0" w:line="272" w:lineRule="auto"/>
        <w:tabs>
          <w:tab w:leader="none" w:pos="1440" w:val="left"/>
        </w:tabs>
        <w:numPr>
          <w:ilvl w:val="0"/>
          <w:numId w:val="4"/>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(i) form required to be filed by the undersigned pursuant to Rule 144 under the Securities Act, (ii) Form 3, 4, or 5 under Section 16(a) of the Exchange Act, (iii) Schedule 13D or 13G under Section 13 of the Exchange Act, or (iv) other form or report, including, without limitation, all forms or reports necessary to obtain EDGAR Identification Numbers, and timely file such form or report with the United States Securities and Exchange Commission and any stock exchange or similar authority; and</w:t>
      </w:r>
    </w:p>
    <w:p>
      <w:pPr>
        <w:spacing w:after="0" w:line="315" w:lineRule="exact"/>
        <w:rPr>
          <w:rFonts w:ascii="Arial" w:cs="Arial" w:eastAsia="Arial" w:hAnsi="Arial"/>
          <w:sz w:val="19"/>
          <w:szCs w:val="19"/>
          <w:color w:val="auto"/>
        </w:rPr>
      </w:pPr>
    </w:p>
    <w:p>
      <w:pPr>
        <w:ind w:left="1440" w:right="40" w:hanging="720"/>
        <w:spacing w:after="0" w:line="257" w:lineRule="auto"/>
        <w:tabs>
          <w:tab w:leader="none" w:pos="1440" w:val="left"/>
        </w:tabs>
        <w:numPr>
          <w:ilvl w:val="0"/>
          <w:numId w:val="4"/>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any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22" w:lineRule="exact"/>
        <w:rPr>
          <w:sz w:val="20"/>
          <w:szCs w:val="20"/>
          <w:color w:val="auto"/>
        </w:rPr>
      </w:pPr>
    </w:p>
    <w:p>
      <w:pPr>
        <w:ind w:firstLine="720"/>
        <w:spacing w:after="0" w:line="249" w:lineRule="auto"/>
        <w:rPr>
          <w:sz w:val="20"/>
          <w:szCs w:val="20"/>
          <w:color w:val="auto"/>
        </w:rPr>
      </w:pPr>
      <w:r>
        <w:rPr>
          <w:rFonts w:ascii="Arial" w:cs="Arial" w:eastAsia="Arial" w:hAnsi="Arial"/>
          <w:sz w:val="23"/>
          <w:szCs w:val="23"/>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Rule 144 under the Securities Act or Sections 13 or 16 of the Exchange Act.</w:t>
      </w:r>
    </w:p>
    <w:p>
      <w:pPr>
        <w:spacing w:after="0" w:line="142" w:lineRule="exact"/>
        <w:rPr>
          <w:sz w:val="20"/>
          <w:szCs w:val="20"/>
          <w:color w:val="auto"/>
        </w:rPr>
      </w:pPr>
    </w:p>
    <w:p>
      <w:pPr>
        <w:ind w:right="80" w:firstLine="720"/>
        <w:spacing w:after="0" w:line="284"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any form required to be filed by the undersigned pursuant to Rule 144 under the Securities Act, any Form 3, 4, or 5 under Section 16(a) of the Exchange Act, or any Schedule 13D or 13G under Section 13 of the Exchange Act with respect to the undersigned’s holdings of and transactions in securities issued by the Company, unless earlier revoked by the undersigned in a signed writing delivered to the foregoing attorneys-in-fact.</w:t>
      </w:r>
    </w:p>
    <w:p>
      <w:pPr>
        <w:spacing w:after="0" w:line="102" w:lineRule="exact"/>
        <w:rPr>
          <w:sz w:val="20"/>
          <w:szCs w:val="20"/>
          <w:color w:val="auto"/>
        </w:rPr>
      </w:pPr>
    </w:p>
    <w:p>
      <w:pPr>
        <w:ind w:right="260" w:firstLine="720"/>
        <w:spacing w:after="0" w:line="266" w:lineRule="auto"/>
        <w:rPr>
          <w:sz w:val="20"/>
          <w:szCs w:val="20"/>
          <w:color w:val="auto"/>
        </w:rPr>
      </w:pPr>
      <w:r>
        <w:rPr>
          <w:rFonts w:ascii="Arial" w:cs="Arial" w:eastAsia="Arial" w:hAnsi="Arial"/>
          <w:sz w:val="24"/>
          <w:szCs w:val="24"/>
          <w:color w:val="auto"/>
        </w:rPr>
        <w:t>IN WITNESS WHEREOF, the undersigned has caused this Power of Attorney to be executed as of this 23</w:t>
      </w:r>
      <w:r>
        <w:rPr>
          <w:rFonts w:ascii="Arial" w:cs="Arial" w:eastAsia="Arial" w:hAnsi="Arial"/>
          <w:sz w:val="40"/>
          <w:szCs w:val="40"/>
          <w:color w:val="auto"/>
          <w:vertAlign w:val="superscript"/>
        </w:rPr>
        <w:t>rd</w:t>
      </w:r>
      <w:r>
        <w:rPr>
          <w:rFonts w:ascii="Arial" w:cs="Arial" w:eastAsia="Arial" w:hAnsi="Arial"/>
          <w:sz w:val="24"/>
          <w:szCs w:val="24"/>
          <w:color w:val="auto"/>
        </w:rPr>
        <w:t xml:space="preserve"> day of February, 2021.</w:t>
      </w:r>
    </w:p>
    <w:p>
      <w:pPr>
        <w:spacing w:after="0" w:line="92"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/s/ Von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16510</wp:posOffset>
            </wp:positionV>
            <wp:extent cx="232537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325370" cy="19050"/>
                    </a:xfrm>
                    <a:prstGeom prst="rect">
                      <a:avLst/>
                    </a:prstGeom>
                    <a:noFill/>
                  </pic:spPr>
                </pic:pic>
              </a:graphicData>
            </a:graphic>
          </wp:anchor>
        </w:drawing>
      </w:r>
    </w:p>
    <w:p>
      <w:pPr>
        <w:spacing w:after="0" w:line="20"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Von Hughes</w:t>
      </w:r>
    </w:p>
    <w:sectPr>
      <w:pgSz w:w="11900" w:h="16838" w:orient="portrait"/>
      <w:cols w:equalWidth="0" w:num="1">
        <w:col w:w="10900"/>
      </w:cols>
      <w:pgMar w:left="480" w:top="119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6"/>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48208" TargetMode="External"/><Relationship Id="rId11"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2021-03-03T18:54:09Z</dcterms:created>
  <dcterms:modified xsi:type="dcterms:W3CDTF">2021-03-03T18:54:09Z</dcterms:modified>
</cp:coreProperties>
</file>