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2,337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81,603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17"/>
              <w:spacing w:after="0" w:line="320" w:lineRule="exact"/>
              <w:rPr>
                <w:sz w:val="20"/>
                <w:szCs w:val="20"/>
                <w:color w:val="auto"/>
              </w:rPr>
            </w:pPr>
            <w:r>
              <w:rPr>
                <w:rFonts w:ascii="Times New Roman" w:cs="Times New Roman" w:eastAsia="Times New Roman" w:hAnsi="Times New Roman"/>
                <w:sz w:val="34"/>
                <w:szCs w:val="34"/>
                <w:color w:val="0000FF"/>
                <w:vertAlign w:val="subscript"/>
              </w:rPr>
              <w:t>9</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81,612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6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16,672 unvested RSUs in respect of Class A Common Stock which are scheduled to vest on March 31, 2023, (ii) 4,948 unvested RSUs in respect of Class A Common Stock which are scheduled to vest on March 31, 2024, (iii) 3,619 unvested RSUs in respect of Class A Common Stock which are scheduled to vest on March 31, 2025, (iv) 8,540 unvested RSUs in respect of Class A Common Stock which are scheduled to vest on January 1, 2024, (v) 9,155 unvested RSUs in respect of Class A Common Stock which are scheduled to vest in equal installments on March 15, 2024 and March 15, 2025, (vi) 17,741 unvested RSUs in respect of Class A Common Stock that are scheduled to vest on January 1, 2025, and (vii) 18,688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179"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2023-03-20T18:07:18Z</dcterms:created>
  <dcterms:modified xsi:type="dcterms:W3CDTF">2023-03-20T18:07:18Z</dcterms:modified>
</cp:coreProperties>
</file>