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27, 2022</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October 27, 2022, Tradeweb Markets Inc. (the “Company”) issued a press release, a copy of which is furnished as Exhibit 99.1 hereto and incorporated herein by reference, announcing financial results for the quarter ended September 30, 2022.</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October 27,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674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4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General Counsel</w:t>
            </w:r>
          </w:p>
        </w:tc>
      </w:tr>
    </w:tbl>
    <w:p>
      <w:pPr>
        <w:sectPr>
          <w:pgSz w:w="11900" w:h="16838" w:orient="portrait"/>
          <w:cols w:equalWidth="0" w:num="1">
            <w:col w:w="11240"/>
          </w:cols>
          <w:pgMar w:left="320" w:top="1130"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1"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1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THIRD QUARTER 2022 FINANCIAL RESULTS</w:t>
      </w:r>
    </w:p>
    <w:p>
      <w:pPr>
        <w:spacing w:after="0" w:line="222"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New York, October 27, 2022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64770</wp:posOffset>
            </wp:positionV>
            <wp:extent cx="3077210" cy="2503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7210" cy="2503170"/>
                    </a:xfrm>
                    <a:prstGeom prst="rect">
                      <a:avLst/>
                    </a:prstGeom>
                    <a:noFill/>
                  </pic:spPr>
                </pic:pic>
              </a:graphicData>
            </a:graphic>
          </wp:anchor>
        </w:drawing>
      </w:r>
    </w:p>
    <w:p>
      <w:pPr>
        <w:sectPr>
          <w:pgSz w:w="11900" w:h="16838" w:orient="portrait"/>
          <w:cols w:equalWidth="0" w:num="1">
            <w:col w:w="10940"/>
          </w:cols>
          <w:pgMar w:left="320" w:top="274" w:right="639" w:bottom="1440" w:gutter="0" w:footer="0" w:header="0"/>
        </w:sectPr>
      </w:pPr>
    </w:p>
    <w:p>
      <w:pPr>
        <w:spacing w:after="0" w:line="115"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b w:val="1"/>
          <w:bCs w:val="1"/>
          <w:color w:val="auto"/>
        </w:rPr>
        <w:t xml:space="preserve">$287.1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8.2% </w:t>
      </w:r>
      <w:r>
        <w:rPr>
          <w:rFonts w:ascii="Arial" w:cs="Arial" w:eastAsia="Arial" w:hAnsi="Arial"/>
          <w:sz w:val="16"/>
          <w:szCs w:val="16"/>
          <w:color w:val="auto"/>
        </w:rPr>
        <w:t>(</w:t>
      </w:r>
      <w:r>
        <w:rPr>
          <w:rFonts w:ascii="Arial" w:cs="Arial" w:eastAsia="Arial" w:hAnsi="Arial"/>
          <w:sz w:val="16"/>
          <w:szCs w:val="16"/>
          <w:b w:val="1"/>
          <w:bCs w:val="1"/>
          <w:color w:val="auto"/>
        </w:rPr>
        <w:t xml:space="preserve">13.1% </w:t>
      </w:r>
      <w:r>
        <w:rPr>
          <w:rFonts w:ascii="Arial" w:cs="Arial" w:eastAsia="Arial" w:hAnsi="Arial"/>
          <w:sz w:val="16"/>
          <w:szCs w:val="16"/>
          <w:color w:val="auto"/>
        </w:rPr>
        <w:t>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compared to prior year period</w:t>
      </w:r>
    </w:p>
    <w:p>
      <w:pPr>
        <w:spacing w:after="0" w:line="61" w:lineRule="exact"/>
        <w:rPr>
          <w:sz w:val="20"/>
          <w:szCs w:val="20"/>
          <w:color w:val="auto"/>
        </w:rPr>
      </w:pPr>
    </w:p>
    <w:p>
      <w:pPr>
        <w:ind w:left="20" w:right="40"/>
        <w:spacing w:after="0" w:line="269" w:lineRule="auto"/>
        <w:rPr>
          <w:sz w:val="20"/>
          <w:szCs w:val="20"/>
          <w:color w:val="auto"/>
        </w:rPr>
      </w:pPr>
      <w:r>
        <w:rPr>
          <w:rFonts w:ascii="Arial" w:cs="Arial" w:eastAsia="Arial" w:hAnsi="Arial"/>
          <w:sz w:val="16"/>
          <w:szCs w:val="16"/>
          <w:b w:val="1"/>
          <w:bCs w:val="1"/>
          <w:color w:val="auto"/>
        </w:rPr>
        <w:t xml:space="preserve">$1.1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14.0% </w:t>
      </w:r>
      <w:r>
        <w:rPr>
          <w:rFonts w:ascii="Arial" w:cs="Arial" w:eastAsia="Arial" w:hAnsi="Arial"/>
          <w:sz w:val="16"/>
          <w:szCs w:val="16"/>
          <w:color w:val="auto"/>
        </w:rPr>
        <w:t xml:space="preserve">compared to prior year period, with record ADV in fully electronic U.S. High Grade credit, equity convertibles/swaps/options and institutional municipal bonds. Tradeweb captured a record </w:t>
      </w:r>
      <w:r>
        <w:rPr>
          <w:rFonts w:ascii="Arial" w:cs="Arial" w:eastAsia="Arial" w:hAnsi="Arial"/>
          <w:sz w:val="16"/>
          <w:szCs w:val="16"/>
          <w:b w:val="1"/>
          <w:bCs w:val="1"/>
          <w:color w:val="auto"/>
        </w:rPr>
        <w:t>13.9</w:t>
      </w:r>
      <w:r>
        <w:rPr>
          <w:rFonts w:ascii="Arial" w:cs="Arial" w:eastAsia="Arial" w:hAnsi="Arial"/>
          <w:sz w:val="16"/>
          <w:szCs w:val="16"/>
          <w:color w:val="auto"/>
        </w:rPr>
        <w:t>% of fully electronic U.S. High Grade TRACE</w:t>
      </w:r>
    </w:p>
    <w:p>
      <w:pPr>
        <w:spacing w:after="0" w:line="53" w:lineRule="exact"/>
        <w:rPr>
          <w:sz w:val="20"/>
          <w:szCs w:val="20"/>
          <w:color w:val="auto"/>
        </w:rPr>
      </w:pPr>
    </w:p>
    <w:p>
      <w:pPr>
        <w:ind w:left="20" w:right="60"/>
        <w:spacing w:after="0" w:line="314" w:lineRule="auto"/>
        <w:rPr>
          <w:sz w:val="20"/>
          <w:szCs w:val="20"/>
          <w:color w:val="auto"/>
        </w:rPr>
      </w:pPr>
      <w:r>
        <w:rPr>
          <w:rFonts w:ascii="Arial" w:cs="Arial" w:eastAsia="Arial" w:hAnsi="Arial"/>
          <w:sz w:val="16"/>
          <w:szCs w:val="16"/>
          <w:b w:val="1"/>
          <w:bCs w:val="1"/>
          <w:color w:val="auto"/>
        </w:rPr>
        <w:t xml:space="preserve">$81.6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$106.5 million </w:t>
      </w:r>
      <w:r>
        <w:rPr>
          <w:rFonts w:ascii="Arial" w:cs="Arial" w:eastAsia="Arial" w:hAnsi="Arial"/>
          <w:sz w:val="16"/>
          <w:szCs w:val="16"/>
          <w:color w:val="auto"/>
        </w:rPr>
        <w:t>adjusted net income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increases of </w:t>
      </w:r>
      <w:r>
        <w:rPr>
          <w:rFonts w:ascii="Arial" w:cs="Arial" w:eastAsia="Arial" w:hAnsi="Arial"/>
          <w:sz w:val="16"/>
          <w:szCs w:val="16"/>
          <w:b w:val="1"/>
          <w:bCs w:val="1"/>
          <w:color w:val="auto"/>
        </w:rPr>
        <w:t>24.9%</w:t>
      </w:r>
      <w:r>
        <w:rPr>
          <w:rFonts w:ascii="Arial" w:cs="Arial" w:eastAsia="Arial" w:hAnsi="Arial"/>
          <w:sz w:val="16"/>
          <w:szCs w:val="16"/>
          <w:color w:val="auto"/>
        </w:rPr>
        <w:t xml:space="preserve"> and </w:t>
      </w:r>
      <w:r>
        <w:rPr>
          <w:rFonts w:ascii="Arial" w:cs="Arial" w:eastAsia="Arial" w:hAnsi="Arial"/>
          <w:sz w:val="16"/>
          <w:szCs w:val="16"/>
          <w:b w:val="1"/>
          <w:bCs w:val="1"/>
          <w:color w:val="auto"/>
        </w:rPr>
        <w:t>13.1%</w:t>
      </w:r>
      <w:r>
        <w:rPr>
          <w:rFonts w:ascii="Arial" w:cs="Arial" w:eastAsia="Arial" w:hAnsi="Arial"/>
          <w:sz w:val="16"/>
          <w:szCs w:val="16"/>
          <w:color w:val="auto"/>
        </w:rPr>
        <w:t xml:space="preserve"> respectively from prior year period</w:t>
      </w:r>
    </w:p>
    <w:p>
      <w:pPr>
        <w:spacing w:after="0" w:line="18" w:lineRule="exact"/>
        <w:rPr>
          <w:sz w:val="20"/>
          <w:szCs w:val="20"/>
          <w:color w:val="auto"/>
        </w:rPr>
      </w:pPr>
    </w:p>
    <w:p>
      <w:pPr>
        <w:ind w:left="20" w:right="180"/>
        <w:spacing w:after="0" w:line="304"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$146.3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50.1% and $132.9 million respectively for prior year period</w:t>
      </w:r>
    </w:p>
    <w:p>
      <w:pPr>
        <w:spacing w:after="0" w:line="33"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b w:val="1"/>
          <w:bCs w:val="1"/>
          <w:color w:val="auto"/>
        </w:rPr>
        <w:t xml:space="preserve">$0.33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$0.45 </w:t>
      </w:r>
      <w:r>
        <w:rPr>
          <w:rFonts w:ascii="Arial" w:cs="Arial" w:eastAsia="Arial" w:hAnsi="Arial"/>
          <w:sz w:val="16"/>
          <w:szCs w:val="16"/>
          <w:color w:val="auto"/>
        </w:rPr>
        <w:t>adjusted diluted earnings per share</w:t>
      </w:r>
    </w:p>
    <w:p>
      <w:pPr>
        <w:spacing w:after="0" w:line="61" w:lineRule="exact"/>
        <w:rPr>
          <w:sz w:val="20"/>
          <w:szCs w:val="20"/>
          <w:color w:val="auto"/>
        </w:rPr>
      </w:pPr>
    </w:p>
    <w:p>
      <w:pPr>
        <w:ind w:left="20" w:right="700"/>
        <w:spacing w:after="0" w:line="286" w:lineRule="auto"/>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$9.0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960" w:type="dxa"/>
            <w:vAlign w:val="bottom"/>
            <w:gridSpan w:val="2"/>
            <w:shd w:val="clear" w:color="auto" w:fill="083566"/>
          </w:tcPr>
          <w:p>
            <w:pPr>
              <w:ind w:left="120"/>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2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60" w:type="dxa"/>
            <w:vAlign w:val="bottom"/>
            <w:gridSpan w:val="2"/>
            <w:shd w:val="clear" w:color="auto" w:fill="083566"/>
          </w:tcPr>
          <w:p>
            <w:pPr>
              <w:ind w:left="120"/>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56"/>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2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3Q22</w:t>
            </w:r>
          </w:p>
        </w:tc>
        <w:tc>
          <w:tcPr>
            <w:tcW w:w="20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3Q21</w:t>
            </w:r>
          </w:p>
        </w:tc>
        <w:tc>
          <w:tcPr>
            <w:tcW w:w="8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60" w:type="dxa"/>
            <w:vAlign w:val="bottom"/>
            <w:gridSpan w:val="2"/>
            <w:shd w:val="clear" w:color="auto" w:fill="083566"/>
          </w:tcPr>
          <w:p>
            <w:pPr>
              <w:ind w:left="100"/>
              <w:spacing w:after="0"/>
              <w:rPr>
                <w:sz w:val="20"/>
                <w:szCs w:val="20"/>
                <w:color w:val="auto"/>
              </w:rPr>
            </w:pPr>
            <w:r>
              <w:rPr>
                <w:rFonts w:ascii="Arial" w:cs="Arial" w:eastAsia="Arial" w:hAnsi="Arial"/>
                <w:sz w:val="16"/>
                <w:szCs w:val="16"/>
                <w:b w:val="1"/>
                <w:bCs w:val="1"/>
                <w:color w:val="FFFFFF"/>
              </w:rPr>
              <w:t xml:space="preserve">Growth </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400" w:type="dxa"/>
            <w:vAlign w:val="bottom"/>
            <w:shd w:val="clear" w:color="auto" w:fill="08356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287,115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265,325</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8.2 %</w:t>
            </w:r>
          </w:p>
        </w:tc>
        <w:tc>
          <w:tcPr>
            <w:tcW w:w="560" w:type="dxa"/>
            <w:vAlign w:val="bottom"/>
          </w:tcPr>
          <w:p>
            <w:pPr>
              <w:jc w:val="right"/>
              <w:spacing w:after="0"/>
              <w:rPr>
                <w:sz w:val="20"/>
                <w:szCs w:val="20"/>
                <w:color w:val="auto"/>
              </w:rPr>
            </w:pPr>
            <w:r>
              <w:rPr>
                <w:rFonts w:ascii="Arial" w:cs="Arial" w:eastAsia="Arial" w:hAnsi="Arial"/>
                <w:sz w:val="16"/>
                <w:szCs w:val="16"/>
                <w:color w:val="auto"/>
              </w:rPr>
              <w:t>13.1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Rates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148,167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139,418</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6.3 %</w:t>
            </w:r>
          </w:p>
        </w:tc>
        <w:tc>
          <w:tcPr>
            <w:tcW w:w="560" w:type="dxa"/>
            <w:vAlign w:val="bottom"/>
          </w:tcPr>
          <w:p>
            <w:pPr>
              <w:jc w:val="right"/>
              <w:spacing w:after="0"/>
              <w:rPr>
                <w:sz w:val="20"/>
                <w:szCs w:val="20"/>
                <w:color w:val="auto"/>
              </w:rPr>
            </w:pPr>
            <w:r>
              <w:rPr>
                <w:rFonts w:ascii="Arial" w:cs="Arial" w:eastAsia="Arial" w:hAnsi="Arial"/>
                <w:sz w:val="16"/>
                <w:szCs w:val="16"/>
                <w:color w:val="auto"/>
              </w:rPr>
              <w:t>11.8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00" w:type="dxa"/>
            <w:vAlign w:val="bottom"/>
          </w:tcPr>
          <w:p>
            <w:pPr>
              <w:ind w:left="140"/>
              <w:spacing w:after="0"/>
              <w:rPr>
                <w:sz w:val="20"/>
                <w:szCs w:val="20"/>
                <w:color w:val="auto"/>
              </w:rPr>
            </w:pPr>
            <w:r>
              <w:rPr>
                <w:rFonts w:ascii="Arial" w:cs="Arial" w:eastAsia="Arial" w:hAnsi="Arial"/>
                <w:sz w:val="16"/>
                <w:szCs w:val="16"/>
                <w:color w:val="auto"/>
              </w:rPr>
              <w:t>Credit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78,101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72,243</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8.1 %</w:t>
            </w:r>
          </w:p>
        </w:tc>
        <w:tc>
          <w:tcPr>
            <w:tcW w:w="560" w:type="dxa"/>
            <w:vAlign w:val="bottom"/>
          </w:tcPr>
          <w:p>
            <w:pPr>
              <w:jc w:val="right"/>
              <w:spacing w:after="0"/>
              <w:rPr>
                <w:sz w:val="20"/>
                <w:szCs w:val="20"/>
                <w:color w:val="auto"/>
              </w:rPr>
            </w:pPr>
            <w:r>
              <w:rPr>
                <w:rFonts w:ascii="Arial" w:cs="Arial" w:eastAsia="Arial" w:hAnsi="Arial"/>
                <w:sz w:val="16"/>
                <w:szCs w:val="16"/>
                <w:color w:val="auto"/>
              </w:rPr>
              <w:t>11.7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21,277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16,457</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29.3 %</w:t>
            </w:r>
          </w:p>
        </w:tc>
        <w:tc>
          <w:tcPr>
            <w:tcW w:w="560" w:type="dxa"/>
            <w:vAlign w:val="bottom"/>
          </w:tcPr>
          <w:p>
            <w:pPr>
              <w:jc w:val="right"/>
              <w:spacing w:after="0"/>
              <w:rPr>
                <w:sz w:val="20"/>
                <w:szCs w:val="20"/>
                <w:color w:val="auto"/>
              </w:rPr>
            </w:pPr>
            <w:r>
              <w:rPr>
                <w:rFonts w:ascii="Arial" w:cs="Arial" w:eastAsia="Arial" w:hAnsi="Arial"/>
                <w:sz w:val="16"/>
                <w:szCs w:val="16"/>
                <w:color w:val="auto"/>
              </w:rPr>
              <w:t>38.6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12,969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11,221</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15.6 %</w:t>
            </w:r>
          </w:p>
        </w:tc>
        <w:tc>
          <w:tcPr>
            <w:tcW w:w="560" w:type="dxa"/>
            <w:vAlign w:val="bottom"/>
          </w:tcPr>
          <w:p>
            <w:pPr>
              <w:jc w:val="right"/>
              <w:spacing w:after="0"/>
              <w:rPr>
                <w:sz w:val="20"/>
                <w:szCs w:val="20"/>
                <w:color w:val="auto"/>
              </w:rPr>
            </w:pPr>
            <w:r>
              <w:rPr>
                <w:rFonts w:ascii="Arial" w:cs="Arial" w:eastAsia="Arial" w:hAnsi="Arial"/>
                <w:sz w:val="16"/>
                <w:szCs w:val="16"/>
                <w:color w:val="auto"/>
              </w:rPr>
              <w:t>19.7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0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21,222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20,515</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3.4 %</w:t>
            </w: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5,379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5,471</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(1.7) %</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81,566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65,305</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24.9 %</w:t>
            </w: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0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69,083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54,763</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26.1 %</w:t>
            </w: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8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0.33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0.26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26.9 %</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90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146,334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132,946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10.1 %</w:t>
            </w:r>
          </w:p>
        </w:tc>
        <w:tc>
          <w:tcPr>
            <w:tcW w:w="560" w:type="dxa"/>
            <w:vAlign w:val="bottom"/>
          </w:tcPr>
          <w:p>
            <w:pPr>
              <w:jc w:val="right"/>
              <w:spacing w:after="0"/>
              <w:rPr>
                <w:sz w:val="20"/>
                <w:szCs w:val="20"/>
                <w:color w:val="auto"/>
              </w:rPr>
            </w:pPr>
            <w:r>
              <w:rPr>
                <w:rFonts w:ascii="Arial" w:cs="Arial" w:eastAsia="Arial" w:hAnsi="Arial"/>
                <w:sz w:val="16"/>
                <w:szCs w:val="16"/>
                <w:color w:val="auto"/>
              </w:rPr>
              <w:t>16.0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51.0 %</w:t>
            </w: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50.1 %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+86 bps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+130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133,114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121,079</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9.9 %</w:t>
            </w:r>
          </w:p>
        </w:tc>
        <w:tc>
          <w:tcPr>
            <w:tcW w:w="560" w:type="dxa"/>
            <w:vAlign w:val="bottom"/>
          </w:tcPr>
          <w:p>
            <w:pPr>
              <w:jc w:val="right"/>
              <w:spacing w:after="0"/>
              <w:rPr>
                <w:sz w:val="20"/>
                <w:szCs w:val="20"/>
                <w:color w:val="auto"/>
              </w:rPr>
            </w:pPr>
            <w:r>
              <w:rPr>
                <w:rFonts w:ascii="Arial" w:cs="Arial" w:eastAsia="Arial" w:hAnsi="Arial"/>
                <w:sz w:val="16"/>
                <w:szCs w:val="16"/>
                <w:color w:val="auto"/>
              </w:rPr>
              <w:t>16.3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w w:val="99"/>
              </w:rPr>
              <w:t xml:space="preserve">Adjusted EBIT margin </w:t>
            </w:r>
            <w:r>
              <w:rPr>
                <w:rFonts w:ascii="Arial" w:cs="Arial" w:eastAsia="Arial" w:hAnsi="Arial"/>
                <w:sz w:val="21"/>
                <w:szCs w:val="21"/>
                <w:color w:val="auto"/>
                <w:w w:val="99"/>
                <w:vertAlign w:val="superscript"/>
              </w:rPr>
              <w:t>(1)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46.4 %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45.6 %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 bps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+130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106,491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94,160</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13.1 %</w:t>
            </w:r>
          </w:p>
        </w:tc>
        <w:tc>
          <w:tcPr>
            <w:tcW w:w="560" w:type="dxa"/>
            <w:vAlign w:val="bottom"/>
          </w:tcPr>
          <w:p>
            <w:pPr>
              <w:jc w:val="right"/>
              <w:spacing w:after="0"/>
              <w:rPr>
                <w:sz w:val="20"/>
                <w:szCs w:val="20"/>
                <w:color w:val="auto"/>
              </w:rPr>
            </w:pPr>
            <w:r>
              <w:rPr>
                <w:rFonts w:ascii="Arial" w:cs="Arial" w:eastAsia="Arial" w:hAnsi="Arial"/>
                <w:sz w:val="16"/>
                <w:szCs w:val="16"/>
                <w:color w:val="auto"/>
              </w:rPr>
              <w:t>19.5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800" w:type="dxa"/>
            <w:vAlign w:val="bottom"/>
          </w:tcPr>
          <w:p>
            <w:pPr>
              <w:ind w:left="20"/>
              <w:spacing w:after="0" w:line="163" w:lineRule="exact"/>
              <w:rPr>
                <w:sz w:val="20"/>
                <w:szCs w:val="20"/>
                <w:color w:val="auto"/>
              </w:rPr>
            </w:pPr>
            <w:r>
              <w:rPr>
                <w:rFonts w:ascii="Arial" w:cs="Arial" w:eastAsia="Arial" w:hAnsi="Arial"/>
                <w:sz w:val="16"/>
                <w:szCs w:val="16"/>
                <w:color w:val="auto"/>
              </w:rPr>
              <w:t>Adjusted Diluted EPS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0.45</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0.39</w:t>
            </w: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15.4 %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20.5</w:t>
            </w:r>
          </w:p>
        </w:tc>
        <w:tc>
          <w:tcPr>
            <w:tcW w:w="4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800" w:type="dxa"/>
            <w:vAlign w:val="bottom"/>
          </w:tcPr>
          <w:p>
            <w:pPr>
              <w:ind w:left="20"/>
              <w:spacing w:after="0"/>
              <w:rPr>
                <w:sz w:val="20"/>
                <w:szCs w:val="20"/>
                <w:color w:val="auto"/>
              </w:rPr>
            </w:pPr>
            <w:r>
              <w:rPr>
                <w:rFonts w:ascii="Arial" w:cs="Arial" w:eastAsia="Arial" w:hAnsi="Arial"/>
                <w:sz w:val="11"/>
                <w:szCs w:val="11"/>
                <w:color w:val="auto"/>
              </w:rPr>
              <w:t>(1)</w:t>
            </w:r>
          </w:p>
        </w:tc>
        <w:tc>
          <w:tcPr>
            <w:tcW w:w="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8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497F"/>
        </w:rPr>
        <w:t>Lee Olesky, Chairman and CEO, Tradeweb Markets: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"Tradeweb reported record third quarter revenues driven by</w:t>
      </w:r>
    </w:p>
    <w:p>
      <w:pPr>
        <w:spacing w:after="0" w:line="8" w:lineRule="exact"/>
        <w:rPr>
          <w:sz w:val="20"/>
          <w:szCs w:val="20"/>
          <w:color w:val="auto"/>
        </w:rPr>
      </w:pPr>
    </w:p>
    <w:p>
      <w:pPr>
        <w:ind w:left="100" w:right="300"/>
        <w:spacing w:after="0" w:line="220" w:lineRule="auto"/>
        <w:rPr>
          <w:sz w:val="20"/>
          <w:szCs w:val="20"/>
          <w:color w:val="auto"/>
        </w:rPr>
      </w:pPr>
      <w:r>
        <w:rPr>
          <w:rFonts w:ascii="Arial" w:cs="Arial" w:eastAsia="Arial" w:hAnsi="Arial"/>
          <w:sz w:val="16"/>
          <w:szCs w:val="16"/>
          <w:color w:val="auto"/>
        </w:rPr>
        <w:t>strong trading volumes across asset classes and products. Despite challenging markets, we delivered double-digit revenue</w:t>
      </w:r>
    </w:p>
    <w:p>
      <w:pPr>
        <w:ind w:left="100" w:right="220"/>
        <w:spacing w:after="0" w:line="228" w:lineRule="auto"/>
        <w:rPr>
          <w:sz w:val="20"/>
          <w:szCs w:val="20"/>
          <w:color w:val="auto"/>
        </w:rPr>
      </w:pPr>
      <w:r>
        <w:rPr>
          <w:rFonts w:ascii="Arial" w:cs="Arial" w:eastAsia="Arial" w:hAnsi="Arial"/>
          <w:sz w:val="16"/>
          <w:szCs w:val="16"/>
          <w:color w:val="auto"/>
        </w:rPr>
        <w:t>growth on a constant currency basis in rates, credit, equities and money markets. Our clients leveraged a wide range of electronic tools and protocols to help advance their trading strategies as markets reflected concerns around inflation and geopolitical</w:t>
      </w:r>
    </w:p>
    <w:p>
      <w:pPr>
        <w:spacing w:after="0" w:line="3" w:lineRule="exact"/>
        <w:rPr>
          <w:sz w:val="20"/>
          <w:szCs w:val="20"/>
          <w:color w:val="auto"/>
        </w:rPr>
      </w:pPr>
    </w:p>
    <w:p>
      <w:pPr>
        <w:ind w:left="100" w:right="240"/>
        <w:spacing w:after="0" w:line="220" w:lineRule="auto"/>
        <w:rPr>
          <w:sz w:val="20"/>
          <w:szCs w:val="20"/>
          <w:color w:val="auto"/>
        </w:rPr>
      </w:pPr>
      <w:r>
        <w:rPr>
          <w:rFonts w:ascii="Arial" w:cs="Arial" w:eastAsia="Arial" w:hAnsi="Arial"/>
          <w:sz w:val="16"/>
          <w:szCs w:val="16"/>
          <w:color w:val="auto"/>
        </w:rPr>
        <w:t>conflict. Client engagement was strong across all of our markets and we’ve seen increased interest in electronifying markets that</w:t>
      </w:r>
    </w:p>
    <w:p>
      <w:pPr>
        <w:ind w:left="100"/>
        <w:spacing w:after="0"/>
        <w:rPr>
          <w:sz w:val="20"/>
          <w:szCs w:val="20"/>
          <w:color w:val="auto"/>
        </w:rPr>
      </w:pPr>
      <w:r>
        <w:rPr>
          <w:rFonts w:ascii="Arial" w:cs="Arial" w:eastAsia="Arial" w:hAnsi="Arial"/>
          <w:sz w:val="16"/>
          <w:szCs w:val="16"/>
          <w:color w:val="auto"/>
        </w:rPr>
        <w:t>have been persistently analog, like swaps and repos.</w:t>
      </w:r>
    </w:p>
    <w:p>
      <w:pPr>
        <w:spacing w:after="0" w:line="219" w:lineRule="exact"/>
        <w:rPr>
          <w:sz w:val="20"/>
          <w:szCs w:val="20"/>
          <w:color w:val="auto"/>
        </w:rPr>
      </w:pPr>
    </w:p>
    <w:p>
      <w:pPr>
        <w:ind w:left="100" w:right="300"/>
        <w:spacing w:after="0" w:line="235" w:lineRule="auto"/>
        <w:rPr>
          <w:sz w:val="20"/>
          <w:szCs w:val="20"/>
          <w:color w:val="auto"/>
        </w:rPr>
      </w:pPr>
      <w:r>
        <w:rPr>
          <w:rFonts w:ascii="Arial" w:cs="Arial" w:eastAsia="Arial" w:hAnsi="Arial"/>
          <w:sz w:val="16"/>
          <w:szCs w:val="16"/>
          <w:color w:val="auto"/>
        </w:rPr>
        <w:t>As I prepare to retire as CEO at year-end and stay on as chairman, I am proud that Tradeweb has continued to grow, innovate and collaborate with our clients to make markets more</w:t>
      </w:r>
    </w:p>
    <w:p>
      <w:pPr>
        <w:spacing w:after="0" w:line="2" w:lineRule="exact"/>
        <w:rPr>
          <w:sz w:val="20"/>
          <w:szCs w:val="20"/>
          <w:color w:val="auto"/>
        </w:rPr>
      </w:pPr>
    </w:p>
    <w:p>
      <w:pPr>
        <w:ind w:left="100" w:right="160"/>
        <w:spacing w:after="0" w:line="220" w:lineRule="auto"/>
        <w:rPr>
          <w:sz w:val="20"/>
          <w:szCs w:val="20"/>
          <w:color w:val="auto"/>
        </w:rPr>
      </w:pPr>
      <w:r>
        <w:rPr>
          <w:rFonts w:ascii="Arial" w:cs="Arial" w:eastAsia="Arial" w:hAnsi="Arial"/>
          <w:sz w:val="16"/>
          <w:szCs w:val="16"/>
          <w:color w:val="auto"/>
        </w:rPr>
        <w:t>efficient. Billy Hult and our leadership team are well positioned to drive our next wave of growth, and I can’t wait to see what comes</w:t>
      </w:r>
    </w:p>
    <w:p>
      <w:pPr>
        <w:ind w:left="100" w:right="840"/>
        <w:spacing w:after="0" w:line="248" w:lineRule="auto"/>
        <w:rPr>
          <w:sz w:val="20"/>
          <w:szCs w:val="20"/>
          <w:color w:val="auto"/>
        </w:rPr>
      </w:pPr>
      <w:r>
        <w:rPr>
          <w:rFonts w:ascii="Arial" w:cs="Arial" w:eastAsia="Arial" w:hAnsi="Arial"/>
          <w:sz w:val="16"/>
          <w:szCs w:val="16"/>
          <w:color w:val="auto"/>
        </w:rPr>
        <w:t>next. I am grateful to our clients and employees for their confidence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340360</wp:posOffset>
            </wp:positionV>
            <wp:extent cx="307721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772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FFFFFF"/>
              </w:rPr>
              <w:t>3Q22</w:t>
            </w:r>
          </w:p>
        </w:tc>
        <w:tc>
          <w:tcPr>
            <w:tcW w:w="24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FFFFFF"/>
              </w:rPr>
              <w:t>3Q21</w:t>
            </w: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FFFFFF"/>
              </w:rPr>
              <w:t>YoY</w:t>
            </w:r>
          </w:p>
        </w:tc>
      </w:tr>
      <w:tr>
        <w:trPr>
          <w:trHeight w:val="235"/>
        </w:trPr>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337</w:t>
            </w: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329</w:t>
            </w:r>
          </w:p>
        </w:tc>
        <w:tc>
          <w:tcPr>
            <w:tcW w:w="240" w:type="dxa"/>
            <w:vAlign w:val="bottom"/>
          </w:tcPr>
          <w:p>
            <w:pPr>
              <w:spacing w:after="0"/>
              <w:rPr>
                <w:sz w:val="21"/>
                <w:szCs w:val="21"/>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247</w:t>
            </w:r>
          </w:p>
        </w:tc>
        <w:tc>
          <w:tcPr>
            <w:tcW w:w="880" w:type="dxa"/>
            <w:vAlign w:val="bottom"/>
          </w:tcPr>
          <w:p>
            <w:pPr>
              <w:jc w:val="right"/>
              <w:spacing w:after="0"/>
              <w:rPr>
                <w:sz w:val="20"/>
                <w:szCs w:val="20"/>
                <w:color w:val="auto"/>
              </w:rPr>
            </w:pPr>
            <w:r>
              <w:rPr>
                <w:rFonts w:ascii="Arial" w:cs="Arial" w:eastAsia="Arial" w:hAnsi="Arial"/>
                <w:sz w:val="16"/>
                <w:szCs w:val="16"/>
                <w:color w:val="auto"/>
              </w:rPr>
              <w:t>33.1 %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653</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584</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11.8 %</w:t>
            </w:r>
          </w:p>
        </w:tc>
      </w:tr>
      <w:tr>
        <w:trPr>
          <w:trHeight w:val="228"/>
        </w:trPr>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9.9 %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1"/>
                <w:szCs w:val="21"/>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14</w:t>
            </w:r>
          </w:p>
        </w:tc>
        <w:tc>
          <w:tcPr>
            <w:tcW w:w="880" w:type="dxa"/>
            <w:vAlign w:val="bottom"/>
          </w:tcPr>
          <w:p>
            <w:pPr>
              <w:jc w:val="right"/>
              <w:spacing w:after="0"/>
              <w:rPr>
                <w:sz w:val="20"/>
                <w:szCs w:val="20"/>
                <w:color w:val="auto"/>
              </w:rPr>
            </w:pPr>
            <w:r>
              <w:rPr>
                <w:rFonts w:ascii="Arial" w:cs="Arial" w:eastAsia="Arial" w:hAnsi="Arial"/>
                <w:sz w:val="16"/>
                <w:szCs w:val="16"/>
                <w:color w:val="auto"/>
              </w:rPr>
              <w:t>45.1 %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22</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31.7 %</w:t>
            </w:r>
          </w:p>
        </w:tc>
      </w:tr>
      <w:tr>
        <w:trPr>
          <w:trHeight w:val="228"/>
        </w:trPr>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16.6 %</w:t>
            </w:r>
          </w:p>
        </w:tc>
      </w:tr>
      <w:tr>
        <w:trPr>
          <w:trHeight w:val="251"/>
        </w:trPr>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1"/>
                <w:szCs w:val="21"/>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44"/>
        </w:trPr>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083566"/>
            </w:tcBorders>
            <w:shd w:val="clear" w:color="auto" w:fill="D5DCE4"/>
          </w:tcPr>
          <w:p>
            <w:pPr>
              <w:spacing w:after="0"/>
              <w:rPr>
                <w:sz w:val="21"/>
                <w:szCs w:val="21"/>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15</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8.7 %</w:t>
            </w:r>
          </w:p>
        </w:tc>
      </w:tr>
      <w:tr>
        <w:trPr>
          <w:trHeight w:val="303"/>
        </w:trPr>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401</w:t>
            </w:r>
          </w:p>
        </w:tc>
        <w:tc>
          <w:tcPr>
            <w:tcW w:w="240" w:type="dxa"/>
            <w:vAlign w:val="bottom"/>
          </w:tcPr>
          <w:p>
            <w:pPr>
              <w:spacing w:after="0"/>
              <w:rPr>
                <w:sz w:val="24"/>
                <w:szCs w:val="24"/>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344</w:t>
            </w:r>
          </w:p>
        </w:tc>
        <w:tc>
          <w:tcPr>
            <w:tcW w:w="880" w:type="dxa"/>
            <w:vAlign w:val="bottom"/>
          </w:tcPr>
          <w:p>
            <w:pPr>
              <w:jc w:val="right"/>
              <w:spacing w:after="0"/>
              <w:rPr>
                <w:sz w:val="20"/>
                <w:szCs w:val="20"/>
                <w:color w:val="auto"/>
              </w:rPr>
            </w:pPr>
            <w:r>
              <w:rPr>
                <w:rFonts w:ascii="Arial" w:cs="Arial" w:eastAsia="Arial" w:hAnsi="Arial"/>
                <w:sz w:val="16"/>
                <w:szCs w:val="16"/>
                <w:color w:val="auto"/>
              </w:rPr>
              <w:t>16.7 %</w:t>
            </w:r>
          </w:p>
        </w:tc>
      </w:tr>
      <w:tr>
        <w:trPr>
          <w:trHeight w:val="312"/>
        </w:trPr>
        <w:tc>
          <w:tcPr>
            <w:tcW w:w="1180" w:type="dxa"/>
            <w:vAlign w:val="bottom"/>
            <w:tcBorders>
              <w:bottom w:val="single" w:sz="8" w:color="083566"/>
            </w:tcBorders>
          </w:tcPr>
          <w:p>
            <w:pPr>
              <w:spacing w:after="0"/>
              <w:rPr>
                <w:sz w:val="24"/>
                <w:szCs w:val="24"/>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4"/>
                <w:szCs w:val="24"/>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401</w:t>
            </w:r>
          </w:p>
        </w:tc>
        <w:tc>
          <w:tcPr>
            <w:tcW w:w="240" w:type="dxa"/>
            <w:vAlign w:val="bottom"/>
            <w:tcBorders>
              <w:bottom w:val="single" w:sz="8" w:color="083566"/>
            </w:tcBorders>
            <w:shd w:val="clear" w:color="auto" w:fill="D5DCE4"/>
          </w:tcPr>
          <w:p>
            <w:pPr>
              <w:spacing w:after="0"/>
              <w:rPr>
                <w:sz w:val="24"/>
                <w:szCs w:val="24"/>
                <w:color w:val="auto"/>
              </w:rPr>
            </w:pPr>
          </w:p>
        </w:tc>
        <w:tc>
          <w:tcPr>
            <w:tcW w:w="74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344</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16.7 %</w:t>
            </w:r>
          </w:p>
        </w:tc>
      </w:tr>
      <w:tr>
        <w:trPr>
          <w:trHeight w:val="243"/>
        </w:trPr>
        <w:tc>
          <w:tcPr>
            <w:tcW w:w="1180" w:type="dxa"/>
            <w:vAlign w:val="bottom"/>
          </w:tcPr>
          <w:p>
            <w:pPr>
              <w:spacing w:after="0"/>
              <w:rPr>
                <w:sz w:val="21"/>
                <w:szCs w:val="21"/>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1,099</w:t>
            </w: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5DCE4"/>
          </w:tcPr>
          <w:p>
            <w:pPr>
              <w:jc w:val="right"/>
              <w:ind w:right="179"/>
              <w:spacing w:after="0"/>
              <w:rPr>
                <w:sz w:val="20"/>
                <w:szCs w:val="20"/>
                <w:color w:val="auto"/>
              </w:rPr>
            </w:pPr>
            <w:r>
              <w:rPr>
                <w:rFonts w:ascii="Arial" w:cs="Arial" w:eastAsia="Arial" w:hAnsi="Arial"/>
                <w:sz w:val="16"/>
                <w:szCs w:val="16"/>
                <w:b w:val="1"/>
                <w:bCs w:val="1"/>
                <w:color w:val="auto"/>
              </w:rPr>
              <w:t>964</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14.0 %</w:t>
            </w:r>
          </w:p>
        </w:tc>
      </w:tr>
    </w:tbl>
    <w:p>
      <w:pPr>
        <w:spacing w:after="0" w:line="257" w:lineRule="exact"/>
        <w:rPr>
          <w:sz w:val="20"/>
          <w:szCs w:val="20"/>
          <w:color w:val="auto"/>
        </w:rPr>
      </w:pPr>
    </w:p>
    <w:p>
      <w:pPr>
        <w:ind w:left="260" w:right="220" w:hanging="240"/>
        <w:spacing w:after="0" w:line="261" w:lineRule="auto"/>
        <w:tabs>
          <w:tab w:leader="none" w:pos="197"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48" w:lineRule="exact"/>
        <w:rPr>
          <w:rFonts w:ascii="Arial" w:cs="Arial" w:eastAsia="Arial" w:hAnsi="Arial"/>
          <w:sz w:val="12"/>
          <w:szCs w:val="12"/>
          <w:color w:val="auto"/>
        </w:rPr>
      </w:pPr>
    </w:p>
    <w:p>
      <w:pPr>
        <w:ind w:left="200" w:hanging="180"/>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20" w:space="80"/>
            <w:col w:w="4940"/>
          </w:cols>
          <w:pgMar w:left="320" w:top="274" w:right="6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$148.2 million in the third quarter of 2022 increased 6.3% compared to prior year period (11.8% on a constant currency basis). Rates</w:t>
      </w:r>
      <w:r>
        <w:rPr>
          <w:rFonts w:ascii="Arial" w:cs="Arial" w:eastAsia="Arial" w:hAnsi="Arial"/>
          <w:sz w:val="16"/>
          <w:szCs w:val="16"/>
          <w:b w:val="1"/>
          <w:bCs w:val="1"/>
          <w:color w:val="auto"/>
        </w:rPr>
        <w:t xml:space="preserve"> </w:t>
      </w:r>
      <w:r>
        <w:rPr>
          <w:rFonts w:ascii="Arial" w:cs="Arial" w:eastAsia="Arial" w:hAnsi="Arial"/>
          <w:sz w:val="16"/>
          <w:szCs w:val="16"/>
          <w:color w:val="auto"/>
        </w:rPr>
        <w:t>ADV was up 11.8% driven by strong growth in swaps/swaptions ≥ 1-year and rates volatility in U.S. and European government bonds.</w:t>
      </w:r>
    </w:p>
    <w:p>
      <w:pPr>
        <w:spacing w:after="0" w:line="183"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$78.1 million in the third quarter of 2022 increased 8.1% compared to prior year period (11.7% on a constant currency basis).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ADV was up 31.7% with record ADV in fully electronic U.S. High Grade credit and institutional municipal bonds, as well as record share of fully electronic</w:t>
      </w:r>
    </w:p>
    <w:p>
      <w:pPr>
        <w:spacing w:after="0" w:line="1" w:lineRule="exact"/>
        <w:rPr>
          <w:sz w:val="20"/>
          <w:szCs w:val="20"/>
          <w:color w:val="auto"/>
        </w:rPr>
      </w:pPr>
    </w:p>
    <w:p>
      <w:pPr>
        <w:ind w:right="180"/>
        <w:spacing w:after="0" w:line="235" w:lineRule="auto"/>
        <w:rPr>
          <w:sz w:val="20"/>
          <w:szCs w:val="20"/>
          <w:color w:val="auto"/>
        </w:rPr>
      </w:pPr>
      <w:r>
        <w:rPr>
          <w:rFonts w:ascii="Arial" w:cs="Arial" w:eastAsia="Arial" w:hAnsi="Arial"/>
          <w:sz w:val="16"/>
          <w:szCs w:val="16"/>
          <w:color w:val="auto"/>
        </w:rPr>
        <w:t>U.S. High Grade TRACE (13.9%). U.S. and European credit volumes reflected continued client adoption across Tradeweb protocols, including request-for-quote (RFQ), Tradeweb AllTrade and portfolio trading.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$21.3 million in the third quarter of 2022 increased 29.3% compared to prior year period (38.6% on a constant currency basis).</w:t>
      </w:r>
    </w:p>
    <w:p>
      <w:pPr>
        <w:spacing w:after="0" w:line="8"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Equities ADV was up 8.7% with record ADV in equity convertibles/swaps/options. Equities performance reflected increased global institutional client activity driven by further adoption of RFQ and continued market volatility.</w:t>
      </w:r>
    </w:p>
    <w:p>
      <w:pPr>
        <w:spacing w:after="0" w:line="204" w:lineRule="exact"/>
        <w:rPr>
          <w:sz w:val="20"/>
          <w:szCs w:val="20"/>
          <w:color w:val="auto"/>
        </w:rPr>
      </w:pPr>
    </w:p>
    <w:p>
      <w:pPr>
        <w:ind w:right="180"/>
        <w:spacing w:after="0" w:line="230"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$13.0 million in the third quarter of 2022 increased 15.6% compared to prior year period (19.7%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Money Markets ADV was up 16.7% led by strong client adoption of Tradeweb's electronic trading solutions and retail money markets activity, which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increased over the third quarter and culminated with a monthly record in September.</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$21.2 million in the third quarter of 2022 increased 3.4% compared to prior year period (6.1% on a constant currency basis).</w:t>
      </w:r>
    </w:p>
    <w:p>
      <w:pPr>
        <w:spacing w:after="0"/>
        <w:rPr>
          <w:sz w:val="20"/>
          <w:szCs w:val="20"/>
          <w:color w:val="auto"/>
        </w:rPr>
      </w:pPr>
      <w:r>
        <w:rPr>
          <w:rFonts w:ascii="Arial" w:cs="Arial" w:eastAsia="Arial" w:hAnsi="Arial"/>
          <w:sz w:val="16"/>
          <w:szCs w:val="16"/>
          <w:color w:val="auto"/>
        </w:rPr>
        <w:t>The increase was derived from increased third party market data fees and Refinitiv market data fees.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$5.4 million in the third quarter of 2022 decreased 1.7% compared to prior year period (1.6% decrease on a constant currency basis).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$184.3 million in the third quarter of 2022 increased 2.5% compared to $179.8 million in the prior year period due to: higher</w:t>
      </w:r>
    </w:p>
    <w:p>
      <w:pPr>
        <w:spacing w:after="0" w:line="8" w:lineRule="exact"/>
        <w:rPr>
          <w:sz w:val="20"/>
          <w:szCs w:val="20"/>
          <w:color w:val="auto"/>
        </w:rPr>
      </w:pPr>
    </w:p>
    <w:p>
      <w:pPr>
        <w:ind w:right="240"/>
        <w:spacing w:after="0" w:line="220" w:lineRule="auto"/>
        <w:rPr>
          <w:sz w:val="20"/>
          <w:szCs w:val="20"/>
          <w:color w:val="auto"/>
        </w:rPr>
      </w:pPr>
      <w:r>
        <w:rPr>
          <w:rFonts w:ascii="Arial" w:cs="Arial" w:eastAsia="Arial" w:hAnsi="Arial"/>
          <w:sz w:val="16"/>
          <w:szCs w:val="16"/>
          <w:color w:val="auto"/>
        </w:rPr>
        <w:t>employee compensation and benefits associated with higher headcount to support growth, $2.0 million in CEO Retirement Accelerated Stock-Based Compensation Expense recognized during the third quarter of 2022 and higher technology and communications expenses primarily due to increased data</w:t>
      </w:r>
    </w:p>
    <w:p>
      <w:pPr>
        <w:spacing w:after="0" w:line="229" w:lineRule="auto"/>
        <w:rPr>
          <w:sz w:val="20"/>
          <w:szCs w:val="20"/>
          <w:color w:val="auto"/>
        </w:rPr>
      </w:pPr>
      <w:r>
        <w:rPr>
          <w:rFonts w:ascii="Arial" w:cs="Arial" w:eastAsia="Arial" w:hAnsi="Arial"/>
          <w:sz w:val="16"/>
          <w:szCs w:val="16"/>
          <w:color w:val="auto"/>
        </w:rPr>
        <w:t>and clearing fees driven primarily by higher trading volumes as well as increased investment in our data strategy and infrastructure; this was partially offset</w:t>
      </w:r>
    </w:p>
    <w:p>
      <w:pPr>
        <w:ind w:right="340"/>
        <w:spacing w:after="0" w:line="235" w:lineRule="auto"/>
        <w:rPr>
          <w:sz w:val="20"/>
          <w:szCs w:val="20"/>
          <w:color w:val="auto"/>
        </w:rPr>
      </w:pPr>
      <w:r>
        <w:rPr>
          <w:rFonts w:ascii="Arial" w:cs="Arial" w:eastAsia="Arial" w:hAnsi="Arial"/>
          <w:sz w:val="16"/>
          <w:szCs w:val="16"/>
          <w:color w:val="auto"/>
        </w:rPr>
        <w:t>by lower general and administrative expenses, as foreign exchange gains more than offset the increased travel and entertainment expense following the easing of restrictions relating to the pandemic.</w:t>
      </w:r>
    </w:p>
    <w:p>
      <w:pPr>
        <w:spacing w:after="0" w:line="204" w:lineRule="exact"/>
        <w:rPr>
          <w:sz w:val="20"/>
          <w:szCs w:val="20"/>
          <w:color w:val="auto"/>
        </w:rPr>
      </w:pPr>
    </w:p>
    <w:p>
      <w:pPr>
        <w:ind w:right="400"/>
        <w:spacing w:after="0" w:line="230"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$154.0 million increased 6.8% (10.4% on a constant currency basis) compared to the prior year period due to: higher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benefits associated with higher headcount to support growth; higher technology and communications expenses; higher general and</w:t>
      </w:r>
    </w:p>
    <w:p>
      <w:pPr>
        <w:spacing w:after="0" w:line="1" w:lineRule="exact"/>
        <w:rPr>
          <w:sz w:val="20"/>
          <w:szCs w:val="20"/>
          <w:color w:val="auto"/>
        </w:rPr>
      </w:pPr>
    </w:p>
    <w:p>
      <w:pPr>
        <w:ind w:right="700"/>
        <w:spacing w:after="0" w:line="248" w:lineRule="auto"/>
        <w:rPr>
          <w:sz w:val="20"/>
          <w:szCs w:val="20"/>
          <w:color w:val="auto"/>
        </w:rPr>
      </w:pPr>
      <w:r>
        <w:rPr>
          <w:rFonts w:ascii="Arial" w:cs="Arial" w:eastAsia="Arial" w:hAnsi="Arial"/>
          <w:sz w:val="16"/>
          <w:szCs w:val="16"/>
          <w:color w:val="auto"/>
        </w:rPr>
        <w:t>administrative expenses; higher depreciation and amortization and higher professional fees. Please see "Non-GAAP Financial Measures" below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2022</w:t>
      </w:r>
    </w:p>
    <w:p>
      <w:pPr>
        <w:spacing w:after="0" w:line="11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the appointment of Thomas Pluta as President of Tradeweb beginning January 1, 2023</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Appointed Jacques Aigrain and Rana Yared as Independent Directors to Tradeweb’s board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collaboration with S&amp;P Global Market Intelligence to connect primary and secondary markets in Europe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Published our second annual 2021 Corporate Sustainability Report</w:t>
      </w:r>
    </w:p>
    <w:p>
      <w:pPr>
        <w:spacing w:after="0" w:line="14" w:lineRule="exact"/>
        <w:rPr>
          <w:rFonts w:ascii="Arial" w:cs="Arial" w:eastAsia="Arial" w:hAnsi="Arial"/>
          <w:sz w:val="16"/>
          <w:szCs w:val="16"/>
          <w:color w:val="auto"/>
        </w:rPr>
      </w:pPr>
    </w:p>
    <w:p>
      <w:pPr>
        <w:ind w:left="660" w:right="520" w:hanging="328"/>
        <w:spacing w:after="0" w:line="24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Facilitated the first fully automated dealer-to-client EUR interest rate swap versus Eurex bund future trade; non-deliverable interest rate swap transaction in Thai Baht (#THB) and interest rate swap transaction in Israeli Shekel (#ILS) on the Tradeweb platform</w:t>
      </w:r>
    </w:p>
    <w:p>
      <w:pPr>
        <w:ind w:left="660" w:right="20" w:hanging="328"/>
        <w:spacing w:after="0" w:line="25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Recognized in numerous awards including: </w:t>
      </w:r>
      <w:r>
        <w:rPr>
          <w:rFonts w:ascii="Arial" w:cs="Arial" w:eastAsia="Arial" w:hAnsi="Arial"/>
          <w:sz w:val="16"/>
          <w:szCs w:val="16"/>
          <w:i w:val="1"/>
          <w:iCs w:val="1"/>
          <w:color w:val="auto"/>
        </w:rPr>
        <w:t>Best Workplaces for Innovators (Fast Company); European Markets Choice Awards, Markets</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Award (Markets Media); Excellence in Trading &amp; Tech Awards, Best Fixed Income Trading Platform (Financial News); Excellence in Trading &amp; Tech Awards, Trading Initiative of the Year (Financial News); Americas Derivatives Awards, Outstanding Achievement Award - Lee Olesky (GlobalCapital); Americas Derivatives Awards, Swap Execution Facility of the Year (GlobalCapital); Global Derivatives Awards, OTC Trading Venue of the Year (GlobalCapital); Asia Risk Awards, Buy-Side Trading System of the Year (Risk.net); Asia Capital Markets Awards, Fixed Income Trading System of the Year (FOW Global Investor Group); Asia Capital Markets Awards, Multi-Asset Trading System of the Year (FOW Global Investor Group)</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 billion in cash and cash equivalents and an undrawn $500 million credit facility at September 30, 2022</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Non-acquisition related capital expenditures and capitalization of software development in third quarter 2022: $12.3 million</w:t>
      </w:r>
    </w:p>
    <w:p>
      <w:pPr>
        <w:spacing w:after="0" w:line="8" w:lineRule="exact"/>
        <w:rPr>
          <w:rFonts w:ascii="Arial" w:cs="Arial" w:eastAsia="Arial" w:hAnsi="Arial"/>
          <w:sz w:val="16"/>
          <w:szCs w:val="16"/>
          <w:color w:val="auto"/>
        </w:rPr>
      </w:pPr>
    </w:p>
    <w:p>
      <w:pPr>
        <w:ind w:left="660" w:right="1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September 30, 2022 of $555.2 million, up 16.3% compared to the prior year period. See “Non-GAAP Financial Measures” for additional information</w:t>
      </w:r>
    </w:p>
    <w:p>
      <w:pPr>
        <w:ind w:left="660" w:right="220" w:hanging="328"/>
        <w:spacing w:after="0" w:line="25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third quarter of 2022, as part of its Share Repurchase Program, Tradeweb purchased 129,809 shares of Class A common stock, at an average price of $69.33, for purchases totaling $9.0 million. As of September 30, 2022, a total of $9.0 million remained available for repurchase pursuant to the Share Repurchase Program</w:t>
      </w:r>
    </w:p>
    <w:p>
      <w:pPr>
        <w:ind w:left="660" w:right="46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$2.3 million in shares were withheld in the third quarter of 2022 to satisfy tax obligations related to the exercise of stock options and vesting of restricted stock units and performance-based restricted stock units</w:t>
      </w:r>
    </w:p>
    <w:p>
      <w:pPr>
        <w:ind w:left="660" w:right="44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December 15, 2022 to stockholders of record as of December 1, 2022</w:t>
      </w:r>
    </w:p>
    <w:p>
      <w:pPr>
        <w:sectPr>
          <w:pgSz w:w="11900" w:h="16838" w:orient="portrait"/>
          <w:cols w:equalWidth="0" w:num="1">
            <w:col w:w="11240"/>
          </w:cols>
          <w:pgMar w:left="320" w:top="908" w:right="339" w:bottom="1440" w:gutter="0" w:footer="0" w:header="0"/>
        </w:sectPr>
      </w:pPr>
    </w:p>
    <w:p>
      <w:pPr>
        <w:spacing w:after="0" w:line="15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2</w:t>
      </w:r>
    </w:p>
    <w:p>
      <w:pPr>
        <w:sectPr>
          <w:pgSz w:w="11900" w:h="16838" w:orient="portrait"/>
          <w:cols w:equalWidth="0" w:num="1">
            <w:col w:w="11240"/>
          </w:cols>
          <w:pgMar w:left="320" w:top="90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2022 Guidance*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Adjusted expenses: $620 - 640 million (old: $620 - 655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change to other guidance:</w:t>
      </w:r>
    </w:p>
    <w:p>
      <w:pPr>
        <w:spacing w:after="0" w:line="1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$127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$62 - 68 million</w:t>
      </w:r>
    </w:p>
    <w:p>
      <w:pPr>
        <w:spacing w:after="0" w:line="252" w:lineRule="exact"/>
        <w:rPr>
          <w:sz w:val="20"/>
          <w:szCs w:val="20"/>
          <w:color w:val="auto"/>
        </w:rPr>
      </w:pPr>
    </w:p>
    <w:p>
      <w:pPr>
        <w:ind w:left="340" w:right="400"/>
        <w:spacing w:after="0" w:line="302"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Tradeweb Markets will hold a conference call to discuss third quarter 2022 results starting at 9:30 AM EDT today, October 27, 2022. A live, audio webcast of the conference call along with related materials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 xml:space="preserve">. Alternatively, interested parties can access the call by registering at </w:t>
      </w:r>
      <w:r>
        <w:rPr>
          <w:rFonts w:ascii="Arial" w:cs="Arial" w:eastAsia="Arial" w:hAnsi="Arial"/>
          <w:sz w:val="16"/>
          <w:szCs w:val="16"/>
          <w:u w:val="single" w:color="auto"/>
          <w:color w:val="0E32E1"/>
        </w:rPr>
        <w:t>https://register.vevent.com/register/BIacb82889d7314bbdb89f62512916cf38</w:t>
      </w:r>
      <w:r>
        <w:rPr>
          <w:rFonts w:ascii="Arial" w:cs="Arial" w:eastAsia="Arial" w:hAnsi="Arial"/>
          <w:sz w:val="16"/>
          <w:szCs w:val="16"/>
          <w:color w:val="auto"/>
        </w:rPr>
        <w:t>. Once registered, the participant will receive an email confirmation with the dial-in information and a personalized PIN number to access the conference call. Only one person can use this PIN at a time. If you need additional PINs please register multiple times.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After the conference call, an archived recording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2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$1.0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9"/>
                <w:szCs w:val="19"/>
                <w:color w:val="auto"/>
              </w:rPr>
            </w:pPr>
          </w:p>
        </w:tc>
        <w:tc>
          <w:tcPr>
            <w:tcW w:w="28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1"/>
                <w:szCs w:val="21"/>
                <w:color w:val="auto"/>
              </w:rPr>
            </w:pPr>
          </w:p>
        </w:tc>
        <w:tc>
          <w:tcPr>
            <w:tcW w:w="288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September 30,</w:t>
            </w:r>
          </w:p>
        </w:tc>
      </w:tr>
      <w:tr>
        <w:trPr>
          <w:trHeight w:val="237"/>
        </w:trPr>
        <w:tc>
          <w:tcPr>
            <w:tcW w:w="49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D5DCE4"/>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0"/>
                <w:szCs w:val="20"/>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40" w:type="dxa"/>
            <w:vAlign w:val="bottom"/>
            <w:shd w:val="clear" w:color="auto" w:fill="D5DCE4"/>
          </w:tcPr>
          <w:p>
            <w:pPr>
              <w:spacing w:after="0"/>
              <w:rPr>
                <w:sz w:val="20"/>
                <w:szCs w:val="20"/>
                <w:color w:val="auto"/>
              </w:rPr>
            </w:pPr>
          </w:p>
        </w:tc>
        <w:tc>
          <w:tcPr>
            <w:tcW w:w="128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228,015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206,316</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717,489</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629,513</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41,342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41,390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124,337</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117,141</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46,354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45,045</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2,388</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2,617</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7,559</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7,865</w:t>
            </w: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287,115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265,325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895,739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799,564</w:t>
            </w:r>
          </w:p>
        </w:tc>
      </w:tr>
      <w:tr>
        <w:trPr>
          <w:trHeight w:val="274"/>
        </w:trPr>
        <w:tc>
          <w:tcPr>
            <w:tcW w:w="49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2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40" w:type="dxa"/>
            <w:vAlign w:val="bottom"/>
            <w:shd w:val="clear" w:color="auto" w:fill="D5DCE4"/>
          </w:tcPr>
          <w:p>
            <w:pPr>
              <w:spacing w:after="0"/>
              <w:rPr>
                <w:sz w:val="23"/>
                <w:szCs w:val="23"/>
                <w:color w:val="auto"/>
              </w:rPr>
            </w:pPr>
          </w:p>
        </w:tc>
        <w:tc>
          <w:tcPr>
            <w:tcW w:w="1280" w:type="dxa"/>
            <w:vAlign w:val="bottom"/>
            <w:shd w:val="clear" w:color="auto" w:fill="D5DCE4"/>
          </w:tcPr>
          <w:p>
            <w:pPr>
              <w:spacing w:after="0"/>
              <w:rPr>
                <w:sz w:val="23"/>
                <w:szCs w:val="23"/>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102,720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98,036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330,601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300,107</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44,823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133,998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127,656</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16,816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14,747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48,626</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42,248</w:t>
            </w: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21,809</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9,400</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8,897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25,832</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28,993</w:t>
            </w:r>
          </w:p>
        </w:tc>
      </w:tr>
      <w:tr>
        <w:trPr>
          <w:trHeight w:val="237"/>
        </w:trPr>
        <w:tc>
          <w:tcPr>
            <w:tcW w:w="498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10,857</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11,104</w:t>
            </w:r>
          </w:p>
        </w:tc>
      </w:tr>
      <w:tr>
        <w:trPr>
          <w:trHeight w:val="243"/>
        </w:trPr>
        <w:tc>
          <w:tcPr>
            <w:tcW w:w="498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184,305</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179,797</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574,720</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531,917</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102,810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85,528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321,019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267,647</w:t>
            </w:r>
          </w:p>
        </w:tc>
      </w:tr>
      <w:tr>
        <w:trPr>
          <w:trHeight w:val="247"/>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Net interest income (expense)</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3,413</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(361)</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3,507</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(1,179)</w:t>
            </w:r>
          </w:p>
        </w:tc>
      </w:tr>
      <w:tr>
        <w:trPr>
          <w:trHeight w:val="233"/>
        </w:trPr>
        <w:tc>
          <w:tcPr>
            <w:tcW w:w="498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106,223</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85,167</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324,526</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266,468</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(24,657)</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(19,862)</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(63,915)</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(53,365)</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81,566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65,305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260,611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213,103</w:t>
            </w:r>
          </w:p>
        </w:tc>
      </w:tr>
      <w:tr>
        <w:trPr>
          <w:trHeight w:val="24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12,483</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10,542</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40,219</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35,165</w:t>
            </w:r>
          </w:p>
        </w:tc>
      </w:tr>
      <w:tr>
        <w:trPr>
          <w:trHeight w:val="24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69,083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54,763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220,392</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177,938</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24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2"/>
        </w:trPr>
        <w:tc>
          <w:tcPr>
            <w:tcW w:w="4980" w:type="dxa"/>
            <w:vAlign w:val="bottom"/>
          </w:tcPr>
          <w:p>
            <w:pPr>
              <w:ind w:left="20"/>
              <w:spacing w:after="0"/>
              <w:rPr>
                <w:sz w:val="20"/>
                <w:szCs w:val="20"/>
                <w:color w:val="auto"/>
              </w:rPr>
            </w:pPr>
            <w:r>
              <w:rPr>
                <w:rFonts w:ascii="Arial" w:cs="Arial" w:eastAsia="Arial" w:hAnsi="Arial"/>
                <w:sz w:val="16"/>
                <w:szCs w:val="16"/>
                <w:color w:val="auto"/>
              </w:rPr>
              <w:t>and B common stockholders: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6"/>
        </w:trPr>
        <w:tc>
          <w:tcPr>
            <w:tcW w:w="498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0.34</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3"/>
                <w:szCs w:val="23"/>
                <w:color w:val="auto"/>
              </w:rPr>
            </w:pP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1.08</w:t>
            </w:r>
          </w:p>
        </w:tc>
        <w:tc>
          <w:tcPr>
            <w:tcW w:w="80" w:type="dxa"/>
            <w:vAlign w:val="bottom"/>
            <w:tcBorders>
              <w:bottom w:val="single" w:sz="8" w:color="D5DCE4"/>
            </w:tcBorders>
            <w:shd w:val="clear" w:color="auto" w:fill="D5DCE4"/>
          </w:tcPr>
          <w:p>
            <w:pPr>
              <w:spacing w:after="0"/>
              <w:rPr>
                <w:sz w:val="23"/>
                <w:szCs w:val="23"/>
                <w:color w:val="auto"/>
              </w:rPr>
            </w:pPr>
          </w:p>
        </w:tc>
        <w:tc>
          <w:tcPr>
            <w:tcW w:w="24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0.89</w:t>
            </w:r>
          </w:p>
        </w:tc>
      </w:tr>
      <w:tr>
        <w:trPr>
          <w:trHeight w:val="20"/>
        </w:trPr>
        <w:tc>
          <w:tcPr>
            <w:tcW w:w="49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r>
      <w:tr>
        <w:trPr>
          <w:trHeight w:val="20"/>
        </w:trPr>
        <w:tc>
          <w:tcPr>
            <w:tcW w:w="49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4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r>
      <w:tr>
        <w:trPr>
          <w:trHeight w:val="235"/>
        </w:trPr>
        <w:tc>
          <w:tcPr>
            <w:tcW w:w="498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205,721,162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202,238,122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204,767,261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201,029,196</w:t>
            </w:r>
          </w:p>
        </w:tc>
      </w:tr>
      <w:tr>
        <w:trPr>
          <w:trHeight w:val="251"/>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208,329,469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208,197,439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207,748,037</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206,908,330</w:t>
            </w:r>
          </w:p>
        </w:tc>
      </w:tr>
    </w:tbl>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9"/>
                <w:szCs w:val="19"/>
                <w:color w:val="auto"/>
              </w:rPr>
            </w:pPr>
          </w:p>
        </w:tc>
        <w:tc>
          <w:tcPr>
            <w:tcW w:w="28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EBITDA,</w:t>
            </w: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80" w:type="dxa"/>
            <w:vAlign w:val="bottom"/>
            <w:gridSpan w:val="2"/>
            <w:vMerge w:val="restart"/>
          </w:tcPr>
          <w:p>
            <w:pPr>
              <w:ind w:left="20"/>
              <w:spacing w:after="0" w:line="175" w:lineRule="exact"/>
              <w:rPr>
                <w:sz w:val="20"/>
                <w:szCs w:val="20"/>
                <w:color w:val="auto"/>
              </w:rPr>
            </w:pPr>
            <w:r>
              <w:rPr>
                <w:rFonts w:ascii="Arial" w:cs="Arial" w:eastAsia="Arial" w:hAnsi="Arial"/>
                <w:sz w:val="16"/>
                <w:szCs w:val="16"/>
                <w:b w:val="1"/>
                <w:bCs w:val="1"/>
                <w:color w:val="auto"/>
              </w:rPr>
              <w:t>Adjusted EBITDA Margin, Adjusted EBIT and Adjusted</w:t>
            </w: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46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EBIT Margin</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7"/>
        </w:trPr>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gridSpan w:val="5"/>
          </w:tcPr>
          <w:p>
            <w:pPr>
              <w:ind w:left="220"/>
              <w:spacing w:after="0"/>
              <w:rPr>
                <w:sz w:val="20"/>
                <w:szCs w:val="20"/>
                <w:color w:val="auto"/>
              </w:rPr>
            </w:pPr>
            <w:r>
              <w:rPr>
                <w:rFonts w:ascii="Arial" w:cs="Arial" w:eastAsia="Arial" w:hAnsi="Arial"/>
                <w:sz w:val="16"/>
                <w:szCs w:val="16"/>
                <w:b w:val="1"/>
                <w:bCs w:val="1"/>
                <w:color w:val="auto"/>
              </w:rPr>
              <w:t>(dollars in thousands)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81,566</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65,305</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260,611</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213,103</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5,186</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(3,413)</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361</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(3,507)</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44,778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44,823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133,998</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127,656</w:t>
            </w:r>
          </w:p>
        </w:tc>
        <w:tc>
          <w:tcPr>
            <w:tcW w:w="0" w:type="dxa"/>
            <w:vAlign w:val="bottom"/>
          </w:tcPr>
          <w:p>
            <w:pPr>
              <w:spacing w:after="0"/>
              <w:rPr>
                <w:sz w:val="1"/>
                <w:szCs w:val="1"/>
                <w:color w:val="auto"/>
              </w:rPr>
            </w:pPr>
          </w:p>
        </w:tc>
      </w:tr>
      <w:tr>
        <w:trPr>
          <w:trHeight w:val="251"/>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2,675</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1,995</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13,839</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11,181</w:t>
            </w:r>
          </w:p>
        </w:tc>
        <w:tc>
          <w:tcPr>
            <w:tcW w:w="0" w:type="dxa"/>
            <w:vAlign w:val="bottom"/>
          </w:tcPr>
          <w:p>
            <w:pPr>
              <w:spacing w:after="0"/>
              <w:rPr>
                <w:sz w:val="1"/>
                <w:szCs w:val="1"/>
                <w:color w:val="auto"/>
              </w:rPr>
            </w:pPr>
          </w:p>
        </w:tc>
      </w:tr>
      <w:tr>
        <w:trPr>
          <w:trHeight w:val="23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24,657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19,862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63,915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53,365</w:t>
            </w:r>
          </w:p>
        </w:tc>
        <w:tc>
          <w:tcPr>
            <w:tcW w:w="0" w:type="dxa"/>
            <w:vAlign w:val="bottom"/>
          </w:tcPr>
          <w:p>
            <w:pPr>
              <w:spacing w:after="0"/>
              <w:rPr>
                <w:sz w:val="1"/>
                <w:szCs w:val="1"/>
                <w:color w:val="auto"/>
              </w:rPr>
            </w:pPr>
          </w:p>
        </w:tc>
      </w:tr>
      <w:tr>
        <w:trPr>
          <w:trHeight w:val="251"/>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141</w:t>
            </w:r>
          </w:p>
        </w:tc>
        <w:tc>
          <w:tcPr>
            <w:tcW w:w="80" w:type="dxa"/>
            <w:vAlign w:val="bottom"/>
            <w:shd w:val="clear" w:color="auto" w:fill="D5DCE4"/>
          </w:tcPr>
          <w:p>
            <w:pPr>
              <w:spacing w:after="0"/>
              <w:rPr>
                <w:sz w:val="21"/>
                <w:szCs w:val="21"/>
                <w:color w:val="auto"/>
              </w:rPr>
            </w:pPr>
          </w:p>
        </w:tc>
        <w:tc>
          <w:tcPr>
            <w:tcW w:w="360" w:type="dxa"/>
            <w:vAlign w:val="bottom"/>
            <w:shd w:val="clear" w:color="auto" w:fill="D5DCE4"/>
          </w:tcPr>
          <w:p>
            <w:pPr>
              <w:spacing w:after="0"/>
              <w:rPr>
                <w:sz w:val="21"/>
                <w:szCs w:val="21"/>
                <w:color w:val="auto"/>
              </w:rPr>
            </w:pPr>
          </w:p>
        </w:tc>
        <w:tc>
          <w:tcPr>
            <w:tcW w:w="12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(6,306)</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02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(4,742)</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3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68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146,334</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560" w:type="dxa"/>
            <w:vAlign w:val="bottom"/>
            <w:tcBorders>
              <w:top w:val="single" w:sz="8" w:color="auto"/>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132,946</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360" w:type="dxa"/>
            <w:vAlign w:val="bottom"/>
            <w:tcBorders>
              <w:top w:val="single" w:sz="8" w:color="auto"/>
              <w:bottom w:val="single" w:sz="8" w:color="auto"/>
            </w:tcBorders>
            <w:shd w:val="clear" w:color="auto" w:fill="D5DC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462,590</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560" w:type="dxa"/>
            <w:vAlign w:val="bottom"/>
            <w:tcBorders>
              <w:top w:val="single" w:sz="8" w:color="auto"/>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406,928</w:t>
            </w:r>
          </w:p>
        </w:tc>
        <w:tc>
          <w:tcPr>
            <w:tcW w:w="0" w:type="dxa"/>
            <w:vAlign w:val="bottom"/>
          </w:tcPr>
          <w:p>
            <w:pPr>
              <w:spacing w:after="0"/>
              <w:rPr>
                <w:sz w:val="1"/>
                <w:szCs w:val="1"/>
                <w:color w:val="auto"/>
              </w:rPr>
            </w:pPr>
          </w:p>
        </w:tc>
      </w:tr>
      <w:tr>
        <w:trPr>
          <w:trHeight w:val="20"/>
        </w:trPr>
        <w:tc>
          <w:tcPr>
            <w:tcW w:w="46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6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Less: Depreciation and amortization</w:t>
            </w: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(44,778)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(44,823)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(133,998)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(127,656)</w:t>
            </w:r>
          </w:p>
        </w:tc>
        <w:tc>
          <w:tcPr>
            <w:tcW w:w="0" w:type="dxa"/>
            <w:vAlign w:val="bottom"/>
          </w:tcPr>
          <w:p>
            <w:pPr>
              <w:spacing w:after="0"/>
              <w:rPr>
                <w:sz w:val="1"/>
                <w:szCs w:val="1"/>
                <w:color w:val="auto"/>
              </w:rPr>
            </w:pPr>
          </w:p>
        </w:tc>
      </w:tr>
      <w:tr>
        <w:trPr>
          <w:trHeight w:val="183"/>
        </w:trPr>
        <w:tc>
          <w:tcPr>
            <w:tcW w:w="46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 Transaction</w:t>
            </w: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31,558</w:t>
            </w:r>
          </w:p>
        </w:tc>
        <w:tc>
          <w:tcPr>
            <w:tcW w:w="80" w:type="dxa"/>
            <w:vAlign w:val="bottom"/>
            <w:shd w:val="clear" w:color="auto" w:fill="D5DCE4"/>
          </w:tcPr>
          <w:p>
            <w:pPr>
              <w:spacing w:after="0"/>
              <w:rPr>
                <w:sz w:val="15"/>
                <w:szCs w:val="15"/>
                <w:color w:val="auto"/>
              </w:rPr>
            </w:pPr>
          </w:p>
        </w:tc>
        <w:tc>
          <w:tcPr>
            <w:tcW w:w="560" w:type="dxa"/>
            <w:vAlign w:val="bottom"/>
            <w:shd w:val="clear" w:color="auto" w:fill="D5DCE4"/>
          </w:tcPr>
          <w:p>
            <w:pPr>
              <w:spacing w:after="0"/>
              <w:rPr>
                <w:sz w:val="15"/>
                <w:szCs w:val="15"/>
                <w:color w:val="auto"/>
              </w:rPr>
            </w:pPr>
          </w:p>
        </w:tc>
        <w:tc>
          <w:tcPr>
            <w:tcW w:w="10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32,956</w:t>
            </w:r>
          </w:p>
        </w:tc>
        <w:tc>
          <w:tcPr>
            <w:tcW w:w="80" w:type="dxa"/>
            <w:vAlign w:val="bottom"/>
            <w:shd w:val="clear" w:color="auto" w:fill="D5DCE4"/>
          </w:tcPr>
          <w:p>
            <w:pPr>
              <w:spacing w:after="0"/>
              <w:rPr>
                <w:sz w:val="15"/>
                <w:szCs w:val="15"/>
                <w:color w:val="auto"/>
              </w:rPr>
            </w:pPr>
          </w:p>
        </w:tc>
        <w:tc>
          <w:tcPr>
            <w:tcW w:w="36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95,088</w:t>
            </w:r>
          </w:p>
        </w:tc>
        <w:tc>
          <w:tcPr>
            <w:tcW w:w="80" w:type="dxa"/>
            <w:vAlign w:val="bottom"/>
            <w:shd w:val="clear" w:color="auto" w:fill="D5DCE4"/>
          </w:tcPr>
          <w:p>
            <w:pPr>
              <w:spacing w:after="0"/>
              <w:rPr>
                <w:sz w:val="15"/>
                <w:szCs w:val="15"/>
                <w:color w:val="auto"/>
              </w:rPr>
            </w:pPr>
          </w:p>
        </w:tc>
        <w:tc>
          <w:tcPr>
            <w:tcW w:w="560" w:type="dxa"/>
            <w:vAlign w:val="bottom"/>
            <w:shd w:val="clear" w:color="auto" w:fill="D5DCE4"/>
          </w:tcPr>
          <w:p>
            <w:pPr>
              <w:spacing w:after="0"/>
              <w:rPr>
                <w:sz w:val="15"/>
                <w:szCs w:val="15"/>
                <w:color w:val="auto"/>
              </w:rPr>
            </w:pPr>
          </w:p>
        </w:tc>
        <w:tc>
          <w:tcPr>
            <w:tcW w:w="1020" w:type="dxa"/>
            <w:vAlign w:val="bottom"/>
            <w:vMerge w:val="restart"/>
            <w:shd w:val="clear" w:color="auto" w:fill="D5DCE4"/>
          </w:tcPr>
          <w:p>
            <w:pPr>
              <w:jc w:val="right"/>
              <w:ind w:right="119"/>
              <w:spacing w:after="0"/>
              <w:rPr>
                <w:sz w:val="20"/>
                <w:szCs w:val="20"/>
                <w:color w:val="auto"/>
              </w:rPr>
            </w:pPr>
            <w:r>
              <w:rPr>
                <w:rFonts w:ascii="Arial" w:cs="Arial" w:eastAsia="Arial" w:hAnsi="Arial"/>
                <w:sz w:val="16"/>
                <w:szCs w:val="16"/>
                <w:color w:val="auto"/>
              </w:rPr>
              <w:t>92,799</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560" w:type="dxa"/>
            <w:vAlign w:val="bottom"/>
            <w:tcBorders>
              <w:bottom w:val="single" w:sz="8" w:color="D5DCE4"/>
            </w:tcBorders>
            <w:shd w:val="clear" w:color="auto" w:fill="D5DCE4"/>
          </w:tcPr>
          <w:p>
            <w:pPr>
              <w:spacing w:after="0"/>
              <w:rPr>
                <w:sz w:val="17"/>
                <w:szCs w:val="17"/>
                <w:color w:val="auto"/>
              </w:rPr>
            </w:pPr>
          </w:p>
        </w:tc>
        <w:tc>
          <w:tcPr>
            <w:tcW w:w="10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360" w:type="dxa"/>
            <w:vAlign w:val="bottom"/>
            <w:tcBorders>
              <w:bottom w:val="single" w:sz="8" w:color="D5DCE4"/>
            </w:tcBorders>
            <w:shd w:val="clear" w:color="auto" w:fill="D5DCE4"/>
          </w:tcPr>
          <w:p>
            <w:pPr>
              <w:spacing w:after="0"/>
              <w:rPr>
                <w:sz w:val="17"/>
                <w:szCs w:val="17"/>
                <w:color w:val="auto"/>
              </w:rPr>
            </w:pPr>
          </w:p>
        </w:tc>
        <w:tc>
          <w:tcPr>
            <w:tcW w:w="1220" w:type="dxa"/>
            <w:vAlign w:val="bottom"/>
            <w:tcBorders>
              <w:bottom w:val="single" w:sz="8" w:color="D5DCE4"/>
            </w:tcBorders>
            <w:vMerge w:val="continue"/>
            <w:shd w:val="clear" w:color="auto" w:fill="D5DCE4"/>
          </w:tcPr>
          <w:p>
            <w:pPr>
              <w:spacing w:after="0"/>
              <w:rPr>
                <w:sz w:val="17"/>
                <w:szCs w:val="17"/>
                <w:color w:val="auto"/>
              </w:rPr>
            </w:pPr>
          </w:p>
        </w:tc>
        <w:tc>
          <w:tcPr>
            <w:tcW w:w="80" w:type="dxa"/>
            <w:vAlign w:val="bottom"/>
            <w:tcBorders>
              <w:bottom w:val="single" w:sz="8" w:color="D5DCE4"/>
            </w:tcBorders>
            <w:shd w:val="clear" w:color="auto" w:fill="D5DCE4"/>
          </w:tcPr>
          <w:p>
            <w:pPr>
              <w:spacing w:after="0"/>
              <w:rPr>
                <w:sz w:val="17"/>
                <w:szCs w:val="17"/>
                <w:color w:val="auto"/>
              </w:rPr>
            </w:pPr>
          </w:p>
        </w:tc>
        <w:tc>
          <w:tcPr>
            <w:tcW w:w="560" w:type="dxa"/>
            <w:vAlign w:val="bottom"/>
            <w:tcBorders>
              <w:bottom w:val="single" w:sz="8" w:color="D5DCE4"/>
            </w:tcBorders>
            <w:shd w:val="clear" w:color="auto" w:fill="D5DCE4"/>
          </w:tcPr>
          <w:p>
            <w:pPr>
              <w:spacing w:after="0"/>
              <w:rPr>
                <w:sz w:val="17"/>
                <w:szCs w:val="17"/>
                <w:color w:val="auto"/>
              </w:rPr>
            </w:pPr>
          </w:p>
        </w:tc>
        <w:tc>
          <w:tcPr>
            <w:tcW w:w="1020" w:type="dxa"/>
            <w:vAlign w:val="bottom"/>
            <w:tcBorders>
              <w:bottom w:val="single" w:sz="8" w:color="D5DCE4"/>
            </w:tcBorders>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Adjusted EBIT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133,114</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121,079</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423,680</w:t>
            </w:r>
          </w:p>
        </w:tc>
        <w:tc>
          <w:tcPr>
            <w:tcW w:w="8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372,071</w:t>
            </w:r>
          </w:p>
        </w:tc>
        <w:tc>
          <w:tcPr>
            <w:tcW w:w="0" w:type="dxa"/>
            <w:vAlign w:val="bottom"/>
          </w:tcPr>
          <w:p>
            <w:pPr>
              <w:spacing w:after="0"/>
              <w:rPr>
                <w:sz w:val="1"/>
                <w:szCs w:val="1"/>
                <w:color w:val="auto"/>
              </w:rPr>
            </w:pPr>
          </w:p>
        </w:tc>
      </w:tr>
      <w:tr>
        <w:trPr>
          <w:trHeight w:val="20"/>
        </w:trPr>
        <w:tc>
          <w:tcPr>
            <w:tcW w:w="46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51.0 %</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50.1 %</w:t>
            </w:r>
          </w:p>
        </w:tc>
        <w:tc>
          <w:tcPr>
            <w:tcW w:w="80" w:type="dxa"/>
            <w:vAlign w:val="bottom"/>
            <w:shd w:val="clear" w:color="auto" w:fill="D5DCE4"/>
          </w:tcPr>
          <w:p>
            <w:pPr>
              <w:spacing w:after="0"/>
              <w:rPr>
                <w:sz w:val="20"/>
                <w:szCs w:val="20"/>
                <w:color w:val="auto"/>
              </w:rPr>
            </w:pPr>
          </w:p>
        </w:tc>
        <w:tc>
          <w:tcPr>
            <w:tcW w:w="36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51.6 %</w:t>
            </w:r>
          </w:p>
        </w:tc>
        <w:tc>
          <w:tcPr>
            <w:tcW w:w="8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50.9 %</w:t>
            </w:r>
          </w:p>
        </w:tc>
        <w:tc>
          <w:tcPr>
            <w:tcW w:w="0" w:type="dxa"/>
            <w:vAlign w:val="bottom"/>
          </w:tcPr>
          <w:p>
            <w:pPr>
              <w:spacing w:after="0"/>
              <w:rPr>
                <w:sz w:val="1"/>
                <w:szCs w:val="1"/>
                <w:color w:val="auto"/>
              </w:rPr>
            </w:pPr>
          </w:p>
        </w:tc>
      </w:tr>
      <w:tr>
        <w:trPr>
          <w:trHeight w:val="298"/>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46.4 %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47.3 %</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46.5 %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80" w:right="440" w:hanging="411"/>
        <w:spacing w:after="0" w:line="293" w:lineRule="auto"/>
        <w:tabs>
          <w:tab w:leader="none" w:pos="68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 or subsequent planned merger of Execution Access, LLC with Dealerweb Inc.</w:t>
      </w:r>
    </w:p>
    <w:p>
      <w:pPr>
        <w:ind w:left="680" w:right="380" w:hanging="411"/>
        <w:spacing w:after="0" w:line="261" w:lineRule="auto"/>
        <w:tabs>
          <w:tab w:leader="none" w:pos="68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totaling $0.7 million and $1.5 million during the three months ended September 30, 2022 and 2021, respectively, and $4.5 million and $10.7 million during the nine months ended September 30, 2022 and 2021, respectively. During the three and nine months ended September 30, 2022, this adjustment also includes $2.0 million and $9.4 million, respectively, of non-cash accelerated stock-based compensation expense and related payroll taxes associated with our retiring CEO. During the three and nine months ended September 30, 2021, this adjustment also includes $0.5 million of non-cash accelerated stock-based compensation expense and related payroll taxes associated with our former CFO.</w:t>
      </w:r>
    </w:p>
    <w:p>
      <w:pPr>
        <w:spacing w:after="0" w:line="32" w:lineRule="exact"/>
        <w:rPr>
          <w:rFonts w:ascii="Arial" w:cs="Arial" w:eastAsia="Arial" w:hAnsi="Arial"/>
          <w:sz w:val="12"/>
          <w:szCs w:val="12"/>
          <w:color w:val="auto"/>
        </w:rPr>
      </w:pPr>
    </w:p>
    <w:p>
      <w:pPr>
        <w:ind w:left="680" w:right="320" w:hanging="411"/>
        <w:spacing w:after="0" w:line="293" w:lineRule="auto"/>
        <w:tabs>
          <w:tab w:leader="none" w:pos="68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80" w:right="460" w:hanging="411"/>
        <w:spacing w:after="0" w:line="293" w:lineRule="auto"/>
        <w:tabs>
          <w:tab w:leader="none" w:pos="68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680" w:right="340" w:hanging="411"/>
        <w:spacing w:after="0" w:line="264" w:lineRule="auto"/>
        <w:tabs>
          <w:tab w:leader="none" w:pos="68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30" w:lineRule="exact"/>
        <w:rPr>
          <w:rFonts w:ascii="Arial" w:cs="Arial" w:eastAsia="Arial" w:hAnsi="Arial"/>
          <w:sz w:val="12"/>
          <w:szCs w:val="12"/>
          <w:color w:val="auto"/>
        </w:rPr>
      </w:pPr>
    </w:p>
    <w:p>
      <w:pPr>
        <w:ind w:left="680" w:hanging="411"/>
        <w:spacing w:after="0"/>
        <w:tabs>
          <w:tab w:leader="none" w:pos="6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EBITDA margin and Adjusted EBIT margin are defined as Adjusted EBITDA and Adjusted EBIT, respectively, divided by revenue for the applicable period.</w:t>
      </w:r>
    </w:p>
    <w:p>
      <w:pPr>
        <w:sectPr>
          <w:pgSz w:w="11900" w:h="16838" w:orient="portrait"/>
          <w:cols w:equalWidth="0" w:num="1">
            <w:col w:w="11240"/>
          </w:cols>
          <w:pgMar w:left="320" w:top="773" w:right="339"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line="296" w:lineRule="auto"/>
        <w:rPr>
          <w:sz w:val="20"/>
          <w:szCs w:val="20"/>
          <w:color w:val="auto"/>
        </w:rPr>
      </w:pPr>
      <w:r>
        <w:rPr>
          <w:rFonts w:ascii="Arial" w:cs="Arial" w:eastAsia="Arial" w:hAnsi="Arial"/>
          <w:sz w:val="16"/>
          <w:szCs w:val="16"/>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120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47"/>
        </w:trPr>
        <w:tc>
          <w:tcPr>
            <w:tcW w:w="960" w:type="dxa"/>
            <w:vAlign w:val="bottom"/>
          </w:tcPr>
          <w:p>
            <w:pPr>
              <w:spacing w:after="0"/>
              <w:rPr>
                <w:sz w:val="21"/>
                <w:szCs w:val="21"/>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6"/>
                <w:szCs w:val="16"/>
                <w:b w:val="1"/>
                <w:bCs w:val="1"/>
                <w:color w:val="auto"/>
              </w:rPr>
              <w:t>September 30,</w:t>
            </w:r>
          </w:p>
        </w:tc>
        <w:tc>
          <w:tcPr>
            <w:tcW w:w="2120" w:type="dxa"/>
            <w:vAlign w:val="bottom"/>
            <w:gridSpan w:val="3"/>
          </w:tcPr>
          <w:p>
            <w:pPr>
              <w:jc w:val="center"/>
              <w:ind w:left="87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1"/>
                <w:szCs w:val="21"/>
                <w:color w:val="auto"/>
              </w:rPr>
            </w:pPr>
          </w:p>
        </w:tc>
      </w:tr>
      <w:tr>
        <w:trPr>
          <w:trHeight w:val="236"/>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73"/>
        </w:trPr>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78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960" w:type="dxa"/>
            <w:vAlign w:val="bottom"/>
          </w:tcPr>
          <w:p>
            <w:pPr>
              <w:spacing w:after="0"/>
              <w:rPr>
                <w:sz w:val="23"/>
                <w:szCs w:val="23"/>
                <w:color w:val="auto"/>
              </w:rPr>
            </w:pPr>
          </w:p>
        </w:tc>
      </w:tr>
    </w:tbl>
    <w:p>
      <w:pPr>
        <w:spacing w:after="0" w:line="20" w:lineRule="exact"/>
        <w:rPr>
          <w:sz w:val="20"/>
          <w:szCs w:val="20"/>
          <w:color w:val="auto"/>
        </w:rPr>
      </w:pPr>
    </w:p>
    <w:p>
      <w:pPr>
        <w:sectPr>
          <w:pgSz w:w="11900" w:h="16838" w:orient="portrait"/>
          <w:cols w:equalWidth="0" w:num="2">
            <w:col w:w="4440" w:space="560"/>
            <w:col w:w="6240"/>
          </w:cols>
          <w:pgMar w:left="320" w:top="773" w:right="339" w:bottom="5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0.26</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w:t>
            </w:r>
          </w:p>
        </w:tc>
        <w:tc>
          <w:tcPr>
            <w:tcW w:w="80" w:type="dxa"/>
            <w:vAlign w:val="bottom"/>
            <w:tcBorders>
              <w:bottom w:val="single" w:sz="8" w:color="D5DCE4"/>
            </w:tcBorders>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0.86</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5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69,083</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54,763</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220,392</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177,938</w:t>
            </w:r>
          </w:p>
        </w:tc>
      </w:tr>
      <w:tr>
        <w:trPr>
          <w:trHeight w:val="243"/>
        </w:trPr>
        <w:tc>
          <w:tcPr>
            <w:tcW w:w="50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12,483</w:t>
            </w:r>
          </w:p>
        </w:tc>
        <w:tc>
          <w:tcPr>
            <w:tcW w:w="80" w:type="dxa"/>
            <w:vAlign w:val="bottom"/>
            <w:tcBorders>
              <w:bottom w:val="single" w:sz="8" w:color="D5DCE4"/>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10,542</w:t>
            </w:r>
          </w:p>
        </w:tc>
        <w:tc>
          <w:tcPr>
            <w:tcW w:w="80" w:type="dxa"/>
            <w:vAlign w:val="bottom"/>
            <w:tcBorders>
              <w:bottom w:val="single" w:sz="8" w:color="D5DCE4"/>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40,219</w:t>
            </w:r>
          </w:p>
        </w:tc>
        <w:tc>
          <w:tcPr>
            <w:tcW w:w="80" w:type="dxa"/>
            <w:vAlign w:val="bottom"/>
            <w:tcBorders>
              <w:bottom w:val="single" w:sz="8" w:color="D5DCE4"/>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35,165</w:t>
            </w:r>
          </w:p>
        </w:tc>
      </w:tr>
      <w:tr>
        <w:trPr>
          <w:trHeight w:val="237"/>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81,566</w:t>
            </w:r>
          </w:p>
        </w:tc>
        <w:tc>
          <w:tcPr>
            <w:tcW w:w="80" w:type="dxa"/>
            <w:vAlign w:val="bottom"/>
            <w:shd w:val="clear" w:color="auto" w:fill="D5DCE4"/>
          </w:tcPr>
          <w:p>
            <w:pPr>
              <w:spacing w:after="0"/>
              <w:rPr>
                <w:sz w:val="20"/>
                <w:szCs w:val="20"/>
                <w:color w:val="auto"/>
              </w:rPr>
            </w:pP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65,305</w:t>
            </w:r>
          </w:p>
        </w:tc>
        <w:tc>
          <w:tcPr>
            <w:tcW w:w="80" w:type="dxa"/>
            <w:vAlign w:val="bottom"/>
            <w:shd w:val="clear" w:color="auto" w:fill="D5DCE4"/>
          </w:tcPr>
          <w:p>
            <w:pPr>
              <w:spacing w:after="0"/>
              <w:rPr>
                <w:sz w:val="20"/>
                <w:szCs w:val="20"/>
                <w:color w:val="auto"/>
              </w:rPr>
            </w:pP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260,611</w:t>
            </w:r>
          </w:p>
        </w:tc>
        <w:tc>
          <w:tcPr>
            <w:tcW w:w="80" w:type="dxa"/>
            <w:vAlign w:val="bottom"/>
            <w:shd w:val="clear" w:color="auto" w:fill="D5DCE4"/>
          </w:tcPr>
          <w:p>
            <w:pPr>
              <w:spacing w:after="0"/>
              <w:rPr>
                <w:sz w:val="20"/>
                <w:szCs w:val="20"/>
                <w:color w:val="auto"/>
              </w:rPr>
            </w:pPr>
          </w:p>
        </w:tc>
        <w:tc>
          <w:tcPr>
            <w:tcW w:w="480" w:type="dxa"/>
            <w:vAlign w:val="bottom"/>
            <w:shd w:val="clear" w:color="auto" w:fill="D5DCE4"/>
          </w:tcPr>
          <w:p>
            <w:pPr>
              <w:spacing w:after="0"/>
              <w:rPr>
                <w:sz w:val="20"/>
                <w:szCs w:val="20"/>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213,103</w:t>
            </w:r>
          </w:p>
        </w:tc>
      </w:tr>
      <w:tr>
        <w:trPr>
          <w:trHeight w:val="235"/>
        </w:trPr>
        <w:tc>
          <w:tcPr>
            <w:tcW w:w="50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24,657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19,862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63,915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53,365</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(2)</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459</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5,186</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31,558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32,956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95,088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92,799</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2,675</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1,995</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13,839</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11,181</w:t>
            </w:r>
          </w:p>
        </w:tc>
      </w:tr>
      <w:tr>
        <w:trPr>
          <w:trHeight w:val="243"/>
        </w:trPr>
        <w:tc>
          <w:tcPr>
            <w:tcW w:w="500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(6,306)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(4,742)</w:t>
            </w:r>
          </w:p>
        </w:tc>
      </w:tr>
      <w:tr>
        <w:trPr>
          <w:trHeight w:val="243"/>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1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136,527</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120,718</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427,187</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370,892</w:t>
            </w:r>
          </w:p>
        </w:tc>
      </w:tr>
      <w:tr>
        <w:trPr>
          <w:trHeight w:val="251"/>
        </w:trPr>
        <w:tc>
          <w:tcPr>
            <w:tcW w:w="50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(30,036)</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(26,558)</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(93,982)</w:t>
            </w:r>
          </w:p>
        </w:tc>
        <w:tc>
          <w:tcPr>
            <w:tcW w:w="80" w:type="dxa"/>
            <w:vAlign w:val="bottom"/>
            <w:shd w:val="clear" w:color="auto" w:fill="D5DCE4"/>
          </w:tcPr>
          <w:p>
            <w:pPr>
              <w:spacing w:after="0"/>
              <w:rPr>
                <w:sz w:val="21"/>
                <w:szCs w:val="21"/>
                <w:color w:val="auto"/>
              </w:rPr>
            </w:pPr>
          </w:p>
        </w:tc>
        <w:tc>
          <w:tcPr>
            <w:tcW w:w="4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(81,596)</w:t>
            </w:r>
          </w:p>
        </w:tc>
      </w:tr>
      <w:tr>
        <w:trPr>
          <w:trHeight w:val="230"/>
        </w:trPr>
        <w:tc>
          <w:tcPr>
            <w:tcW w:w="50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106,491</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94,160</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333,205</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289,296</w:t>
            </w:r>
          </w:p>
        </w:tc>
      </w:tr>
      <w:tr>
        <w:trPr>
          <w:trHeight w:val="20"/>
        </w:trPr>
        <w:tc>
          <w:tcPr>
            <w:tcW w:w="500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8"/>
        </w:trPr>
        <w:tc>
          <w:tcPr>
            <w:tcW w:w="50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0.45</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0.39</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1.22</w:t>
            </w:r>
          </w:p>
        </w:tc>
      </w:tr>
      <w:tr>
        <w:trPr>
          <w:trHeight w:val="20"/>
        </w:trPr>
        <w:tc>
          <w:tcPr>
            <w:tcW w:w="50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20" w:type="dxa"/>
            <w:vAlign w:val="bottom"/>
            <w:tcBorders>
              <w:top w:val="single" w:sz="8" w:color="D5DCE4"/>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680" w:right="580" w:hanging="411"/>
        <w:spacing w:after="0" w:line="293" w:lineRule="auto"/>
        <w:tabs>
          <w:tab w:leader="none" w:pos="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680" w:right="440" w:hanging="411"/>
        <w:spacing w:after="0" w:line="294" w:lineRule="auto"/>
        <w:tabs>
          <w:tab w:leader="none" w:pos="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 or subsequent planned merger of Execution Access, LLC with Dealerweb Inc.</w:t>
      </w:r>
    </w:p>
    <w:p>
      <w:pPr>
        <w:sectPr>
          <w:pgSz w:w="11900" w:h="16838" w:orient="portrait"/>
          <w:cols w:equalWidth="0" w:num="1">
            <w:col w:w="11240"/>
          </w:cols>
          <w:pgMar w:left="320" w:top="773" w:right="339" w:bottom="5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773" w:right="339" w:bottom="540" w:gutter="0" w:footer="0" w:header="0"/>
          <w:type w:val="continuous"/>
        </w:sectPr>
      </w:pPr>
    </w:p>
    <w:bookmarkStart w:id="8" w:name="page9"/>
    <w:bookmarkEnd w:id="8"/>
    <w:p>
      <w:pPr>
        <w:ind w:left="680" w:right="340" w:hanging="411"/>
        <w:spacing w:after="0" w:line="264"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30" w:lineRule="exact"/>
        <w:rPr>
          <w:rFonts w:ascii="Arial" w:cs="Arial" w:eastAsia="Arial" w:hAnsi="Arial"/>
          <w:sz w:val="12"/>
          <w:szCs w:val="12"/>
          <w:color w:val="auto"/>
        </w:rPr>
      </w:pPr>
    </w:p>
    <w:p>
      <w:pPr>
        <w:ind w:left="680" w:right="380" w:hanging="411"/>
        <w:spacing w:after="0" w:line="261"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totaling $0.7 million and $1.5 million during the three months ended September 30, 2022 and 2021, respectively, and $4.5 million and $10.7 million during the nine months ended September 30, 2022 and 2021, respectively. During the three and nine months ended September 30, 2022, this adjustment also includes $2.0 million and $9.4 million, respectively, of non-cash accelerated stock-based compensation expense and related payroll taxes associated with our retiring CEO. During the three and nine months ended September 30, 2021, this adjustment also includes $0.5 million of non-cash accelerated stock-based compensation expense and related payroll taxes associated with our former CFO.</w:t>
      </w:r>
    </w:p>
    <w:p>
      <w:pPr>
        <w:spacing w:after="0" w:line="32" w:lineRule="exact"/>
        <w:rPr>
          <w:rFonts w:ascii="Arial" w:cs="Arial" w:eastAsia="Arial" w:hAnsi="Arial"/>
          <w:sz w:val="12"/>
          <w:szCs w:val="12"/>
          <w:color w:val="auto"/>
        </w:rPr>
      </w:pPr>
    </w:p>
    <w:p>
      <w:pPr>
        <w:ind w:left="680" w:right="320" w:hanging="411"/>
        <w:spacing w:after="0" w:line="293"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80" w:right="460" w:hanging="411"/>
        <w:spacing w:after="0" w:line="271"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spacing w:after="0" w:line="93" w:lineRule="exact"/>
        <w:rPr>
          <w:rFonts w:ascii="Arial" w:cs="Arial" w:eastAsia="Arial" w:hAnsi="Arial"/>
          <w:sz w:val="12"/>
          <w:szCs w:val="12"/>
          <w:color w:val="auto"/>
        </w:rPr>
      </w:pPr>
    </w:p>
    <w:p>
      <w:pPr>
        <w:ind w:left="680" w:right="460" w:hanging="411"/>
        <w:spacing w:after="0" w:line="271"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 applied to Adjusted Net Income before income taxes for each of the three and nine months ended September 30, 2022 and 2021.</w:t>
      </w:r>
    </w:p>
    <w:p>
      <w:pPr>
        <w:spacing w:after="0" w:line="25" w:lineRule="exact"/>
        <w:rPr>
          <w:rFonts w:ascii="Arial" w:cs="Arial" w:eastAsia="Arial" w:hAnsi="Arial"/>
          <w:sz w:val="12"/>
          <w:szCs w:val="12"/>
          <w:color w:val="auto"/>
        </w:rPr>
      </w:pPr>
    </w:p>
    <w:p>
      <w:pPr>
        <w:ind w:left="680" w:right="360" w:hanging="411"/>
        <w:spacing w:after="0" w:line="271"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828" w:right="339" w:bottom="1440" w:gutter="0" w:footer="0" w:header="0"/>
        </w:sectPr>
      </w:pPr>
    </w:p>
    <w:p>
      <w:pPr>
        <w:spacing w:after="0" w:line="199" w:lineRule="exact"/>
        <w:rPr>
          <w:sz w:val="20"/>
          <w:szCs w:val="20"/>
          <w:color w:val="auto"/>
        </w:rPr>
      </w:pPr>
    </w:p>
    <w:p>
      <w:pPr>
        <w:ind w:left="20" w:right="280"/>
        <w:spacing w:after="0" w:line="280"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60"/>
        </w:trPr>
        <w:tc>
          <w:tcPr>
            <w:tcW w:w="960" w:type="dxa"/>
            <w:vAlign w:val="bottom"/>
          </w:tcPr>
          <w:p>
            <w:pPr>
              <w:spacing w:after="0"/>
              <w:rPr>
                <w:sz w:val="22"/>
                <w:szCs w:val="22"/>
                <w:color w:val="auto"/>
              </w:rPr>
            </w:pPr>
          </w:p>
        </w:tc>
        <w:tc>
          <w:tcPr>
            <w:tcW w:w="2220" w:type="dxa"/>
            <w:vAlign w:val="bottom"/>
            <w:gridSpan w:val="4"/>
          </w:tcPr>
          <w:p>
            <w:pPr>
              <w:jc w:val="center"/>
              <w:ind w:right="104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2"/>
                <w:szCs w:val="22"/>
                <w:color w:val="auto"/>
              </w:rPr>
            </w:pPr>
          </w:p>
        </w:tc>
        <w:tc>
          <w:tcPr>
            <w:tcW w:w="2140" w:type="dxa"/>
            <w:vAlign w:val="bottom"/>
            <w:gridSpan w:val="3"/>
          </w:tcPr>
          <w:p>
            <w:pPr>
              <w:jc w:val="center"/>
              <w:ind w:right="879"/>
              <w:spacing w:after="0"/>
              <w:rPr>
                <w:sz w:val="20"/>
                <w:szCs w:val="20"/>
                <w:color w:val="auto"/>
              </w:rPr>
            </w:pPr>
            <w:r>
              <w:rPr>
                <w:rFonts w:ascii="Arial" w:cs="Arial" w:eastAsia="Arial" w:hAnsi="Arial"/>
                <w:sz w:val="16"/>
                <w:szCs w:val="16"/>
                <w:b w:val="1"/>
                <w:bCs w:val="1"/>
                <w:color w:val="auto"/>
              </w:rPr>
              <w:t>September 30,</w:t>
            </w:r>
          </w:p>
        </w:tc>
      </w:tr>
      <w:tr>
        <w:trPr>
          <w:trHeight w:val="236"/>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-8255</wp:posOffset>
            </wp:positionV>
            <wp:extent cx="71323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5" w:lineRule="exact"/>
        <w:rPr>
          <w:sz w:val="20"/>
          <w:szCs w:val="20"/>
          <w:color w:val="auto"/>
        </w:rPr>
      </w:pPr>
    </w:p>
    <w:p>
      <w:pPr>
        <w:ind w:left="520"/>
        <w:spacing w:after="0"/>
        <w:tabs>
          <w:tab w:leader="none" w:pos="2100" w:val="left"/>
          <w:tab w:leader="none" w:pos="3700" w:val="left"/>
          <w:tab w:leader="none" w:pos="5280" w:val="left"/>
        </w:tabs>
        <w:rPr>
          <w:sz w:val="20"/>
          <w:szCs w:val="20"/>
          <w:color w:val="auto"/>
        </w:rPr>
      </w:pPr>
      <w:r>
        <w:rPr>
          <w:rFonts w:ascii="Arial" w:cs="Arial" w:eastAsia="Arial" w:hAnsi="Arial"/>
          <w:sz w:val="16"/>
          <w:szCs w:val="16"/>
          <w:color w:val="auto"/>
        </w:rPr>
        <w:t>208,329,469</w:t>
      </w:r>
      <w:r>
        <w:rPr>
          <w:sz w:val="20"/>
          <w:szCs w:val="20"/>
          <w:color w:val="auto"/>
        </w:rPr>
        <w:tab/>
      </w:r>
      <w:r>
        <w:rPr>
          <w:rFonts w:ascii="Arial" w:cs="Arial" w:eastAsia="Arial" w:hAnsi="Arial"/>
          <w:sz w:val="16"/>
          <w:szCs w:val="16"/>
          <w:color w:val="auto"/>
        </w:rPr>
        <w:t>208,197,439</w:t>
      </w:r>
      <w:r>
        <w:rPr>
          <w:sz w:val="20"/>
          <w:szCs w:val="20"/>
          <w:color w:val="auto"/>
        </w:rPr>
        <w:tab/>
      </w:r>
      <w:r>
        <w:rPr>
          <w:rFonts w:ascii="Arial" w:cs="Arial" w:eastAsia="Arial" w:hAnsi="Arial"/>
          <w:sz w:val="16"/>
          <w:szCs w:val="16"/>
          <w:color w:val="auto"/>
        </w:rPr>
        <w:t>207,748,037</w:t>
      </w:r>
      <w:r>
        <w:rPr>
          <w:sz w:val="20"/>
          <w:szCs w:val="20"/>
          <w:color w:val="auto"/>
        </w:rPr>
        <w:tab/>
      </w:r>
      <w:r>
        <w:rPr>
          <w:rFonts w:ascii="Arial" w:cs="Arial" w:eastAsia="Arial" w:hAnsi="Arial"/>
          <w:sz w:val="16"/>
          <w:szCs w:val="16"/>
          <w:color w:val="auto"/>
        </w:rPr>
        <w:t>206,908,330</w:t>
      </w:r>
    </w:p>
    <w:p>
      <w:pPr>
        <w:spacing w:after="0" w:line="59" w:lineRule="exact"/>
        <w:rPr>
          <w:sz w:val="20"/>
          <w:szCs w:val="20"/>
          <w:color w:val="auto"/>
        </w:rPr>
      </w:pPr>
    </w:p>
    <w:p>
      <w:pPr>
        <w:ind w:left="840"/>
        <w:spacing w:after="0"/>
        <w:tabs>
          <w:tab w:leader="none" w:pos="2840" w:val="left"/>
          <w:tab w:leader="none" w:pos="4020" w:val="left"/>
          <w:tab w:leader="none" w:pos="6020" w:val="left"/>
        </w:tabs>
        <w:rPr>
          <w:sz w:val="20"/>
          <w:szCs w:val="20"/>
          <w:color w:val="auto"/>
        </w:rPr>
      </w:pPr>
      <w:r>
        <w:rPr>
          <w:rFonts w:ascii="Arial" w:cs="Arial" w:eastAsia="Arial" w:hAnsi="Arial"/>
          <w:sz w:val="16"/>
          <w:szCs w:val="16"/>
          <w:color w:val="auto"/>
        </w:rPr>
        <w:t>246,238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121,115</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29210</wp:posOffset>
            </wp:positionV>
            <wp:extent cx="713232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42" w:lineRule="exact"/>
        <w:rPr>
          <w:sz w:val="20"/>
          <w:szCs w:val="20"/>
          <w:color w:val="auto"/>
        </w:rPr>
      </w:pPr>
    </w:p>
    <w:p>
      <w:pPr>
        <w:ind w:left="620"/>
        <w:spacing w:after="0"/>
        <w:tabs>
          <w:tab w:leader="none" w:pos="2200" w:val="left"/>
          <w:tab w:leader="none" w:pos="3780" w:val="left"/>
          <w:tab w:leader="none" w:pos="5380" w:val="left"/>
        </w:tabs>
        <w:rPr>
          <w:sz w:val="20"/>
          <w:szCs w:val="20"/>
          <w:color w:val="auto"/>
        </w:rPr>
      </w:pPr>
      <w:r>
        <w:rPr>
          <w:rFonts w:ascii="Arial" w:cs="Arial" w:eastAsia="Arial" w:hAnsi="Arial"/>
          <w:sz w:val="16"/>
          <w:szCs w:val="16"/>
          <w:color w:val="auto"/>
        </w:rPr>
        <w:t>28,750,603</w:t>
      </w:r>
      <w:r>
        <w:rPr>
          <w:sz w:val="20"/>
          <w:szCs w:val="20"/>
          <w:color w:val="auto"/>
        </w:rPr>
        <w:tab/>
      </w:r>
      <w:r>
        <w:rPr>
          <w:rFonts w:ascii="Arial" w:cs="Arial" w:eastAsia="Arial" w:hAnsi="Arial"/>
          <w:sz w:val="16"/>
          <w:szCs w:val="16"/>
          <w:color w:val="auto"/>
        </w:rPr>
        <w:t>30,531,933</w:t>
      </w:r>
      <w:r>
        <w:rPr>
          <w:sz w:val="20"/>
          <w:szCs w:val="20"/>
          <w:color w:val="auto"/>
        </w:rPr>
        <w:tab/>
      </w:r>
      <w:r>
        <w:rPr>
          <w:rFonts w:ascii="Arial" w:cs="Arial" w:eastAsia="Arial" w:hAnsi="Arial"/>
          <w:sz w:val="16"/>
          <w:szCs w:val="16"/>
          <w:color w:val="auto"/>
        </w:rPr>
        <w:t>29,667,383</w:t>
      </w:r>
      <w:r>
        <w:rPr>
          <w:sz w:val="20"/>
          <w:szCs w:val="20"/>
          <w:color w:val="auto"/>
        </w:rPr>
        <w:tab/>
      </w:r>
      <w:r>
        <w:rPr>
          <w:rFonts w:ascii="Arial" w:cs="Arial" w:eastAsia="Arial" w:hAnsi="Arial"/>
          <w:sz w:val="15"/>
          <w:szCs w:val="15"/>
          <w:color w:val="auto"/>
        </w:rPr>
        <w:t>30,756,925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3985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820" w:space="140"/>
            <w:col w:w="6280"/>
          </w:cols>
          <w:pgMar w:left="320" w:top="828"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237,326,310</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238,729,372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237,536,535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237,665,255</w:t>
            </w:r>
          </w:p>
        </w:tc>
      </w:tr>
      <w:tr>
        <w:trPr>
          <w:trHeight w:val="20"/>
        </w:trPr>
        <w:tc>
          <w:tcPr>
            <w:tcW w:w="496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496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106,491</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94,160</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333,205</w:t>
            </w:r>
          </w:p>
        </w:tc>
        <w:tc>
          <w:tcPr>
            <w:tcW w:w="80" w:type="dxa"/>
            <w:vAlign w:val="bottom"/>
            <w:tcBorders>
              <w:bottom w:val="single" w:sz="8" w:color="D5DCE4"/>
            </w:tcBorders>
            <w:shd w:val="clear" w:color="auto" w:fill="D5DCE4"/>
          </w:tcPr>
          <w:p>
            <w:pPr>
              <w:spacing w:after="0"/>
              <w:rPr>
                <w:sz w:val="22"/>
                <w:szCs w:val="22"/>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289,296</w:t>
            </w:r>
          </w:p>
        </w:tc>
      </w:tr>
      <w:tr>
        <w:trPr>
          <w:trHeight w:val="20"/>
        </w:trPr>
        <w:tc>
          <w:tcPr>
            <w:tcW w:w="496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21"/>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Represents weighted average unvested restricted stock units and unsettled vested performance-based restricted stock units issued to certain retired executives that are entitled to non-</w:t>
      </w:r>
    </w:p>
    <w:p>
      <w:pPr>
        <w:spacing w:after="0" w:line="2" w:lineRule="exact"/>
        <w:rPr>
          <w:sz w:val="20"/>
          <w:szCs w:val="20"/>
          <w:color w:val="auto"/>
        </w:rPr>
      </w:pPr>
    </w:p>
    <w:p>
      <w:pPr>
        <w:ind w:left="680" w:right="340" w:hanging="411"/>
        <w:spacing w:after="0" w:line="293" w:lineRule="auto"/>
        <w:tabs>
          <w:tab w:leader="none" w:pos="68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forfeitable dividend equivalent rights and are considered participating securities prior to being issued and outstanding shares of common stock in accordance with the two-class method used for purposes of calculating earnings per share.</w:t>
      </w:r>
    </w:p>
    <w:p>
      <w:pPr>
        <w:spacing w:after="0" w:line="27" w:lineRule="exact"/>
        <w:rPr>
          <w:rFonts w:ascii="Arial" w:cs="Arial" w:eastAsia="Arial" w:hAnsi="Arial"/>
          <w:sz w:val="12"/>
          <w:szCs w:val="12"/>
          <w:color w:val="auto"/>
        </w:rPr>
      </w:pPr>
    </w:p>
    <w:p>
      <w:pPr>
        <w:ind w:left="680" w:right="360" w:hanging="411"/>
        <w:spacing w:after="0" w:line="186" w:lineRule="auto"/>
        <w:tabs>
          <w:tab w:leader="none" w:pos="680" w:val="left"/>
        </w:tabs>
        <w:numPr>
          <w:ilvl w:val="0"/>
          <w:numId w:val="9"/>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25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58"/>
        </w:trPr>
        <w:tc>
          <w:tcPr>
            <w:tcW w:w="4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2"/>
                <w:szCs w:val="22"/>
                <w:color w:val="auto"/>
              </w:rPr>
            </w:pPr>
          </w:p>
        </w:tc>
      </w:tr>
      <w:tr>
        <w:trPr>
          <w:trHeight w:val="2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77"/>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7"/>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184,305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179,797</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574,720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531,917</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(5,186)</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(31,558)</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(32,956)</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(95,088)</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(92,799)</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(2,675)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(13,839)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(11,181)</w:t>
            </w:r>
          </w:p>
        </w:tc>
      </w:tr>
      <w:tr>
        <w:trPr>
          <w:trHeight w:val="243"/>
        </w:trPr>
        <w:tc>
          <w:tcPr>
            <w:tcW w:w="50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3,972</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6,306</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4,742</w:t>
            </w: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154,001</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144,246</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472,059</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427,493</w:t>
            </w: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680" w:right="440" w:hanging="411"/>
        <w:spacing w:after="0" w:line="183" w:lineRule="auto"/>
        <w:tabs>
          <w:tab w:leader="none" w:pos="68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 or subsequent planned merger of Execution Access, LLC with Dealerweb Inc.</w:t>
      </w:r>
    </w:p>
    <w:p>
      <w:pPr>
        <w:spacing w:after="0" w:line="30" w:lineRule="exact"/>
        <w:rPr>
          <w:rFonts w:ascii="Arial" w:cs="Arial" w:eastAsia="Arial" w:hAnsi="Arial"/>
          <w:sz w:val="23"/>
          <w:szCs w:val="23"/>
          <w:color w:val="auto"/>
          <w:vertAlign w:val="subscript"/>
        </w:rPr>
      </w:pPr>
    </w:p>
    <w:p>
      <w:pPr>
        <w:ind w:left="680" w:right="340" w:hanging="411"/>
        <w:spacing w:after="0" w:line="276" w:lineRule="auto"/>
        <w:tabs>
          <w:tab w:leader="none" w:pos="6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9" w:lineRule="exact"/>
        <w:rPr>
          <w:rFonts w:ascii="Arial" w:cs="Arial" w:eastAsia="Arial" w:hAnsi="Arial"/>
          <w:sz w:val="12"/>
          <w:szCs w:val="12"/>
          <w:color w:val="auto"/>
        </w:rPr>
      </w:pPr>
    </w:p>
    <w:p>
      <w:pPr>
        <w:ind w:left="680" w:right="380" w:hanging="411"/>
        <w:spacing w:after="0" w:line="261" w:lineRule="auto"/>
        <w:tabs>
          <w:tab w:leader="none" w:pos="6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totaling $0.7 million and $1.5 million during the three months ended September 30, 2022 and 2021, respectively, and $4.5 million and $10.7 million during the nine months ended September 30, 2022 and 2021, respectively. During the three and nine months ended September 30, 2022, this adjustment also includes $2.0 million and $9.4 million, respectively, of non-cash accelerated stock-based compensation expense and related payroll taxes associated with our retiring CEO. During the three and nine months ended September 30, 2021, this adjustment also includes $0.5 million of non-cash accelerated stock-based compensation expense and related payroll taxes associated with our former CFO.</w:t>
      </w:r>
    </w:p>
    <w:p>
      <w:pPr>
        <w:spacing w:after="0" w:line="32" w:lineRule="exact"/>
        <w:rPr>
          <w:rFonts w:ascii="Arial" w:cs="Arial" w:eastAsia="Arial" w:hAnsi="Arial"/>
          <w:sz w:val="12"/>
          <w:szCs w:val="12"/>
          <w:color w:val="auto"/>
        </w:rPr>
      </w:pPr>
    </w:p>
    <w:p>
      <w:pPr>
        <w:ind w:left="680" w:right="320" w:hanging="411"/>
        <w:spacing w:after="0" w:line="294" w:lineRule="auto"/>
        <w:tabs>
          <w:tab w:leader="none" w:pos="6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ectPr>
          <w:pgSz w:w="11900" w:h="16838" w:orient="portrait"/>
          <w:cols w:equalWidth="0" w:num="1">
            <w:col w:w="11240"/>
          </w:cols>
          <w:pgMar w:left="320" w:top="8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828"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Trailing Twelve Months Ended</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80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7"/>
        </w:trPr>
        <w:tc>
          <w:tcPr>
            <w:tcW w:w="8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616,473</w:t>
            </w:r>
          </w:p>
        </w:tc>
        <w:tc>
          <w:tcPr>
            <w:tcW w:w="8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526,072</w:t>
            </w:r>
          </w:p>
        </w:tc>
        <w:tc>
          <w:tcPr>
            <w:tcW w:w="0" w:type="dxa"/>
            <w:vAlign w:val="bottom"/>
          </w:tcPr>
          <w:p>
            <w:pPr>
              <w:spacing w:after="0"/>
              <w:rPr>
                <w:sz w:val="1"/>
                <w:szCs w:val="1"/>
                <w:color w:val="auto"/>
              </w:rPr>
            </w:pPr>
          </w:p>
        </w:tc>
      </w:tr>
      <w:tr>
        <w:trPr>
          <w:trHeight w:val="235"/>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(36,127)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(33,995)</w:t>
            </w:r>
          </w:p>
        </w:tc>
        <w:tc>
          <w:tcPr>
            <w:tcW w:w="0" w:type="dxa"/>
            <w:vAlign w:val="bottom"/>
          </w:tcPr>
          <w:p>
            <w:pPr>
              <w:spacing w:after="0"/>
              <w:rPr>
                <w:sz w:val="1"/>
                <w:szCs w:val="1"/>
                <w:color w:val="auto"/>
              </w:rPr>
            </w:pPr>
          </w:p>
        </w:tc>
      </w:tr>
      <w:tr>
        <w:trPr>
          <w:trHeight w:val="244"/>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40" w:type="dxa"/>
            <w:vAlign w:val="bottom"/>
            <w:tcBorders>
              <w:bottom w:val="single" w:sz="8" w:color="auto"/>
            </w:tcBorders>
            <w:shd w:val="clear" w:color="auto" w:fill="D5DCE4"/>
          </w:tcPr>
          <w:p>
            <w:pPr>
              <w:spacing w:after="0"/>
              <w:rPr>
                <w:sz w:val="21"/>
                <w:szCs w:val="21"/>
                <w:color w:val="auto"/>
              </w:rPr>
            </w:pPr>
          </w:p>
        </w:tc>
        <w:tc>
          <w:tcPr>
            <w:tcW w:w="12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(25,123)</w:t>
            </w:r>
          </w:p>
        </w:tc>
        <w:tc>
          <w:tcPr>
            <w:tcW w:w="80" w:type="dxa"/>
            <w:vAlign w:val="bottom"/>
            <w:shd w:val="clear" w:color="auto" w:fill="D5DCE4"/>
          </w:tcPr>
          <w:p>
            <w:pPr>
              <w:spacing w:after="0"/>
              <w:rPr>
                <w:sz w:val="21"/>
                <w:szCs w:val="21"/>
                <w:color w:val="auto"/>
              </w:rPr>
            </w:pPr>
          </w:p>
        </w:tc>
        <w:tc>
          <w:tcPr>
            <w:tcW w:w="56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(14,720)</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555,223</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477,357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80" w:type="dxa"/>
            <w:vAlign w:val="bottom"/>
            <w:gridSpan w:val="9"/>
          </w:tcPr>
          <w:p>
            <w:pPr>
              <w:jc w:val="right"/>
              <w:ind w:right="59"/>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320" w:type="dxa"/>
            <w:vAlign w:val="bottom"/>
            <w:tcBorders>
              <w:bottom w:val="single" w:sz="8" w:color="D5DCE4"/>
            </w:tcBorders>
            <w:shd w:val="clear" w:color="auto" w:fill="D5DCE4"/>
          </w:tcPr>
          <w:p>
            <w:pPr>
              <w:spacing w:after="0"/>
              <w:rPr>
                <w:sz w:val="19"/>
                <w:szCs w:val="19"/>
                <w:color w:val="auto"/>
              </w:rPr>
            </w:pPr>
          </w:p>
        </w:tc>
        <w:tc>
          <w:tcPr>
            <w:tcW w:w="118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540" w:type="dxa"/>
            <w:vAlign w:val="bottom"/>
            <w:tcBorders>
              <w:bottom w:val="single" w:sz="8" w:color="D5DCE4"/>
            </w:tcBorders>
            <w:shd w:val="clear" w:color="auto" w:fill="D5DCE4"/>
          </w:tcPr>
          <w:p>
            <w:pPr>
              <w:spacing w:after="0"/>
              <w:rPr>
                <w:sz w:val="19"/>
                <w:szCs w:val="19"/>
                <w:color w:val="auto"/>
              </w:rPr>
            </w:pPr>
          </w:p>
        </w:tc>
        <w:tc>
          <w:tcPr>
            <w:tcW w:w="98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69,083</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54,763</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220,392</w:t>
            </w:r>
          </w:p>
        </w:tc>
        <w:tc>
          <w:tcPr>
            <w:tcW w:w="8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177,938</w:t>
            </w:r>
          </w:p>
        </w:tc>
        <w:tc>
          <w:tcPr>
            <w:tcW w:w="0" w:type="dxa"/>
            <w:vAlign w:val="bottom"/>
          </w:tcPr>
          <w:p>
            <w:pPr>
              <w:spacing w:after="0"/>
              <w:rPr>
                <w:sz w:val="1"/>
                <w:szCs w:val="1"/>
                <w:color w:val="auto"/>
              </w:rPr>
            </w:pPr>
          </w:p>
        </w:tc>
      </w:tr>
      <w:tr>
        <w:trPr>
          <w:trHeight w:val="210"/>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Less: Distributed and undistributed earnings allocated to unvested</w:t>
            </w: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RSUs and unsettled vested PRSUs </w:t>
            </w:r>
            <w:r>
              <w:rPr>
                <w:rFonts w:ascii="Arial" w:cs="Arial" w:eastAsia="Arial" w:hAnsi="Arial"/>
                <w:sz w:val="21"/>
                <w:szCs w:val="21"/>
                <w:color w:val="auto"/>
                <w:vertAlign w:val="superscript"/>
              </w:rPr>
              <w:t>(1)</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06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gridSpan w:val="4"/>
          </w:tcPr>
          <w:p>
            <w:pPr>
              <w:spacing w:after="0" w:line="182" w:lineRule="exact"/>
              <w:rPr>
                <w:sz w:val="20"/>
                <w:szCs w:val="20"/>
                <w:color w:val="auto"/>
              </w:rPr>
            </w:pPr>
            <w:r>
              <w:rPr>
                <w:rFonts w:ascii="Arial" w:cs="Arial" w:eastAsia="Arial" w:hAnsi="Arial"/>
                <w:sz w:val="16"/>
                <w:szCs w:val="16"/>
                <w:color w:val="auto"/>
              </w:rPr>
              <w:t>Net income attributable to outstanding shares of Class A and Class</w:t>
            </w: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69,001</w:t>
            </w:r>
          </w:p>
        </w:tc>
        <w:tc>
          <w:tcPr>
            <w:tcW w:w="80" w:type="dxa"/>
            <w:vAlign w:val="bottom"/>
          </w:tcPr>
          <w:p>
            <w:pPr>
              <w:spacing w:after="0"/>
              <w:rPr>
                <w:sz w:val="15"/>
                <w:szCs w:val="15"/>
                <w:color w:val="auto"/>
              </w:rPr>
            </w:pPr>
          </w:p>
        </w:tc>
        <w:tc>
          <w:tcPr>
            <w:tcW w:w="54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54,763</w:t>
            </w:r>
          </w:p>
        </w:tc>
        <w:tc>
          <w:tcPr>
            <w:tcW w:w="80" w:type="dxa"/>
            <w:vAlign w:val="bottom"/>
          </w:tcPr>
          <w:p>
            <w:pPr>
              <w:spacing w:after="0"/>
              <w:rPr>
                <w:sz w:val="15"/>
                <w:szCs w:val="15"/>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220,281</w:t>
            </w:r>
          </w:p>
        </w:tc>
        <w:tc>
          <w:tcPr>
            <w:tcW w:w="80" w:type="dxa"/>
            <w:vAlign w:val="bottom"/>
          </w:tcPr>
          <w:p>
            <w:pPr>
              <w:spacing w:after="0"/>
              <w:rPr>
                <w:sz w:val="15"/>
                <w:szCs w:val="15"/>
                <w:color w:val="auto"/>
              </w:rPr>
            </w:pPr>
          </w:p>
        </w:tc>
        <w:tc>
          <w:tcPr>
            <w:tcW w:w="54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177,938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B common stock - Basic and Diluted</w:t>
            </w: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38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38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54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2"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205,721,162</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202,238,122</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204,767,261</w:t>
            </w:r>
          </w:p>
        </w:tc>
        <w:tc>
          <w:tcPr>
            <w:tcW w:w="80" w:type="dxa"/>
            <w:vAlign w:val="bottom"/>
            <w:shd w:val="clear" w:color="auto" w:fill="D5DCE4"/>
          </w:tcPr>
          <w:p>
            <w:pPr>
              <w:spacing w:after="0"/>
              <w:rPr>
                <w:sz w:val="14"/>
                <w:szCs w:val="14"/>
                <w:color w:val="auto"/>
              </w:rPr>
            </w:pPr>
          </w:p>
        </w:tc>
        <w:tc>
          <w:tcPr>
            <w:tcW w:w="540" w:type="dxa"/>
            <w:vAlign w:val="bottom"/>
            <w:shd w:val="clear" w:color="auto" w:fill="D5DCE4"/>
          </w:tcPr>
          <w:p>
            <w:pPr>
              <w:spacing w:after="0"/>
              <w:rPr>
                <w:sz w:val="14"/>
                <w:szCs w:val="14"/>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201,029,196</w:t>
            </w:r>
          </w:p>
        </w:tc>
        <w:tc>
          <w:tcPr>
            <w:tcW w:w="0" w:type="dxa"/>
            <w:vAlign w:val="bottom"/>
          </w:tcPr>
          <w:p>
            <w:pPr>
              <w:spacing w:after="0"/>
              <w:rPr>
                <w:sz w:val="1"/>
                <w:szCs w:val="1"/>
                <w:color w:val="auto"/>
              </w:rPr>
            </w:pPr>
          </w:p>
        </w:tc>
      </w:tr>
      <w:tr>
        <w:trPr>
          <w:trHeight w:val="216"/>
        </w:trPr>
        <w:tc>
          <w:tcPr>
            <w:tcW w:w="20" w:type="dxa"/>
            <w:vAlign w:val="bottom"/>
            <w:shd w:val="clear" w:color="auto" w:fill="D5DCE4"/>
          </w:tcPr>
          <w:p>
            <w:pPr>
              <w:spacing w:after="0"/>
              <w:rPr>
                <w:sz w:val="18"/>
                <w:szCs w:val="18"/>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180" w:type="dxa"/>
            <w:vAlign w:val="bottom"/>
            <w:vMerge w:val="continue"/>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540" w:type="dxa"/>
            <w:vAlign w:val="bottom"/>
            <w:shd w:val="clear" w:color="auto" w:fill="D5DCE4"/>
          </w:tcPr>
          <w:p>
            <w:pPr>
              <w:spacing w:after="0"/>
              <w:rPr>
                <w:sz w:val="18"/>
                <w:szCs w:val="18"/>
                <w:color w:val="auto"/>
              </w:rPr>
            </w:pPr>
          </w:p>
        </w:tc>
        <w:tc>
          <w:tcPr>
            <w:tcW w:w="980" w:type="dxa"/>
            <w:vAlign w:val="bottom"/>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746,043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2,146,473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796,090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2,000,005</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1,661,705</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3,516,893</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1,940,970</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3,609,906</w:t>
            </w:r>
          </w:p>
        </w:tc>
        <w:tc>
          <w:tcPr>
            <w:tcW w:w="0" w:type="dxa"/>
            <w:vAlign w:val="bottom"/>
          </w:tcPr>
          <w:p>
            <w:pPr>
              <w:spacing w:after="0"/>
              <w:rPr>
                <w:sz w:val="1"/>
                <w:szCs w:val="1"/>
                <w:color w:val="auto"/>
              </w:rPr>
            </w:pPr>
          </w:p>
        </w:tc>
      </w:tr>
      <w:tr>
        <w:trPr>
          <w:trHeight w:val="236"/>
        </w:trPr>
        <w:tc>
          <w:tcPr>
            <w:tcW w:w="20" w:type="dxa"/>
            <w:vAlign w:val="bottom"/>
            <w:tcBorders>
              <w:bottom w:val="single" w:sz="8" w:color="D5DCE4"/>
            </w:tcBorders>
          </w:tcPr>
          <w:p>
            <w:pPr>
              <w:spacing w:after="0"/>
              <w:rPr>
                <w:sz w:val="20"/>
                <w:szCs w:val="20"/>
                <w:color w:val="auto"/>
              </w:rPr>
            </w:pPr>
          </w:p>
        </w:tc>
        <w:tc>
          <w:tcPr>
            <w:tcW w:w="4940" w:type="dxa"/>
            <w:vAlign w:val="bottom"/>
            <w:tcBorders>
              <w:bottom w:val="single" w:sz="8" w:color="D5DCE4"/>
            </w:tcBorders>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200,559</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295,951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243,716</w:t>
            </w:r>
          </w:p>
        </w:tc>
        <w:tc>
          <w:tcPr>
            <w:tcW w:w="80" w:type="dxa"/>
            <w:vAlign w:val="bottom"/>
            <w:tcBorders>
              <w:bottom w:val="single" w:sz="8" w:color="D5DCE4"/>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269,223</w:t>
            </w:r>
          </w:p>
        </w:tc>
        <w:tc>
          <w:tcPr>
            <w:tcW w:w="0" w:type="dxa"/>
            <w:vAlign w:val="bottom"/>
          </w:tcPr>
          <w:p>
            <w:pPr>
              <w:spacing w:after="0"/>
              <w:rPr>
                <w:sz w:val="1"/>
                <w:szCs w:val="1"/>
                <w:color w:val="auto"/>
              </w:rPr>
            </w:pPr>
          </w:p>
        </w:tc>
      </w:tr>
      <w:tr>
        <w:trPr>
          <w:trHeight w:val="149"/>
        </w:trPr>
        <w:tc>
          <w:tcPr>
            <w:tcW w:w="20" w:type="dxa"/>
            <w:vAlign w:val="bottom"/>
            <w:shd w:val="clear" w:color="auto" w:fill="D5DCE4"/>
          </w:tcPr>
          <w:p>
            <w:pPr>
              <w:spacing w:after="0"/>
              <w:rPr>
                <w:sz w:val="12"/>
                <w:szCs w:val="12"/>
                <w:color w:val="auto"/>
              </w:rPr>
            </w:pPr>
          </w:p>
        </w:tc>
        <w:tc>
          <w:tcPr>
            <w:tcW w:w="4940" w:type="dxa"/>
            <w:vAlign w:val="bottom"/>
            <w:gridSpan w:val="4"/>
            <w:shd w:val="clear" w:color="auto" w:fill="D5DCE4"/>
          </w:tcPr>
          <w:p>
            <w:pPr>
              <w:spacing w:after="0" w:line="148" w:lineRule="exact"/>
              <w:rPr>
                <w:sz w:val="20"/>
                <w:szCs w:val="20"/>
                <w:color w:val="auto"/>
              </w:rPr>
            </w:pPr>
            <w:r>
              <w:rPr>
                <w:rFonts w:ascii="Arial" w:cs="Arial" w:eastAsia="Arial" w:hAnsi="Arial"/>
                <w:sz w:val="16"/>
                <w:szCs w:val="16"/>
                <w:color w:val="auto"/>
              </w:rPr>
              <w:t>Weighted average shares of Class A and Class B common stock</w:t>
            </w:r>
          </w:p>
        </w:tc>
        <w:tc>
          <w:tcPr>
            <w:tcW w:w="320" w:type="dxa"/>
            <w:vAlign w:val="bottom"/>
            <w:shd w:val="clear" w:color="auto" w:fill="D5DCE4"/>
          </w:tcPr>
          <w:p>
            <w:pPr>
              <w:spacing w:after="0"/>
              <w:rPr>
                <w:sz w:val="12"/>
                <w:szCs w:val="12"/>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208,329,469</w:t>
            </w:r>
          </w:p>
        </w:tc>
        <w:tc>
          <w:tcPr>
            <w:tcW w:w="80" w:type="dxa"/>
            <w:vAlign w:val="bottom"/>
            <w:shd w:val="clear" w:color="auto" w:fill="D5DCE4"/>
          </w:tcPr>
          <w:p>
            <w:pPr>
              <w:spacing w:after="0"/>
              <w:rPr>
                <w:sz w:val="12"/>
                <w:szCs w:val="12"/>
                <w:color w:val="auto"/>
              </w:rPr>
            </w:pPr>
          </w:p>
        </w:tc>
        <w:tc>
          <w:tcPr>
            <w:tcW w:w="540" w:type="dxa"/>
            <w:vAlign w:val="bottom"/>
            <w:shd w:val="clear" w:color="auto" w:fill="D5DCE4"/>
          </w:tcPr>
          <w:p>
            <w:pPr>
              <w:spacing w:after="0"/>
              <w:rPr>
                <w:sz w:val="12"/>
                <w:szCs w:val="12"/>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208,197,439</w:t>
            </w:r>
          </w:p>
        </w:tc>
        <w:tc>
          <w:tcPr>
            <w:tcW w:w="80" w:type="dxa"/>
            <w:vAlign w:val="bottom"/>
            <w:shd w:val="clear" w:color="auto" w:fill="D5DCE4"/>
          </w:tcPr>
          <w:p>
            <w:pPr>
              <w:spacing w:after="0"/>
              <w:rPr>
                <w:sz w:val="12"/>
                <w:szCs w:val="12"/>
                <w:color w:val="auto"/>
              </w:rPr>
            </w:pPr>
          </w:p>
        </w:tc>
        <w:tc>
          <w:tcPr>
            <w:tcW w:w="320" w:type="dxa"/>
            <w:vAlign w:val="bottom"/>
            <w:shd w:val="clear" w:color="auto" w:fill="D5DCE4"/>
          </w:tcPr>
          <w:p>
            <w:pPr>
              <w:spacing w:after="0"/>
              <w:rPr>
                <w:sz w:val="12"/>
                <w:szCs w:val="12"/>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207,748,037</w:t>
            </w:r>
          </w:p>
        </w:tc>
        <w:tc>
          <w:tcPr>
            <w:tcW w:w="80" w:type="dxa"/>
            <w:vAlign w:val="bottom"/>
            <w:shd w:val="clear" w:color="auto" w:fill="D5DCE4"/>
          </w:tcPr>
          <w:p>
            <w:pPr>
              <w:spacing w:after="0"/>
              <w:rPr>
                <w:sz w:val="12"/>
                <w:szCs w:val="12"/>
                <w:color w:val="auto"/>
              </w:rPr>
            </w:pPr>
          </w:p>
        </w:tc>
        <w:tc>
          <w:tcPr>
            <w:tcW w:w="540" w:type="dxa"/>
            <w:vAlign w:val="bottom"/>
            <w:shd w:val="clear" w:color="auto" w:fill="D5DCE4"/>
          </w:tcPr>
          <w:p>
            <w:pPr>
              <w:spacing w:after="0"/>
              <w:rPr>
                <w:sz w:val="12"/>
                <w:szCs w:val="12"/>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w w:val="98"/>
              </w:rPr>
              <w:t>206,908,330</w:t>
            </w:r>
          </w:p>
        </w:tc>
        <w:tc>
          <w:tcPr>
            <w:tcW w:w="0" w:type="dxa"/>
            <w:vAlign w:val="bottom"/>
          </w:tcPr>
          <w:p>
            <w:pPr>
              <w:spacing w:after="0"/>
              <w:rPr>
                <w:sz w:val="1"/>
                <w:szCs w:val="1"/>
                <w:color w:val="auto"/>
              </w:rPr>
            </w:pPr>
          </w:p>
        </w:tc>
      </w:tr>
      <w:tr>
        <w:trPr>
          <w:trHeight w:val="209"/>
        </w:trPr>
        <w:tc>
          <w:tcPr>
            <w:tcW w:w="20" w:type="dxa"/>
            <w:vAlign w:val="bottom"/>
            <w:tcBorders>
              <w:bottom w:val="single" w:sz="8" w:color="D5DCE4"/>
            </w:tcBorders>
            <w:shd w:val="clear" w:color="auto" w:fill="D5DCE4"/>
          </w:tcPr>
          <w:p>
            <w:pPr>
              <w:spacing w:after="0"/>
              <w:rPr>
                <w:sz w:val="18"/>
                <w:szCs w:val="18"/>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outstanding - Diluted</w:t>
            </w:r>
          </w:p>
        </w:tc>
        <w:tc>
          <w:tcPr>
            <w:tcW w:w="32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540" w:type="dxa"/>
            <w:vAlign w:val="bottom"/>
            <w:tcBorders>
              <w:bottom w:val="single" w:sz="8" w:color="auto"/>
            </w:tcBorders>
            <w:shd w:val="clear" w:color="auto" w:fill="D5DCE4"/>
          </w:tcPr>
          <w:p>
            <w:pPr>
              <w:spacing w:after="0"/>
              <w:rPr>
                <w:sz w:val="18"/>
                <w:szCs w:val="18"/>
                <w:color w:val="auto"/>
              </w:rPr>
            </w:pPr>
          </w:p>
        </w:tc>
        <w:tc>
          <w:tcPr>
            <w:tcW w:w="98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320" w:type="dxa"/>
            <w:vAlign w:val="bottom"/>
            <w:tcBorders>
              <w:bottom w:val="single" w:sz="8" w:color="auto"/>
            </w:tcBorders>
            <w:shd w:val="clear" w:color="auto" w:fill="D5DCE4"/>
          </w:tcPr>
          <w:p>
            <w:pPr>
              <w:spacing w:after="0"/>
              <w:rPr>
                <w:sz w:val="18"/>
                <w:szCs w:val="18"/>
                <w:color w:val="auto"/>
              </w:rPr>
            </w:pPr>
          </w:p>
        </w:tc>
        <w:tc>
          <w:tcPr>
            <w:tcW w:w="1180" w:type="dxa"/>
            <w:vAlign w:val="bottom"/>
            <w:tcBorders>
              <w:bottom w:val="single" w:sz="8" w:color="auto"/>
            </w:tcBorders>
            <w:vMerge w:val="continue"/>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540" w:type="dxa"/>
            <w:vAlign w:val="bottom"/>
            <w:tcBorders>
              <w:bottom w:val="single" w:sz="8" w:color="auto"/>
            </w:tcBorders>
            <w:shd w:val="clear" w:color="auto" w:fill="D5DCE4"/>
          </w:tcPr>
          <w:p>
            <w:pPr>
              <w:spacing w:after="0"/>
              <w:rPr>
                <w:sz w:val="18"/>
                <w:szCs w:val="18"/>
                <w:color w:val="auto"/>
              </w:rPr>
            </w:pPr>
          </w:p>
        </w:tc>
        <w:tc>
          <w:tcPr>
            <w:tcW w:w="980" w:type="dxa"/>
            <w:vAlign w:val="bottom"/>
            <w:tcBorders>
              <w:bottom w:val="single" w:sz="8" w:color="auto"/>
            </w:tcBorders>
            <w:vMerge w:val="continue"/>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0.34</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1.08</w:t>
            </w:r>
          </w:p>
        </w:tc>
        <w:tc>
          <w:tcPr>
            <w:tcW w:w="80" w:type="dxa"/>
            <w:vAlign w:val="bottom"/>
            <w:tcBorders>
              <w:bottom w:val="single" w:sz="8" w:color="D5DCE4"/>
            </w:tcBorders>
            <w:shd w:val="clear" w:color="auto" w:fill="D5DCE4"/>
          </w:tcPr>
          <w:p>
            <w:pPr>
              <w:spacing w:after="0"/>
              <w:rPr>
                <w:sz w:val="22"/>
                <w:szCs w:val="22"/>
                <w:color w:val="auto"/>
              </w:rPr>
            </w:pPr>
          </w:p>
        </w:tc>
        <w:tc>
          <w:tcPr>
            <w:tcW w:w="54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40" w:type="dxa"/>
            <w:vAlign w:val="bottom"/>
            <w:tcBorders>
              <w:top w:val="single" w:sz="8" w:color="D5DCE4"/>
              <w:bottom w:val="single" w:sz="8" w:color="auto"/>
            </w:tcBorders>
          </w:tcPr>
          <w:p>
            <w:pPr>
              <w:spacing w:after="0" w:line="20" w:lineRule="exact"/>
              <w:rPr>
                <w:sz w:val="1"/>
                <w:szCs w:val="1"/>
                <w:color w:val="auto"/>
              </w:rPr>
            </w:pPr>
          </w:p>
        </w:tc>
        <w:tc>
          <w:tcPr>
            <w:tcW w:w="98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During the three and nine months ended September 30, 2022, there was a total of 246,238 and 121,115, respectively, weighted average unvested RSUs and unsettled vested PRSUs that were</w:t>
      </w:r>
    </w:p>
    <w:p>
      <w:pPr>
        <w:spacing w:after="0" w:line="11" w:lineRule="exact"/>
        <w:rPr>
          <w:sz w:val="20"/>
          <w:szCs w:val="20"/>
          <w:color w:val="auto"/>
        </w:rPr>
      </w:pPr>
    </w:p>
    <w:p>
      <w:pPr>
        <w:ind w:left="680" w:right="300" w:hanging="411"/>
        <w:spacing w:after="0" w:line="294" w:lineRule="auto"/>
        <w:tabs>
          <w:tab w:leader="none" w:pos="6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considered a participating security for purposes of calculating earnings per share in accordance with the two-class method. There were none during the three and nine months ended September 30, 2021.</w:t>
      </w:r>
    </w:p>
    <w:p>
      <w:pPr>
        <w:spacing w:after="0" w:line="200" w:lineRule="exact"/>
        <w:rPr>
          <w:sz w:val="20"/>
          <w:szCs w:val="20"/>
          <w:color w:val="auto"/>
        </w:rPr>
      </w:pPr>
    </w:p>
    <w:p>
      <w:pPr>
        <w:spacing w:after="0" w:line="29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82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9"/>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6"/>
        </w:trPr>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Variable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77"/>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6"/>
          </w:tcPr>
          <w:p>
            <w:pPr>
              <w:ind w:left="60"/>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7"/>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93,673</w:t>
            </w: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54,494</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80,888</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58,530</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12,785</w:t>
            </w:r>
          </w:p>
        </w:tc>
        <w:tc>
          <w:tcPr>
            <w:tcW w:w="80" w:type="dxa"/>
            <w:vAlign w:val="bottom"/>
            <w:shd w:val="clear" w:color="auto" w:fill="D5DCE4"/>
          </w:tcPr>
          <w:p>
            <w:pPr>
              <w:spacing w:after="0"/>
              <w:rPr>
                <w:sz w:val="21"/>
                <w:szCs w:val="21"/>
                <w:color w:val="auto"/>
              </w:rPr>
            </w:pPr>
          </w:p>
        </w:tc>
        <w:tc>
          <w:tcPr>
            <w:tcW w:w="180" w:type="dxa"/>
            <w:vAlign w:val="bottom"/>
            <w:gridSpan w:val="2"/>
            <w:shd w:val="clear" w:color="auto" w:fill="D5DCE4"/>
          </w:tcPr>
          <w:p>
            <w:pPr>
              <w:jc w:val="right"/>
              <w:ind w:right="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(4,036)</w:t>
            </w:r>
          </w:p>
        </w:tc>
        <w:tc>
          <w:tcPr>
            <w:tcW w:w="160" w:type="dxa"/>
            <w:vAlign w:val="bottom"/>
            <w:shd w:val="clear" w:color="auto" w:fill="D5DCE4"/>
          </w:tcPr>
          <w:p>
            <w:pPr>
              <w:spacing w:after="0"/>
              <w:rPr>
                <w:sz w:val="21"/>
                <w:szCs w:val="21"/>
                <w:color w:val="auto"/>
              </w:rPr>
            </w:pPr>
          </w:p>
        </w:tc>
        <w:tc>
          <w:tcPr>
            <w:tcW w:w="114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15.8 %</w:t>
            </w: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w:t>
            </w:r>
          </w:p>
        </w:tc>
      </w:tr>
      <w:tr>
        <w:trPr>
          <w:trHeight w:val="235"/>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71,724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6,377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65,742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6,501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w:t>
            </w:r>
          </w:p>
        </w:tc>
        <w:tc>
          <w:tcPr>
            <w:tcW w:w="16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9.1 %</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1"/>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18,969</w:t>
            </w: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2,308</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14,235</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2,222</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4,734</w:t>
            </w:r>
          </w:p>
        </w:tc>
        <w:tc>
          <w:tcPr>
            <w:tcW w:w="80" w:type="dxa"/>
            <w:vAlign w:val="bottom"/>
            <w:shd w:val="clear" w:color="auto" w:fill="D5DCE4"/>
          </w:tcPr>
          <w:p>
            <w:pPr>
              <w:spacing w:after="0"/>
              <w:rPr>
                <w:sz w:val="21"/>
                <w:szCs w:val="21"/>
                <w:color w:val="auto"/>
              </w:rPr>
            </w:pPr>
          </w:p>
        </w:tc>
        <w:tc>
          <w:tcPr>
            <w:tcW w:w="1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D5DCE4"/>
          </w:tcPr>
          <w:p>
            <w:pPr>
              <w:spacing w:after="0"/>
              <w:rPr>
                <w:sz w:val="21"/>
                <w:szCs w:val="21"/>
                <w:color w:val="auto"/>
              </w:rPr>
            </w:pPr>
          </w:p>
        </w:tc>
        <w:tc>
          <w:tcPr>
            <w:tcW w:w="1140" w:type="dxa"/>
            <w:vAlign w:val="bottom"/>
            <w:gridSpan w:val="4"/>
            <w:shd w:val="clear" w:color="auto" w:fill="D5DCE4"/>
          </w:tcPr>
          <w:p>
            <w:pPr>
              <w:jc w:val="right"/>
              <w:spacing w:after="0"/>
              <w:rPr>
                <w:sz w:val="20"/>
                <w:szCs w:val="20"/>
                <w:color w:val="auto"/>
              </w:rPr>
            </w:pPr>
            <w:r>
              <w:rPr>
                <w:rFonts w:ascii="Arial" w:cs="Arial" w:eastAsia="Arial" w:hAnsi="Arial"/>
                <w:sz w:val="16"/>
                <w:szCs w:val="16"/>
                <w:color w:val="auto"/>
              </w:rPr>
              <w:t>33.3 %</w:t>
            </w: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3.9 %</w:t>
            </w:r>
          </w:p>
        </w:tc>
      </w:tr>
      <w:tr>
        <w:trPr>
          <w:trHeight w:val="235"/>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8,507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4,462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7,198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439</w:t>
            </w:r>
          </w:p>
        </w:tc>
        <w:tc>
          <w:tcPr>
            <w:tcW w:w="16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18.2 %</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10.9 %</w:t>
            </w:r>
          </w:p>
        </w:tc>
      </w:tr>
      <w:tr>
        <w:trPr>
          <w:trHeight w:val="251"/>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104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21,222</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04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20,515</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2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707</w:t>
            </w:r>
          </w:p>
        </w:tc>
        <w:tc>
          <w:tcPr>
            <w:tcW w:w="160" w:type="dxa"/>
            <w:vAlign w:val="bottom"/>
            <w:shd w:val="clear" w:color="auto" w:fill="D5DCE4"/>
          </w:tcPr>
          <w:p>
            <w:pPr>
              <w:spacing w:after="0"/>
              <w:rPr>
                <w:sz w:val="21"/>
                <w:szCs w:val="21"/>
                <w:color w:val="auto"/>
              </w:rPr>
            </w:pPr>
          </w:p>
        </w:tc>
        <w:tc>
          <w:tcPr>
            <w:tcW w:w="40" w:type="dxa"/>
            <w:vAlign w:val="bottom"/>
            <w:shd w:val="clear" w:color="auto" w:fill="D5DCE4"/>
          </w:tcPr>
          <w:p>
            <w:pPr>
              <w:spacing w:after="0"/>
              <w:rPr>
                <w:sz w:val="21"/>
                <w:szCs w:val="21"/>
                <w:color w:val="auto"/>
              </w:rPr>
            </w:pPr>
          </w:p>
        </w:tc>
        <w:tc>
          <w:tcPr>
            <w:tcW w:w="52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58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3.4 %</w:t>
            </w:r>
          </w:p>
        </w:tc>
      </w:tr>
      <w:tr>
        <w:trPr>
          <w:trHeight w:val="237"/>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5,379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5,471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68"/>
        </w:trPr>
        <w:tc>
          <w:tcPr>
            <w:tcW w:w="216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192,873</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260" w:type="dxa"/>
            <w:vAlign w:val="bottom"/>
            <w:tcBorders>
              <w:top w:val="single" w:sz="8" w:color="auto"/>
              <w:bottom w:val="single" w:sz="8" w:color="auto"/>
            </w:tcBorders>
            <w:shd w:val="clear" w:color="auto" w:fill="D5DCE4"/>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D5DCE4"/>
          </w:tcPr>
          <w:p>
            <w:pPr>
              <w:jc w:val="right"/>
              <w:ind w:right="1"/>
              <w:spacing w:after="0"/>
              <w:rPr>
                <w:sz w:val="20"/>
                <w:szCs w:val="20"/>
                <w:color w:val="auto"/>
              </w:rPr>
            </w:pPr>
            <w:r>
              <w:rPr>
                <w:rFonts w:ascii="Arial" w:cs="Arial" w:eastAsia="Arial" w:hAnsi="Arial"/>
                <w:sz w:val="16"/>
                <w:szCs w:val="16"/>
                <w:color w:val="auto"/>
              </w:rPr>
              <w:t>94,242</w:t>
            </w:r>
          </w:p>
        </w:tc>
        <w:tc>
          <w:tcPr>
            <w:tcW w:w="120" w:type="dxa"/>
            <w:vAlign w:val="bottom"/>
            <w:tcBorders>
              <w:top w:val="single" w:sz="8" w:color="D5DCE4"/>
              <w:bottom w:val="single" w:sz="8" w:color="D5DCE4"/>
            </w:tcBorders>
            <w:shd w:val="clear" w:color="auto" w:fill="D5DCE4"/>
          </w:tcPr>
          <w:p>
            <w:pPr>
              <w:spacing w:after="0"/>
              <w:rPr>
                <w:sz w:val="22"/>
                <w:szCs w:val="22"/>
                <w:color w:val="auto"/>
              </w:rPr>
            </w:pPr>
          </w:p>
        </w:tc>
        <w:tc>
          <w:tcPr>
            <w:tcW w:w="1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168,063</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2"/>
            <w:shd w:val="clear" w:color="auto" w:fill="D5DCE4"/>
          </w:tcPr>
          <w:p>
            <w:pPr>
              <w:jc w:val="right"/>
              <w:ind w:right="60"/>
              <w:spacing w:after="0"/>
              <w:rPr>
                <w:sz w:val="20"/>
                <w:szCs w:val="20"/>
                <w:color w:val="auto"/>
              </w:rPr>
            </w:pPr>
            <w:r>
              <w:rPr>
                <w:rFonts w:ascii="Arial" w:cs="Arial" w:eastAsia="Arial" w:hAnsi="Arial"/>
                <w:sz w:val="16"/>
                <w:szCs w:val="16"/>
                <w:color w:val="auto"/>
              </w:rPr>
              <w:t>97,262</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24,810</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gridSpan w:val="2"/>
            <w:shd w:val="clear" w:color="auto" w:fill="D5DCE4"/>
          </w:tcPr>
          <w:p>
            <w:pPr>
              <w:jc w:val="right"/>
              <w:ind w:right="8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(3,020)</w:t>
            </w:r>
          </w:p>
        </w:tc>
        <w:tc>
          <w:tcPr>
            <w:tcW w:w="160" w:type="dxa"/>
            <w:vAlign w:val="bottom"/>
            <w:tcBorders>
              <w:top w:val="single" w:sz="8" w:color="D5DCE4"/>
              <w:bottom w:val="single" w:sz="8" w:color="D5DCE4"/>
            </w:tcBorders>
            <w:shd w:val="clear" w:color="auto" w:fill="D5DCE4"/>
          </w:tcPr>
          <w:p>
            <w:pPr>
              <w:spacing w:after="0"/>
              <w:rPr>
                <w:sz w:val="22"/>
                <w:szCs w:val="22"/>
                <w:color w:val="auto"/>
              </w:rPr>
            </w:pPr>
          </w:p>
        </w:tc>
        <w:tc>
          <w:tcPr>
            <w:tcW w:w="1140" w:type="dxa"/>
            <w:vAlign w:val="bottom"/>
            <w:tcBorders>
              <w:top w:val="single" w:sz="8" w:color="D5DCE4"/>
              <w:bottom w:val="single" w:sz="8" w:color="D5DCE4"/>
            </w:tcBorders>
            <w:gridSpan w:val="4"/>
            <w:shd w:val="clear" w:color="auto" w:fill="D5DCE4"/>
          </w:tcPr>
          <w:p>
            <w:pPr>
              <w:jc w:val="right"/>
              <w:spacing w:after="0"/>
              <w:rPr>
                <w:sz w:val="20"/>
                <w:szCs w:val="20"/>
                <w:color w:val="auto"/>
              </w:rPr>
            </w:pPr>
            <w:r>
              <w:rPr>
                <w:rFonts w:ascii="Arial" w:cs="Arial" w:eastAsia="Arial" w:hAnsi="Arial"/>
                <w:sz w:val="16"/>
                <w:szCs w:val="16"/>
                <w:color w:val="auto"/>
              </w:rPr>
              <w:t>14.8 %</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040" w:type="dxa"/>
            <w:vAlign w:val="bottom"/>
            <w:tcBorders>
              <w:top w:val="single" w:sz="8" w:color="D5DCE4"/>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196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6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60" w:type="dxa"/>
            <w:vAlign w:val="bottom"/>
            <w:tcBorders>
              <w:top w:val="single" w:sz="8" w:color="D5DCE4"/>
              <w:bottom w:val="single" w:sz="8" w:color="auto"/>
            </w:tcBorders>
          </w:tcPr>
          <w:p>
            <w:pPr>
              <w:spacing w:after="0" w:line="20" w:lineRule="exact"/>
              <w:rPr>
                <w:sz w:val="1"/>
                <w:szCs w:val="1"/>
                <w:color w:val="auto"/>
              </w:rPr>
            </w:pPr>
          </w:p>
        </w:tc>
        <w:tc>
          <w:tcPr>
            <w:tcW w:w="720" w:type="dxa"/>
            <w:vAlign w:val="bottom"/>
            <w:tcBorders>
              <w:top w:val="single" w:sz="8" w:color="D5DCE4"/>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84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660" w:type="dxa"/>
            <w:vAlign w:val="bottom"/>
            <w:tcBorders>
              <w:top w:val="single" w:sz="8" w:color="D5DCE4"/>
              <w:bottom w:val="single" w:sz="8" w:color="auto"/>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4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40" w:type="dxa"/>
            <w:vAlign w:val="bottom"/>
            <w:tcBorders>
              <w:top w:val="single" w:sz="8" w:color="D5DCE4"/>
            </w:tcBorders>
          </w:tcPr>
          <w:p>
            <w:pPr>
              <w:spacing w:after="0" w:line="20" w:lineRule="exact"/>
              <w:rPr>
                <w:sz w:val="1"/>
                <w:szCs w:val="1"/>
                <w:color w:val="auto"/>
              </w:rPr>
            </w:pPr>
          </w:p>
        </w:tc>
      </w:tr>
      <w:tr>
        <w:trPr>
          <w:trHeight w:val="662"/>
        </w:trPr>
        <w:tc>
          <w:tcPr>
            <w:tcW w:w="2160" w:type="dxa"/>
            <w:vAlign w:val="bottom"/>
            <w:gridSpan w:val="2"/>
          </w:tcPr>
          <w:p>
            <w:pPr>
              <w:spacing w:after="0"/>
              <w:rPr>
                <w:sz w:val="20"/>
                <w:szCs w:val="20"/>
                <w:color w:val="auto"/>
              </w:rPr>
            </w:pPr>
            <w:r>
              <w:rPr>
                <w:rFonts w:ascii="Arial" w:cs="Arial" w:eastAsia="Arial" w:hAnsi="Arial"/>
                <w:sz w:val="16"/>
                <w:szCs w:val="16"/>
                <w:b w:val="1"/>
                <w:bCs w:val="1"/>
                <w:color w:val="083566"/>
              </w:rPr>
              <w:t>TRADEWEB MARKETS INC.</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6800" w:type="dxa"/>
            <w:vAlign w:val="bottom"/>
            <w:gridSpan w:val="15"/>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99"/>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4"/>
        </w:trPr>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39"/>
        </w:trPr>
        <w:tc>
          <w:tcPr>
            <w:tcW w:w="196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D5DCE4"/>
            </w:tcBorders>
          </w:tcPr>
          <w:p>
            <w:pPr>
              <w:spacing w:after="0"/>
              <w:rPr>
                <w:sz w:val="20"/>
                <w:szCs w:val="20"/>
                <w:color w:val="auto"/>
              </w:rPr>
            </w:pPr>
          </w:p>
        </w:tc>
        <w:tc>
          <w:tcPr>
            <w:tcW w:w="860" w:type="dxa"/>
            <w:vAlign w:val="bottom"/>
            <w:tcBorders>
              <w:bottom w:val="single" w:sz="8" w:color="D5DCE4"/>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60" w:type="dxa"/>
            <w:vAlign w:val="bottom"/>
            <w:tcBorders>
              <w:bottom w:val="single" w:sz="8" w:color="D5DCE4"/>
            </w:tcBorders>
          </w:tcPr>
          <w:p>
            <w:pPr>
              <w:spacing w:after="0"/>
              <w:rPr>
                <w:sz w:val="20"/>
                <w:szCs w:val="20"/>
                <w:color w:val="auto"/>
              </w:rPr>
            </w:pPr>
          </w:p>
        </w:tc>
        <w:tc>
          <w:tcPr>
            <w:tcW w:w="720" w:type="dxa"/>
            <w:vAlign w:val="bottom"/>
            <w:tcBorders>
              <w:bottom w:val="single" w:sz="8" w:color="D5DCE4"/>
            </w:tcBorders>
          </w:tcPr>
          <w:p>
            <w:pPr>
              <w:spacing w:after="0"/>
              <w:rPr>
                <w:sz w:val="20"/>
                <w:szCs w:val="20"/>
                <w:color w:val="auto"/>
              </w:rPr>
            </w:pPr>
          </w:p>
        </w:tc>
        <w:tc>
          <w:tcPr>
            <w:tcW w:w="120" w:type="dxa"/>
            <w:vAlign w:val="bottom"/>
            <w:tcBorders>
              <w:bottom w:val="single" w:sz="8" w:color="D5DCE4"/>
            </w:tcBorders>
          </w:tcPr>
          <w:p>
            <w:pPr>
              <w:spacing w:after="0"/>
              <w:rPr>
                <w:sz w:val="20"/>
                <w:szCs w:val="20"/>
                <w:color w:val="auto"/>
              </w:rPr>
            </w:pPr>
          </w:p>
        </w:tc>
        <w:tc>
          <w:tcPr>
            <w:tcW w:w="160" w:type="dxa"/>
            <w:vAlign w:val="bottom"/>
            <w:tcBorders>
              <w:bottom w:val="single" w:sz="8" w:color="D5DCE4"/>
            </w:tcBorders>
          </w:tcPr>
          <w:p>
            <w:pPr>
              <w:spacing w:after="0"/>
              <w:rPr>
                <w:sz w:val="20"/>
                <w:szCs w:val="20"/>
                <w:color w:val="auto"/>
              </w:rPr>
            </w:pPr>
          </w:p>
        </w:tc>
        <w:tc>
          <w:tcPr>
            <w:tcW w:w="840" w:type="dxa"/>
            <w:vAlign w:val="bottom"/>
            <w:tcBorders>
              <w:bottom w:val="single" w:sz="8" w:color="D5DCE4"/>
            </w:tcBorders>
          </w:tcPr>
          <w:p>
            <w:pPr>
              <w:spacing w:after="0"/>
              <w:rPr>
                <w:sz w:val="20"/>
                <w:szCs w:val="20"/>
                <w:color w:val="auto"/>
              </w:rPr>
            </w:pPr>
          </w:p>
        </w:tc>
        <w:tc>
          <w:tcPr>
            <w:tcW w:w="200" w:type="dxa"/>
            <w:vAlign w:val="bottom"/>
            <w:tcBorders>
              <w:bottom w:val="single" w:sz="8" w:color="D5DCE4"/>
            </w:tcBorders>
          </w:tcPr>
          <w:p>
            <w:pPr>
              <w:spacing w:after="0"/>
              <w:rPr>
                <w:sz w:val="20"/>
                <w:szCs w:val="20"/>
                <w:color w:val="auto"/>
              </w:rPr>
            </w:pPr>
          </w:p>
        </w:tc>
        <w:tc>
          <w:tcPr>
            <w:tcW w:w="160" w:type="dxa"/>
            <w:vAlign w:val="bottom"/>
            <w:tcBorders>
              <w:bottom w:val="single" w:sz="8" w:color="D5DCE4"/>
            </w:tcBorders>
          </w:tcPr>
          <w:p>
            <w:pPr>
              <w:spacing w:after="0"/>
              <w:rPr>
                <w:sz w:val="20"/>
                <w:szCs w:val="20"/>
                <w:color w:val="auto"/>
              </w:rPr>
            </w:pPr>
          </w:p>
        </w:tc>
        <w:tc>
          <w:tcPr>
            <w:tcW w:w="66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16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40" w:type="dxa"/>
            <w:vAlign w:val="bottom"/>
            <w:shd w:val="clear" w:color="auto" w:fill="D5DCE4"/>
          </w:tcPr>
          <w:p>
            <w:pPr>
              <w:spacing w:after="0"/>
              <w:rPr>
                <w:sz w:val="20"/>
                <w:szCs w:val="20"/>
                <w:color w:val="auto"/>
              </w:rPr>
            </w:pPr>
          </w:p>
        </w:tc>
        <w:tc>
          <w:tcPr>
            <w:tcW w:w="860" w:type="dxa"/>
            <w:vAlign w:val="bottom"/>
            <w:shd w:val="clear" w:color="auto" w:fill="D5DCE4"/>
          </w:tcPr>
          <w:p>
            <w:pPr>
              <w:spacing w:after="0"/>
              <w:rPr>
                <w:sz w:val="20"/>
                <w:szCs w:val="20"/>
                <w:color w:val="auto"/>
              </w:rPr>
            </w:pPr>
          </w:p>
        </w:tc>
        <w:tc>
          <w:tcPr>
            <w:tcW w:w="180" w:type="dxa"/>
            <w:vAlign w:val="bottom"/>
            <w:shd w:val="clear" w:color="auto" w:fill="D5DCE4"/>
          </w:tcPr>
          <w:p>
            <w:pPr>
              <w:spacing w:after="0"/>
              <w:rPr>
                <w:sz w:val="20"/>
                <w:szCs w:val="20"/>
                <w:color w:val="auto"/>
              </w:rPr>
            </w:pPr>
          </w:p>
        </w:tc>
        <w:tc>
          <w:tcPr>
            <w:tcW w:w="260" w:type="dxa"/>
            <w:vAlign w:val="bottom"/>
            <w:shd w:val="clear" w:color="auto" w:fill="D5DCE4"/>
          </w:tcPr>
          <w:p>
            <w:pPr>
              <w:spacing w:after="0"/>
              <w:rPr>
                <w:sz w:val="20"/>
                <w:szCs w:val="20"/>
                <w:color w:val="auto"/>
              </w:rPr>
            </w:pPr>
          </w:p>
        </w:tc>
        <w:tc>
          <w:tcPr>
            <w:tcW w:w="720" w:type="dxa"/>
            <w:vAlign w:val="bottom"/>
            <w:shd w:val="clear" w:color="auto" w:fill="D5DCE4"/>
          </w:tcPr>
          <w:p>
            <w:pPr>
              <w:spacing w:after="0"/>
              <w:rPr>
                <w:sz w:val="20"/>
                <w:szCs w:val="20"/>
                <w:color w:val="auto"/>
              </w:rPr>
            </w:pPr>
          </w:p>
        </w:tc>
        <w:tc>
          <w:tcPr>
            <w:tcW w:w="120" w:type="dxa"/>
            <w:vAlign w:val="bottom"/>
            <w:shd w:val="clear" w:color="auto" w:fill="D5DCE4"/>
          </w:tcPr>
          <w:p>
            <w:pPr>
              <w:spacing w:after="0"/>
              <w:rPr>
                <w:sz w:val="20"/>
                <w:szCs w:val="20"/>
                <w:color w:val="auto"/>
              </w:rPr>
            </w:pPr>
          </w:p>
        </w:tc>
        <w:tc>
          <w:tcPr>
            <w:tcW w:w="160" w:type="dxa"/>
            <w:vAlign w:val="bottom"/>
            <w:shd w:val="clear" w:color="auto" w:fill="D5DCE4"/>
          </w:tcPr>
          <w:p>
            <w:pPr>
              <w:spacing w:after="0"/>
              <w:rPr>
                <w:sz w:val="20"/>
                <w:szCs w:val="20"/>
                <w:color w:val="auto"/>
              </w:rPr>
            </w:pPr>
          </w:p>
        </w:tc>
        <w:tc>
          <w:tcPr>
            <w:tcW w:w="840" w:type="dxa"/>
            <w:vAlign w:val="bottom"/>
            <w:shd w:val="clear" w:color="auto" w:fill="D5DCE4"/>
          </w:tcPr>
          <w:p>
            <w:pPr>
              <w:spacing w:after="0"/>
              <w:rPr>
                <w:sz w:val="20"/>
                <w:szCs w:val="20"/>
                <w:color w:val="auto"/>
              </w:rPr>
            </w:pPr>
          </w:p>
        </w:tc>
        <w:tc>
          <w:tcPr>
            <w:tcW w:w="200" w:type="dxa"/>
            <w:vAlign w:val="bottom"/>
            <w:shd w:val="clear" w:color="auto" w:fill="D5DCE4"/>
          </w:tcPr>
          <w:p>
            <w:pPr>
              <w:spacing w:after="0"/>
              <w:rPr>
                <w:sz w:val="20"/>
                <w:szCs w:val="20"/>
                <w:color w:val="auto"/>
              </w:rPr>
            </w:pPr>
          </w:p>
        </w:tc>
        <w:tc>
          <w:tcPr>
            <w:tcW w:w="160" w:type="dxa"/>
            <w:vAlign w:val="bottom"/>
            <w:shd w:val="clear" w:color="auto" w:fill="D5DCE4"/>
          </w:tcPr>
          <w:p>
            <w:pPr>
              <w:spacing w:after="0"/>
              <w:rPr>
                <w:sz w:val="20"/>
                <w:szCs w:val="20"/>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0"/>
                <w:szCs w:val="20"/>
                <w:color w:val="auto"/>
              </w:rPr>
            </w:pPr>
          </w:p>
        </w:tc>
        <w:tc>
          <w:tcPr>
            <w:tcW w:w="140" w:type="dxa"/>
            <w:vAlign w:val="bottom"/>
            <w:shd w:val="clear" w:color="auto" w:fill="D5DCE4"/>
          </w:tcPr>
          <w:p>
            <w:pPr>
              <w:spacing w:after="0"/>
              <w:rPr>
                <w:sz w:val="20"/>
                <w:szCs w:val="20"/>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2.23</w:t>
            </w:r>
          </w:p>
        </w:tc>
        <w:tc>
          <w:tcPr>
            <w:tcW w:w="80" w:type="dxa"/>
            <w:vAlign w:val="bottom"/>
            <w:shd w:val="clear" w:color="auto" w:fill="D5DCE4"/>
          </w:tcPr>
          <w:p>
            <w:pPr>
              <w:spacing w:after="0"/>
              <w:rPr>
                <w:sz w:val="20"/>
                <w:szCs w:val="20"/>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0"/>
                <w:szCs w:val="20"/>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2.15</w:t>
            </w:r>
          </w:p>
        </w:tc>
        <w:tc>
          <w:tcPr>
            <w:tcW w:w="80" w:type="dxa"/>
            <w:vAlign w:val="bottom"/>
            <w:shd w:val="clear" w:color="auto" w:fill="D5DCE4"/>
          </w:tcPr>
          <w:p>
            <w:pPr>
              <w:spacing w:after="0"/>
              <w:rPr>
                <w:sz w:val="20"/>
                <w:szCs w:val="20"/>
                <w:color w:val="auto"/>
              </w:rPr>
            </w:pPr>
          </w:p>
        </w:tc>
        <w:tc>
          <w:tcPr>
            <w:tcW w:w="50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3.9 %</w:t>
            </w:r>
          </w:p>
        </w:tc>
      </w:tr>
      <w:tr>
        <w:trPr>
          <w:trHeight w:val="235"/>
        </w:trPr>
        <w:tc>
          <w:tcPr>
            <w:tcW w:w="2160" w:type="dxa"/>
            <w:vAlign w:val="bottom"/>
            <w:gridSpan w:val="2"/>
          </w:tcPr>
          <w:p>
            <w:pPr>
              <w:ind w:left="140"/>
              <w:spacing w:after="0"/>
              <w:rPr>
                <w:sz w:val="20"/>
                <w:szCs w:val="20"/>
                <w:color w:val="auto"/>
              </w:rPr>
            </w:pPr>
            <w:r>
              <w:rPr>
                <w:rFonts w:ascii="Arial" w:cs="Arial" w:eastAsia="Arial" w:hAnsi="Arial"/>
                <w:sz w:val="16"/>
                <w:szCs w:val="16"/>
                <w:color w:val="auto"/>
              </w:rPr>
              <w:t>Cash Rates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14.2 %</w:t>
            </w:r>
          </w:p>
        </w:tc>
      </w:tr>
      <w:tr>
        <w:trPr>
          <w:trHeight w:val="251"/>
        </w:trPr>
        <w:tc>
          <w:tcPr>
            <w:tcW w:w="2160" w:type="dxa"/>
            <w:vAlign w:val="bottom"/>
            <w:gridSpan w:val="2"/>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(7.4)%</w:t>
            </w:r>
          </w:p>
        </w:tc>
      </w:tr>
      <w:tr>
        <w:trPr>
          <w:trHeight w:val="235"/>
        </w:trPr>
        <w:tc>
          <w:tcPr>
            <w:tcW w:w="3600" w:type="dxa"/>
            <w:vAlign w:val="bottom"/>
            <w:gridSpan w:val="6"/>
          </w:tcPr>
          <w:p>
            <w:pPr>
              <w:ind w:left="240"/>
              <w:spacing w:after="0"/>
              <w:rPr>
                <w:sz w:val="20"/>
                <w:szCs w:val="20"/>
                <w:color w:val="auto"/>
              </w:rPr>
            </w:pPr>
            <w:r>
              <w:rPr>
                <w:rFonts w:ascii="Arial" w:cs="Arial" w:eastAsia="Arial" w:hAnsi="Arial"/>
                <w:sz w:val="16"/>
                <w:szCs w:val="16"/>
                <w:color w:val="auto"/>
              </w:rPr>
              <w:t>Swaps / Swaptions Tenor (greater than 1 year)</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51"/>
        </w:trPr>
        <w:tc>
          <w:tcPr>
            <w:tcW w:w="2160" w:type="dxa"/>
            <w:vAlign w:val="bottom"/>
            <w:gridSpan w:val="2"/>
            <w:shd w:val="clear" w:color="auto" w:fill="D5DCE4"/>
          </w:tcPr>
          <w:p>
            <w:pPr>
              <w:ind w:left="240"/>
              <w:spacing w:after="0"/>
              <w:rPr>
                <w:sz w:val="20"/>
                <w:szCs w:val="20"/>
                <w:color w:val="auto"/>
              </w:rPr>
            </w:pPr>
            <w:r>
              <w:rPr>
                <w:rFonts w:ascii="Arial" w:cs="Arial" w:eastAsia="Arial" w:hAnsi="Arial"/>
                <w:sz w:val="16"/>
                <w:szCs w:val="16"/>
                <w:color w:val="auto"/>
                <w:w w:val="99"/>
              </w:rPr>
              <w:t xml:space="preserve">Other Rates Derivatives </w:t>
            </w:r>
            <w:r>
              <w:rPr>
                <w:rFonts w:ascii="Arial" w:cs="Arial" w:eastAsia="Arial" w:hAnsi="Arial"/>
                <w:sz w:val="21"/>
                <w:szCs w:val="21"/>
                <w:color w:val="auto"/>
                <w:w w:val="99"/>
                <w:vertAlign w:val="superscript"/>
              </w:rPr>
              <w:t>(1)</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0.27</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33.8 %</w:t>
            </w:r>
          </w:p>
        </w:tc>
      </w:tr>
      <w:tr>
        <w:trPr>
          <w:trHeight w:val="216"/>
        </w:trPr>
        <w:tc>
          <w:tcPr>
            <w:tcW w:w="2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38.03</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45.67</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(16.7)%</w:t>
            </w:r>
          </w:p>
        </w:tc>
      </w:tr>
      <w:tr>
        <w:trPr>
          <w:trHeight w:val="243"/>
        </w:trPr>
        <w:tc>
          <w:tcPr>
            <w:tcW w:w="2160" w:type="dxa"/>
            <w:vAlign w:val="bottom"/>
            <w:gridSpan w:val="2"/>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150.38</w:t>
            </w:r>
          </w:p>
        </w:tc>
        <w:tc>
          <w:tcPr>
            <w:tcW w:w="80" w:type="dxa"/>
            <w:vAlign w:val="bottom"/>
          </w:tcPr>
          <w:p>
            <w:pPr>
              <w:spacing w:after="0"/>
              <w:rPr>
                <w:sz w:val="21"/>
                <w:szCs w:val="21"/>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3"/>
              </w:rPr>
              <w:t>144.48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43"/>
        </w:trPr>
        <w:tc>
          <w:tcPr>
            <w:tcW w:w="3340" w:type="dxa"/>
            <w:vAlign w:val="bottom"/>
            <w:gridSpan w:val="5"/>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6.33</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6.16</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2.8 %</w:t>
            </w:r>
          </w:p>
        </w:tc>
      </w:tr>
      <w:tr>
        <w:trPr>
          <w:trHeight w:val="216"/>
        </w:trPr>
        <w:tc>
          <w:tcPr>
            <w:tcW w:w="2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18.69</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15.20</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23.0 %</w:t>
            </w:r>
          </w:p>
        </w:tc>
      </w:tr>
      <w:tr>
        <w:trPr>
          <w:trHeight w:val="235"/>
        </w:trPr>
        <w:tc>
          <w:tcPr>
            <w:tcW w:w="2160" w:type="dxa"/>
            <w:vAlign w:val="bottom"/>
            <w:gridSpan w:val="2"/>
          </w:tcPr>
          <w:p>
            <w:pPr>
              <w:ind w:left="140"/>
              <w:spacing w:after="0"/>
              <w:rPr>
                <w:sz w:val="20"/>
                <w:szCs w:val="20"/>
                <w:color w:val="auto"/>
              </w:rPr>
            </w:pPr>
            <w:r>
              <w:rPr>
                <w:rFonts w:ascii="Arial" w:cs="Arial" w:eastAsia="Arial" w:hAnsi="Arial"/>
                <w:sz w:val="16"/>
                <w:szCs w:val="16"/>
                <w:color w:val="auto"/>
              </w:rPr>
              <w:t>Cash Equities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29.33</w:t>
            </w:r>
          </w:p>
        </w:tc>
        <w:tc>
          <w:tcPr>
            <w:tcW w:w="80" w:type="dxa"/>
            <w:vAlign w:val="bottom"/>
          </w:tcPr>
          <w:p>
            <w:pPr>
              <w:spacing w:after="0"/>
              <w:rPr>
                <w:sz w:val="20"/>
                <w:szCs w:val="20"/>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24.37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20.3 %</w:t>
            </w:r>
          </w:p>
        </w:tc>
      </w:tr>
      <w:tr>
        <w:trPr>
          <w:trHeight w:val="251"/>
        </w:trPr>
        <w:tc>
          <w:tcPr>
            <w:tcW w:w="2160" w:type="dxa"/>
            <w:vAlign w:val="bottom"/>
            <w:gridSpan w:val="2"/>
            <w:shd w:val="clear" w:color="auto" w:fill="D5DCE4"/>
          </w:tcPr>
          <w:p>
            <w:pPr>
              <w:ind w:left="140"/>
              <w:spacing w:after="0"/>
              <w:rPr>
                <w:sz w:val="20"/>
                <w:szCs w:val="20"/>
                <w:color w:val="auto"/>
              </w:rPr>
            </w:pPr>
            <w:r>
              <w:rPr>
                <w:rFonts w:ascii="Arial" w:cs="Arial" w:eastAsia="Arial" w:hAnsi="Arial"/>
                <w:sz w:val="16"/>
                <w:szCs w:val="16"/>
                <w:color w:val="auto"/>
              </w:rPr>
              <w:t>Equity Derivatives</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5.23</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0.9 %</w:t>
            </w:r>
          </w:p>
        </w:tc>
      </w:tr>
      <w:tr>
        <w:trPr>
          <w:trHeight w:val="216"/>
        </w:trPr>
        <w:tc>
          <w:tcPr>
            <w:tcW w:w="2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 (Cash)</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0.33</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0.33</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1.7 %</w:t>
            </w:r>
          </w:p>
        </w:tc>
      </w:tr>
      <w:tr>
        <w:trPr>
          <w:trHeight w:val="216"/>
        </w:trPr>
        <w:tc>
          <w:tcPr>
            <w:tcW w:w="2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72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gridSpan w:val="2"/>
            <w:shd w:val="clear" w:color="auto" w:fill="D5DCE4"/>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3"/>
            <w:shd w:val="clear" w:color="auto" w:fill="D5DCE4"/>
          </w:tcPr>
          <w:p>
            <w:pPr>
              <w:jc w:val="right"/>
              <w:spacing w:after="0"/>
              <w:rPr>
                <w:sz w:val="20"/>
                <w:szCs w:val="20"/>
                <w:color w:val="auto"/>
              </w:rPr>
            </w:pPr>
            <w:r>
              <w:rPr>
                <w:rFonts w:ascii="Arial" w:cs="Arial" w:eastAsia="Arial" w:hAnsi="Arial"/>
                <w:sz w:val="16"/>
                <w:szCs w:val="16"/>
                <w:b w:val="1"/>
                <w:bCs w:val="1"/>
                <w:color w:val="auto"/>
              </w:rPr>
              <w:t>2.73</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D5DCE4"/>
          </w:tcPr>
          <w:p>
            <w:pPr>
              <w:spacing w:after="0"/>
              <w:rPr>
                <w:sz w:val="21"/>
                <w:szCs w:val="21"/>
                <w:color w:val="auto"/>
              </w:rPr>
            </w:pPr>
          </w:p>
        </w:tc>
        <w:tc>
          <w:tcPr>
            <w:tcW w:w="560" w:type="dxa"/>
            <w:vAlign w:val="bottom"/>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2.70</w:t>
            </w:r>
          </w:p>
        </w:tc>
        <w:tc>
          <w:tcPr>
            <w:tcW w:w="80" w:type="dxa"/>
            <w:vAlign w:val="bottom"/>
            <w:shd w:val="clear" w:color="auto" w:fill="D5DCE4"/>
          </w:tcPr>
          <w:p>
            <w:pPr>
              <w:spacing w:after="0"/>
              <w:rPr>
                <w:sz w:val="21"/>
                <w:szCs w:val="21"/>
                <w:color w:val="auto"/>
              </w:rPr>
            </w:pPr>
          </w:p>
        </w:tc>
        <w:tc>
          <w:tcPr>
            <w:tcW w:w="5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1.1 %</w:t>
            </w:r>
          </w:p>
        </w:tc>
      </w:tr>
      <w:tr>
        <w:trPr>
          <w:trHeight w:val="289"/>
        </w:trPr>
        <w:tc>
          <w:tcPr>
            <w:tcW w:w="4600" w:type="dxa"/>
            <w:vAlign w:val="bottom"/>
            <w:gridSpan w:val="9"/>
          </w:tcPr>
          <w:p>
            <w:pPr>
              <w:ind w:left="20"/>
              <w:spacing w:after="0"/>
              <w:rPr>
                <w:sz w:val="20"/>
                <w:szCs w:val="20"/>
                <w:color w:val="auto"/>
              </w:rPr>
            </w:pPr>
            <w:r>
              <w:rPr>
                <w:rFonts w:ascii="Arial" w:cs="Arial" w:eastAsia="Arial" w:hAnsi="Arial"/>
                <w:sz w:val="16"/>
                <w:szCs w:val="16"/>
                <w:b w:val="1"/>
                <w:bCs w:val="1"/>
                <w:color w:val="auto"/>
              </w:rPr>
              <w:t xml:space="preserve">Total Fees per Million excluding Other Rates Derivatives </w:t>
            </w:r>
            <w:r>
              <w:rPr>
                <w:rFonts w:ascii="Arial" w:cs="Arial" w:eastAsia="Arial" w:hAnsi="Arial"/>
                <w:sz w:val="21"/>
                <w:szCs w:val="21"/>
                <w:b w:val="1"/>
                <w:bCs w:val="1"/>
                <w:color w:val="auto"/>
                <w:vertAlign w:val="superscript"/>
              </w:rPr>
              <w:t>(3)</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b w:val="1"/>
                <w:bCs w:val="1"/>
                <w:color w:val="auto"/>
              </w:rPr>
              <w:t>3.05</w:t>
            </w:r>
          </w:p>
        </w:tc>
        <w:tc>
          <w:tcPr>
            <w:tcW w:w="80" w:type="dxa"/>
            <w:vAlign w:val="bottom"/>
          </w:tcPr>
          <w:p>
            <w:pPr>
              <w:spacing w:after="0"/>
              <w:rPr>
                <w:sz w:val="24"/>
                <w:szCs w:val="24"/>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2.97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2.8 %</w:t>
            </w:r>
          </w:p>
        </w:tc>
      </w:tr>
    </w:tbl>
    <w:p>
      <w:pPr>
        <w:spacing w:after="0" w:line="30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(1)</w:t>
      </w:r>
    </w:p>
    <w:p>
      <w:pPr>
        <w:ind w:left="680"/>
        <w:spacing w:after="0"/>
        <w:rPr>
          <w:sz w:val="20"/>
          <w:szCs w:val="20"/>
          <w:color w:val="auto"/>
        </w:rPr>
      </w:pPr>
      <w:r>
        <w:rPr>
          <w:rFonts w:ascii="Arial" w:cs="Arial" w:eastAsia="Arial" w:hAnsi="Arial"/>
          <w:sz w:val="12"/>
          <w:szCs w:val="12"/>
          <w:color w:val="auto"/>
        </w:rPr>
        <w:t>Includes Swaps/Swaptions of tenor less than 1 year and Rates Futures.</w:t>
      </w:r>
    </w:p>
    <w:p>
      <w:pPr>
        <w:spacing w:after="0" w:line="53" w:lineRule="exact"/>
        <w:rPr>
          <w:sz w:val="20"/>
          <w:szCs w:val="20"/>
          <w:color w:val="auto"/>
        </w:rPr>
      </w:pPr>
    </w:p>
    <w:p>
      <w:pPr>
        <w:ind w:left="680" w:hanging="411"/>
        <w:spacing w:after="0"/>
        <w:tabs>
          <w:tab w:leader="none" w:pos="6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spacing w:after="0" w:line="64" w:lineRule="exact"/>
        <w:rPr>
          <w:rFonts w:ascii="Arial" w:cs="Arial" w:eastAsia="Arial" w:hAnsi="Arial"/>
          <w:sz w:val="12"/>
          <w:szCs w:val="12"/>
          <w:color w:val="auto"/>
        </w:rPr>
      </w:pPr>
    </w:p>
    <w:p>
      <w:pPr>
        <w:ind w:left="680" w:hanging="411"/>
        <w:spacing w:after="0"/>
        <w:tabs>
          <w:tab w:leader="none" w:pos="6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4"/>
          </w:tcPr>
          <w:p>
            <w:pPr>
              <w:ind w:left="740"/>
              <w:spacing w:after="0"/>
              <w:rPr>
                <w:sz w:val="20"/>
                <w:szCs w:val="20"/>
                <w:color w:val="auto"/>
              </w:rPr>
            </w:pPr>
            <w:r>
              <w:rPr>
                <w:rFonts w:ascii="Arial" w:cs="Arial" w:eastAsia="Arial" w:hAnsi="Arial"/>
                <w:sz w:val="16"/>
                <w:szCs w:val="16"/>
                <w:b w:val="1"/>
                <w:bCs w:val="1"/>
                <w:color w:val="auto"/>
              </w:rPr>
              <w:t>2022 Q3</w:t>
            </w:r>
          </w:p>
        </w:tc>
        <w:tc>
          <w:tcPr>
            <w:tcW w:w="400" w:type="dxa"/>
            <w:vAlign w:val="bottom"/>
          </w:tcPr>
          <w:p>
            <w:pPr>
              <w:spacing w:after="0"/>
              <w:rPr>
                <w:sz w:val="19"/>
                <w:szCs w:val="19"/>
                <w:color w:val="auto"/>
              </w:rPr>
            </w:pPr>
          </w:p>
        </w:tc>
        <w:tc>
          <w:tcPr>
            <w:tcW w:w="2480" w:type="dxa"/>
            <w:vAlign w:val="bottom"/>
            <w:gridSpan w:val="4"/>
          </w:tcPr>
          <w:p>
            <w:pPr>
              <w:ind w:left="680"/>
              <w:spacing w:after="0"/>
              <w:rPr>
                <w:sz w:val="20"/>
                <w:szCs w:val="20"/>
                <w:color w:val="auto"/>
              </w:rPr>
            </w:pPr>
            <w:r>
              <w:rPr>
                <w:rFonts w:ascii="Arial" w:cs="Arial" w:eastAsia="Arial" w:hAnsi="Arial"/>
                <w:sz w:val="16"/>
                <w:szCs w:val="16"/>
                <w:b w:val="1"/>
                <w:bCs w:val="1"/>
                <w:color w:val="auto"/>
              </w:rPr>
              <w:t>2021 Q3</w:t>
            </w:r>
          </w:p>
        </w:tc>
        <w:tc>
          <w:tcPr>
            <w:tcW w:w="1220" w:type="dxa"/>
            <w:vAlign w:val="bottom"/>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1"/>
                <w:szCs w:val="21"/>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1"/>
                <w:szCs w:val="21"/>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0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00" w:type="dxa"/>
            <w:vAlign w:val="bottom"/>
            <w:shd w:val="clear" w:color="auto" w:fill="D5DCE4"/>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324,153</w:t>
            </w:r>
          </w:p>
        </w:tc>
        <w:tc>
          <w:tcPr>
            <w:tcW w:w="16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20,773,078</w:t>
            </w:r>
          </w:p>
        </w:tc>
        <w:tc>
          <w:tcPr>
            <w:tcW w:w="100" w:type="dxa"/>
            <w:vAlign w:val="bottom"/>
            <w:tcBorders>
              <w:right w:val="single" w:sz="8" w:color="D5DCE4"/>
            </w:tcBorders>
            <w:shd w:val="clear" w:color="auto" w:fill="D5DCE4"/>
          </w:tcPr>
          <w:p>
            <w:pPr>
              <w:spacing w:after="0"/>
              <w:rPr>
                <w:sz w:val="20"/>
                <w:szCs w:val="20"/>
                <w:color w:val="auto"/>
              </w:rPr>
            </w:pPr>
          </w:p>
        </w:tc>
        <w:tc>
          <w:tcPr>
            <w:tcW w:w="400" w:type="dxa"/>
            <w:vAlign w:val="bottom"/>
            <w:shd w:val="clear" w:color="auto" w:fill="D5DCE4"/>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336,832</w:t>
            </w:r>
          </w:p>
        </w:tc>
        <w:tc>
          <w:tcPr>
            <w:tcW w:w="160" w:type="dxa"/>
            <w:vAlign w:val="bottom"/>
            <w:shd w:val="clear" w:color="auto" w:fill="D5DCE4"/>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21,610,725</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Government Bonds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123,736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7,919,082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124,638</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7,976,859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Government Bonds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33,338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2,166,946</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28,800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1,900,795</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15.76 %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Mortgages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162,542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10,402,677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179,636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11,496,734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Government Bonds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4,538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284,373</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3,757</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236,337</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328,636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21,158,402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246,981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15,992,323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33.06 %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Swaps/Swaptions ≥ 1Y</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203,038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13,066,309</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154,970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10,039,311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31.02 %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Swaps/Swaptions &lt; 1Y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123,817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7,978,143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91,240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5,903,695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35.70 %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1,780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113,950</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770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49,317</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131.08 %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D5DCE4"/>
            </w:tcBorders>
          </w:tcPr>
          <w:p>
            <w:pPr>
              <w:spacing w:after="0"/>
              <w:rPr>
                <w:sz w:val="20"/>
                <w:szCs w:val="20"/>
                <w:color w:val="auto"/>
              </w:rPr>
            </w:pPr>
          </w:p>
        </w:tc>
        <w:tc>
          <w:tcPr>
            <w:tcW w:w="304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652,789</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41,931,480</w:t>
            </w:r>
          </w:p>
        </w:tc>
        <w:tc>
          <w:tcPr>
            <w:tcW w:w="100" w:type="dxa"/>
            <w:vAlign w:val="bottom"/>
            <w:tcBorders>
              <w:bottom w:val="single" w:sz="8" w:color="D5DCE4"/>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583,813</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37,603,048</w:t>
            </w:r>
          </w:p>
        </w:tc>
        <w:tc>
          <w:tcPr>
            <w:tcW w:w="100" w:type="dxa"/>
            <w:vAlign w:val="bottom"/>
            <w:tcBorders>
              <w:bottom w:val="single" w:sz="8" w:color="D5DCE4"/>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0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0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9,275</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595,883</w:t>
            </w:r>
          </w:p>
        </w:tc>
        <w:tc>
          <w:tcPr>
            <w:tcW w:w="100" w:type="dxa"/>
            <w:vAlign w:val="bottom"/>
            <w:tcBorders>
              <w:right w:val="single" w:sz="8" w:color="D5DCE4"/>
            </w:tcBorders>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8,440</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543,735</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9.88 %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Grade - Fully Electronic</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210,038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2,602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166,536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00" w:type="dxa"/>
            <w:vAlign w:val="bottom"/>
            <w:tcBorders>
              <w:right w:val="single" w:sz="8" w:color="D5DCE4"/>
            </w:tcBorders>
            <w:shd w:val="clear" w:color="auto" w:fill="D5DCE4"/>
          </w:tcPr>
          <w:p>
            <w:pPr>
              <w:spacing w:after="0"/>
              <w:rPr>
                <w:sz w:val="18"/>
                <w:szCs w:val="18"/>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Grade - Electronically</w:t>
            </w:r>
          </w:p>
        </w:tc>
        <w:tc>
          <w:tcPr>
            <w:tcW w:w="30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2,475</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158,411</w:t>
            </w:r>
          </w:p>
        </w:tc>
        <w:tc>
          <w:tcPr>
            <w:tcW w:w="100" w:type="dxa"/>
            <w:vAlign w:val="bottom"/>
            <w:tcBorders>
              <w:right w:val="single" w:sz="8" w:color="D5DCE4"/>
            </w:tcBorders>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9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1,775</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113,615</w:t>
            </w:r>
          </w:p>
        </w:tc>
        <w:tc>
          <w:tcPr>
            <w:tcW w:w="100" w:type="dxa"/>
            <w:vAlign w:val="bottom"/>
            <w:tcBorders>
              <w:right w:val="single" w:sz="8" w:color="D5DCE4"/>
            </w:tcBorders>
            <w:shd w:val="clear" w:color="auto" w:fill="D5DCE4"/>
          </w:tcPr>
          <w:p>
            <w:pPr>
              <w:spacing w:after="0"/>
              <w:rPr>
                <w:sz w:val="18"/>
                <w:szCs w:val="18"/>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39.43 %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200" w:type="dxa"/>
            <w:vAlign w:val="bottom"/>
            <w:tcBorders>
              <w:right w:val="single" w:sz="8" w:color="D5DCE4"/>
            </w:tcBorders>
            <w:shd w:val="clear" w:color="auto" w:fill="D5DCE4"/>
          </w:tcPr>
          <w:p>
            <w:pPr>
              <w:spacing w:after="0"/>
              <w:rPr>
                <w:sz w:val="10"/>
                <w:szCs w:val="10"/>
                <w:color w:val="auto"/>
              </w:rPr>
            </w:pPr>
          </w:p>
        </w:tc>
        <w:tc>
          <w:tcPr>
            <w:tcW w:w="304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Processed</w:t>
            </w:r>
          </w:p>
        </w:tc>
        <w:tc>
          <w:tcPr>
            <w:tcW w:w="30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400" w:type="dxa"/>
            <w:vAlign w:val="bottom"/>
            <w:shd w:val="clear" w:color="auto" w:fill="D5DCE4"/>
          </w:tcPr>
          <w:p>
            <w:pPr>
              <w:spacing w:after="0"/>
              <w:rPr>
                <w:sz w:val="10"/>
                <w:szCs w:val="10"/>
                <w:color w:val="auto"/>
              </w:rPr>
            </w:pPr>
          </w:p>
        </w:tc>
        <w:tc>
          <w:tcPr>
            <w:tcW w:w="96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20" w:type="dxa"/>
            <w:vAlign w:val="bottom"/>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00" w:type="dxa"/>
            <w:vAlign w:val="bottom"/>
            <w:tcBorders>
              <w:bottom w:val="single" w:sz="8" w:color="D5DCE4"/>
              <w:right w:val="single" w:sz="8" w:color="D5DCE4"/>
            </w:tcBorders>
            <w:shd w:val="clear" w:color="auto" w:fill="D5DCE4"/>
          </w:tcPr>
          <w:p>
            <w:pPr>
              <w:spacing w:after="0"/>
              <w:rPr>
                <w:sz w:val="9"/>
                <w:szCs w:val="9"/>
                <w:color w:val="auto"/>
              </w:rPr>
            </w:pPr>
          </w:p>
        </w:tc>
        <w:tc>
          <w:tcPr>
            <w:tcW w:w="304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0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400" w:type="dxa"/>
            <w:vAlign w:val="bottom"/>
            <w:tcBorders>
              <w:bottom w:val="single" w:sz="8" w:color="D5DCE4"/>
            </w:tcBorders>
            <w:shd w:val="clear" w:color="auto" w:fill="D5DCE4"/>
          </w:tcPr>
          <w:p>
            <w:pPr>
              <w:spacing w:after="0"/>
              <w:rPr>
                <w:sz w:val="9"/>
                <w:szCs w:val="9"/>
                <w:color w:val="auto"/>
              </w:rPr>
            </w:pPr>
          </w:p>
        </w:tc>
        <w:tc>
          <w:tcPr>
            <w:tcW w:w="96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1220" w:type="dxa"/>
            <w:vAlign w:val="bottom"/>
            <w:tcBorders>
              <w:bottom w:val="single" w:sz="8" w:color="D5DCE4"/>
            </w:tcBorders>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Yield - Fully Electronic</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465</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29,751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34,519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00" w:type="dxa"/>
            <w:vAlign w:val="bottom"/>
            <w:tcBorders>
              <w:right w:val="single" w:sz="8" w:color="D5DCE4"/>
            </w:tcBorders>
            <w:shd w:val="clear" w:color="auto" w:fill="D5DCE4"/>
          </w:tcPr>
          <w:p>
            <w:pPr>
              <w:spacing w:after="0"/>
              <w:rPr>
                <w:sz w:val="18"/>
                <w:szCs w:val="18"/>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Yield - Electronically</w:t>
            </w:r>
          </w:p>
        </w:tc>
        <w:tc>
          <w:tcPr>
            <w:tcW w:w="30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351</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22,482</w:t>
            </w:r>
          </w:p>
        </w:tc>
        <w:tc>
          <w:tcPr>
            <w:tcW w:w="100" w:type="dxa"/>
            <w:vAlign w:val="bottom"/>
            <w:tcBorders>
              <w:right w:val="single" w:sz="8" w:color="D5DCE4"/>
            </w:tcBorders>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9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296</w:t>
            </w:r>
          </w:p>
        </w:tc>
        <w:tc>
          <w:tcPr>
            <w:tcW w:w="160" w:type="dxa"/>
            <w:vAlign w:val="bottom"/>
            <w:shd w:val="clear" w:color="auto" w:fill="D5DCE4"/>
          </w:tcPr>
          <w:p>
            <w:pPr>
              <w:spacing w:after="0"/>
              <w:rPr>
                <w:sz w:val="18"/>
                <w:szCs w:val="18"/>
                <w:color w:val="auto"/>
              </w:rPr>
            </w:pPr>
          </w:p>
        </w:tc>
        <w:tc>
          <w:tcPr>
            <w:tcW w:w="12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18,928</w:t>
            </w:r>
          </w:p>
        </w:tc>
        <w:tc>
          <w:tcPr>
            <w:tcW w:w="100" w:type="dxa"/>
            <w:vAlign w:val="bottom"/>
            <w:tcBorders>
              <w:right w:val="single" w:sz="8" w:color="D5DCE4"/>
            </w:tcBorders>
            <w:shd w:val="clear" w:color="auto" w:fill="D5DCE4"/>
          </w:tcPr>
          <w:p>
            <w:pPr>
              <w:spacing w:after="0"/>
              <w:rPr>
                <w:sz w:val="18"/>
                <w:szCs w:val="18"/>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18.77 %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200" w:type="dxa"/>
            <w:vAlign w:val="bottom"/>
            <w:tcBorders>
              <w:right w:val="single" w:sz="8" w:color="D5DCE4"/>
            </w:tcBorders>
            <w:shd w:val="clear" w:color="auto" w:fill="D5DCE4"/>
          </w:tcPr>
          <w:p>
            <w:pPr>
              <w:spacing w:after="0"/>
              <w:rPr>
                <w:sz w:val="10"/>
                <w:szCs w:val="10"/>
                <w:color w:val="auto"/>
              </w:rPr>
            </w:pPr>
          </w:p>
        </w:tc>
        <w:tc>
          <w:tcPr>
            <w:tcW w:w="304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Processed</w:t>
            </w:r>
          </w:p>
        </w:tc>
        <w:tc>
          <w:tcPr>
            <w:tcW w:w="30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400" w:type="dxa"/>
            <w:vAlign w:val="bottom"/>
            <w:shd w:val="clear" w:color="auto" w:fill="D5DCE4"/>
          </w:tcPr>
          <w:p>
            <w:pPr>
              <w:spacing w:after="0"/>
              <w:rPr>
                <w:sz w:val="10"/>
                <w:szCs w:val="10"/>
                <w:color w:val="auto"/>
              </w:rPr>
            </w:pPr>
          </w:p>
        </w:tc>
        <w:tc>
          <w:tcPr>
            <w:tcW w:w="960" w:type="dxa"/>
            <w:vAlign w:val="bottom"/>
            <w:tcBorders>
              <w:right w:val="single" w:sz="8" w:color="D5DCE4"/>
            </w:tcBorders>
            <w:vMerge w:val="continue"/>
            <w:shd w:val="clear" w:color="auto" w:fill="D5DCE4"/>
          </w:tcPr>
          <w:p>
            <w:pPr>
              <w:spacing w:after="0"/>
              <w:rPr>
                <w:sz w:val="10"/>
                <w:szCs w:val="10"/>
                <w:color w:val="auto"/>
              </w:rPr>
            </w:pPr>
          </w:p>
        </w:tc>
        <w:tc>
          <w:tcPr>
            <w:tcW w:w="160" w:type="dxa"/>
            <w:vAlign w:val="bottom"/>
            <w:shd w:val="clear" w:color="auto" w:fill="D5DCE4"/>
          </w:tcPr>
          <w:p>
            <w:pPr>
              <w:spacing w:after="0"/>
              <w:rPr>
                <w:sz w:val="10"/>
                <w:szCs w:val="10"/>
                <w:color w:val="auto"/>
              </w:rPr>
            </w:pPr>
          </w:p>
        </w:tc>
        <w:tc>
          <w:tcPr>
            <w:tcW w:w="126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20" w:type="dxa"/>
            <w:vAlign w:val="bottom"/>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00" w:type="dxa"/>
            <w:vAlign w:val="bottom"/>
            <w:tcBorders>
              <w:bottom w:val="single" w:sz="8" w:color="D5DCE4"/>
              <w:right w:val="single" w:sz="8" w:color="D5DCE4"/>
            </w:tcBorders>
            <w:shd w:val="clear" w:color="auto" w:fill="D5DCE4"/>
          </w:tcPr>
          <w:p>
            <w:pPr>
              <w:spacing w:after="0"/>
              <w:rPr>
                <w:sz w:val="9"/>
                <w:szCs w:val="9"/>
                <w:color w:val="auto"/>
              </w:rPr>
            </w:pPr>
          </w:p>
        </w:tc>
        <w:tc>
          <w:tcPr>
            <w:tcW w:w="3040" w:type="dxa"/>
            <w:vAlign w:val="bottom"/>
            <w:tcBorders>
              <w:bottom w:val="single" w:sz="8" w:color="D5DCE4"/>
              <w:right w:val="single" w:sz="8" w:color="D5DCE4"/>
            </w:tcBorders>
            <w:gridSpan w:val="2"/>
            <w:vMerge w:val="continue"/>
            <w:shd w:val="clear" w:color="auto" w:fill="D5DCE4"/>
          </w:tcPr>
          <w:p>
            <w:pPr>
              <w:spacing w:after="0"/>
              <w:rPr>
                <w:sz w:val="9"/>
                <w:szCs w:val="9"/>
                <w:color w:val="auto"/>
              </w:rPr>
            </w:pPr>
          </w:p>
        </w:tc>
        <w:tc>
          <w:tcPr>
            <w:tcW w:w="300" w:type="dxa"/>
            <w:vAlign w:val="bottom"/>
            <w:tcBorders>
              <w:bottom w:val="single" w:sz="8" w:color="D5DCE4"/>
            </w:tcBorders>
            <w:shd w:val="clear" w:color="auto" w:fill="D5DCE4"/>
          </w:tcPr>
          <w:p>
            <w:pPr>
              <w:spacing w:after="0"/>
              <w:rPr>
                <w:sz w:val="9"/>
                <w:szCs w:val="9"/>
                <w:color w:val="auto"/>
              </w:rPr>
            </w:pPr>
          </w:p>
        </w:tc>
        <w:tc>
          <w:tcPr>
            <w:tcW w:w="102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400" w:type="dxa"/>
            <w:vAlign w:val="bottom"/>
            <w:tcBorders>
              <w:bottom w:val="single" w:sz="8" w:color="D5DCE4"/>
            </w:tcBorders>
            <w:shd w:val="clear" w:color="auto" w:fill="D5DCE4"/>
          </w:tcPr>
          <w:p>
            <w:pPr>
              <w:spacing w:after="0"/>
              <w:rPr>
                <w:sz w:val="9"/>
                <w:szCs w:val="9"/>
                <w:color w:val="auto"/>
              </w:rPr>
            </w:pPr>
          </w:p>
        </w:tc>
        <w:tc>
          <w:tcPr>
            <w:tcW w:w="960" w:type="dxa"/>
            <w:vAlign w:val="bottom"/>
            <w:tcBorders>
              <w:bottom w:val="single" w:sz="8" w:color="D5DCE4"/>
              <w:right w:val="single" w:sz="8" w:color="D5DCE4"/>
            </w:tcBorders>
            <w:shd w:val="clear" w:color="auto" w:fill="D5DCE4"/>
          </w:tcPr>
          <w:p>
            <w:pPr>
              <w:spacing w:after="0"/>
              <w:rPr>
                <w:sz w:val="9"/>
                <w:szCs w:val="9"/>
                <w:color w:val="auto"/>
              </w:rPr>
            </w:pPr>
          </w:p>
        </w:tc>
        <w:tc>
          <w:tcPr>
            <w:tcW w:w="160" w:type="dxa"/>
            <w:vAlign w:val="bottom"/>
            <w:tcBorders>
              <w:bottom w:val="single" w:sz="8" w:color="D5DCE4"/>
            </w:tcBorders>
            <w:shd w:val="clear" w:color="auto" w:fill="D5DCE4"/>
          </w:tcPr>
          <w:p>
            <w:pPr>
              <w:spacing w:after="0"/>
              <w:rPr>
                <w:sz w:val="9"/>
                <w:szCs w:val="9"/>
                <w:color w:val="auto"/>
              </w:rPr>
            </w:pPr>
          </w:p>
        </w:tc>
        <w:tc>
          <w:tcPr>
            <w:tcW w:w="1260" w:type="dxa"/>
            <w:vAlign w:val="bottom"/>
            <w:tcBorders>
              <w:bottom w:val="single" w:sz="8" w:color="D5DCE4"/>
            </w:tcBorders>
            <w:shd w:val="clear" w:color="auto" w:fill="D5DCE4"/>
          </w:tcPr>
          <w:p>
            <w:pPr>
              <w:spacing w:after="0"/>
              <w:rPr>
                <w:sz w:val="9"/>
                <w:szCs w:val="9"/>
                <w:color w:val="auto"/>
              </w:rPr>
            </w:pPr>
          </w:p>
        </w:tc>
        <w:tc>
          <w:tcPr>
            <w:tcW w:w="100" w:type="dxa"/>
            <w:vAlign w:val="bottom"/>
            <w:tcBorders>
              <w:bottom w:val="single" w:sz="8" w:color="D5DCE4"/>
              <w:right w:val="single" w:sz="8" w:color="D5DCE4"/>
            </w:tcBorders>
            <w:shd w:val="clear" w:color="auto" w:fill="D5DCE4"/>
          </w:tcPr>
          <w:p>
            <w:pPr>
              <w:spacing w:after="0"/>
              <w:rPr>
                <w:sz w:val="9"/>
                <w:szCs w:val="9"/>
                <w:color w:val="auto"/>
              </w:rPr>
            </w:pPr>
          </w:p>
        </w:tc>
        <w:tc>
          <w:tcPr>
            <w:tcW w:w="1220" w:type="dxa"/>
            <w:vAlign w:val="bottom"/>
            <w:tcBorders>
              <w:bottom w:val="single" w:sz="8" w:color="D5DCE4"/>
            </w:tcBorders>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European Credit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88,838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1,707</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112,653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Municipal Bonds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22,673</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173</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11,056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105.08 %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Chinese Bonds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56,067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78,893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Credit Bonds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118</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7,622</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116</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7,534</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20,020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1,289,959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13,796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895,891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45.12 %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20,020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1,289,959</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13,796</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895,891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45.12 %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D5DCE4"/>
            </w:tcBorders>
          </w:tcPr>
          <w:p>
            <w:pPr>
              <w:spacing w:after="0"/>
              <w:rPr>
                <w:sz w:val="20"/>
                <w:szCs w:val="20"/>
                <w:color w:val="auto"/>
              </w:rPr>
            </w:pPr>
          </w:p>
        </w:tc>
        <w:tc>
          <w:tcPr>
            <w:tcW w:w="304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29,295</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1,885,842</w:t>
            </w:r>
          </w:p>
        </w:tc>
        <w:tc>
          <w:tcPr>
            <w:tcW w:w="100" w:type="dxa"/>
            <w:vAlign w:val="bottom"/>
            <w:tcBorders>
              <w:bottom w:val="single" w:sz="8" w:color="D5DCE4"/>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22,237</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1,439,626</w:t>
            </w:r>
          </w:p>
        </w:tc>
        <w:tc>
          <w:tcPr>
            <w:tcW w:w="100" w:type="dxa"/>
            <w:vAlign w:val="bottom"/>
            <w:tcBorders>
              <w:bottom w:val="single" w:sz="8" w:color="D5DCE4"/>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0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0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8,803</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565,898</w:t>
            </w:r>
          </w:p>
        </w:tc>
        <w:tc>
          <w:tcPr>
            <w:tcW w:w="100" w:type="dxa"/>
            <w:vAlign w:val="bottom"/>
            <w:tcBorders>
              <w:right w:val="single" w:sz="8" w:color="D5DCE4"/>
            </w:tcBorders>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7,551</w:t>
            </w:r>
          </w:p>
        </w:tc>
        <w:tc>
          <w:tcPr>
            <w:tcW w:w="160" w:type="dxa"/>
            <w:vAlign w:val="bottom"/>
            <w:shd w:val="clear" w:color="auto" w:fill="D5DCE4"/>
          </w:tcPr>
          <w:p>
            <w:pPr>
              <w:spacing w:after="0"/>
              <w:rPr>
                <w:sz w:val="20"/>
                <w:szCs w:val="20"/>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487,508</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16.58 %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ETFs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403,126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5,421</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346,950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ETFs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2,504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162,772</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2,130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140,558</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7,009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449,209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6,992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449,243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0.25 %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Convertibles/Swaps/Options</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4,384</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281,007</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3,559</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229,356</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23.18 %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2,625</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168,202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3,433</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219,886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0" w:type="dxa"/>
            <w:vAlign w:val="bottom"/>
            <w:tcBorders>
              <w:top w:val="single" w:sz="8" w:color="D5DCE4"/>
              <w:right w:val="single" w:sz="8" w:color="D5DCE4"/>
            </w:tcBorders>
            <w:shd w:val="clear" w:color="auto" w:fill="D5DCE4"/>
          </w:tcPr>
          <w:p>
            <w:pPr>
              <w:spacing w:after="0"/>
              <w:rPr>
                <w:sz w:val="21"/>
                <w:szCs w:val="21"/>
                <w:color w:val="auto"/>
              </w:rPr>
            </w:pPr>
          </w:p>
        </w:tc>
        <w:tc>
          <w:tcPr>
            <w:tcW w:w="304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shd w:val="clear" w:color="auto" w:fill="D5DCE4"/>
          </w:tcPr>
          <w:p>
            <w:pPr>
              <w:spacing w:after="0"/>
              <w:rPr>
                <w:sz w:val="21"/>
                <w:szCs w:val="21"/>
                <w:color w:val="auto"/>
              </w:rPr>
            </w:pPr>
          </w:p>
        </w:tc>
        <w:tc>
          <w:tcPr>
            <w:tcW w:w="102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15,812</w:t>
            </w:r>
          </w:p>
        </w:tc>
        <w:tc>
          <w:tcPr>
            <w:tcW w:w="160" w:type="dxa"/>
            <w:vAlign w:val="bottom"/>
            <w:tcBorders>
              <w:top w:val="single" w:sz="8" w:color="auto"/>
              <w:bottom w:val="single" w:sz="8" w:color="auto"/>
            </w:tcBorders>
            <w:shd w:val="clear" w:color="auto" w:fill="D5DCE4"/>
          </w:tcPr>
          <w:p>
            <w:pPr>
              <w:spacing w:after="0"/>
              <w:rPr>
                <w:sz w:val="21"/>
                <w:szCs w:val="21"/>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1,015,106</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400" w:type="dxa"/>
            <w:vAlign w:val="bottom"/>
            <w:tcBorders>
              <w:top w:val="single" w:sz="8" w:color="auto"/>
              <w:bottom w:val="single" w:sz="8" w:color="auto"/>
            </w:tcBorders>
            <w:shd w:val="clear" w:color="auto" w:fill="D5DCE4"/>
          </w:tcPr>
          <w:p>
            <w:pPr>
              <w:spacing w:after="0"/>
              <w:rPr>
                <w:sz w:val="21"/>
                <w:szCs w:val="21"/>
                <w:color w:val="auto"/>
              </w:rPr>
            </w:pPr>
          </w:p>
        </w:tc>
        <w:tc>
          <w:tcPr>
            <w:tcW w:w="9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14,543</w:t>
            </w:r>
          </w:p>
        </w:tc>
        <w:tc>
          <w:tcPr>
            <w:tcW w:w="160" w:type="dxa"/>
            <w:vAlign w:val="bottom"/>
            <w:tcBorders>
              <w:top w:val="single" w:sz="8" w:color="auto"/>
              <w:bottom w:val="single" w:sz="8" w:color="auto"/>
            </w:tcBorders>
            <w:shd w:val="clear" w:color="auto" w:fill="D5DCE4"/>
          </w:tcPr>
          <w:p>
            <w:pPr>
              <w:spacing w:after="0"/>
              <w:rPr>
                <w:sz w:val="21"/>
                <w:szCs w:val="21"/>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936,751</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2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8.73 %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3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400,726</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25,721,492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343,528</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22,137,906</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16.65 %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30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0" w:type="dxa"/>
            <w:vAlign w:val="bottom"/>
            <w:tcBorders>
              <w:right w:val="single" w:sz="8" w:color="D5DCE4"/>
            </w:tcBorders>
            <w:shd w:val="clear" w:color="auto" w:fill="D5DCE4"/>
          </w:tcPr>
          <w:p>
            <w:pPr>
              <w:spacing w:after="0"/>
              <w:rPr>
                <w:sz w:val="21"/>
                <w:szCs w:val="21"/>
                <w:color w:val="auto"/>
              </w:rPr>
            </w:pPr>
          </w:p>
        </w:tc>
        <w:tc>
          <w:tcPr>
            <w:tcW w:w="304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Repurchase Agreements (Repo)</w:t>
            </w:r>
          </w:p>
        </w:tc>
        <w:tc>
          <w:tcPr>
            <w:tcW w:w="30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382,040</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24,525,135</w:t>
            </w:r>
          </w:p>
        </w:tc>
        <w:tc>
          <w:tcPr>
            <w:tcW w:w="100" w:type="dxa"/>
            <w:vAlign w:val="bottom"/>
            <w:tcBorders>
              <w:right w:val="single" w:sz="8" w:color="D5DCE4"/>
            </w:tcBorders>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9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329,366</w:t>
            </w:r>
          </w:p>
        </w:tc>
        <w:tc>
          <w:tcPr>
            <w:tcW w:w="160" w:type="dxa"/>
            <w:vAlign w:val="bottom"/>
            <w:shd w:val="clear" w:color="auto" w:fill="D5DCE4"/>
          </w:tcPr>
          <w:p>
            <w:pPr>
              <w:spacing w:after="0"/>
              <w:rPr>
                <w:sz w:val="21"/>
                <w:szCs w:val="21"/>
                <w:color w:val="auto"/>
              </w:rPr>
            </w:pPr>
          </w:p>
        </w:tc>
        <w:tc>
          <w:tcPr>
            <w:tcW w:w="12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21,231,148</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15.99 %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Other Money Markets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18,686</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1,196,357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14,162</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906,758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31.95 %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200" w:type="dxa"/>
            <w:vAlign w:val="bottom"/>
            <w:tcBorders>
              <w:top w:val="single" w:sz="8" w:color="D5DCE4"/>
              <w:right w:val="single" w:sz="8" w:color="D5DCE4"/>
            </w:tcBorders>
            <w:shd w:val="clear" w:color="auto" w:fill="D5DCE4"/>
          </w:tcPr>
          <w:p>
            <w:pPr>
              <w:spacing w:after="0"/>
              <w:rPr>
                <w:sz w:val="20"/>
                <w:szCs w:val="20"/>
                <w:color w:val="auto"/>
              </w:rPr>
            </w:pPr>
          </w:p>
        </w:tc>
        <w:tc>
          <w:tcPr>
            <w:tcW w:w="304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shd w:val="clear" w:color="auto" w:fill="D5DCE4"/>
          </w:tcPr>
          <w:p>
            <w:pPr>
              <w:spacing w:after="0"/>
              <w:rPr>
                <w:sz w:val="20"/>
                <w:szCs w:val="20"/>
                <w:color w:val="auto"/>
              </w:rPr>
            </w:pPr>
          </w:p>
        </w:tc>
        <w:tc>
          <w:tcPr>
            <w:tcW w:w="102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400,726</w:t>
            </w:r>
          </w:p>
        </w:tc>
        <w:tc>
          <w:tcPr>
            <w:tcW w:w="160" w:type="dxa"/>
            <w:vAlign w:val="bottom"/>
            <w:tcBorders>
              <w:top w:val="single" w:sz="8" w:color="auto"/>
              <w:bottom w:val="single" w:sz="8" w:color="auto"/>
            </w:tcBorders>
            <w:shd w:val="clear" w:color="auto" w:fill="D5DCE4"/>
          </w:tcPr>
          <w:p>
            <w:pPr>
              <w:spacing w:after="0"/>
              <w:rPr>
                <w:sz w:val="20"/>
                <w:szCs w:val="20"/>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25,721,492</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400" w:type="dxa"/>
            <w:vAlign w:val="bottom"/>
            <w:tcBorders>
              <w:top w:val="single" w:sz="8" w:color="auto"/>
              <w:bottom w:val="single" w:sz="8" w:color="auto"/>
            </w:tcBorders>
            <w:shd w:val="clear" w:color="auto" w:fill="D5DCE4"/>
          </w:tcPr>
          <w:p>
            <w:pPr>
              <w:spacing w:after="0"/>
              <w:rPr>
                <w:sz w:val="20"/>
                <w:szCs w:val="20"/>
                <w:color w:val="auto"/>
              </w:rPr>
            </w:pPr>
          </w:p>
        </w:tc>
        <w:tc>
          <w:tcPr>
            <w:tcW w:w="96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343,528</w:t>
            </w:r>
          </w:p>
        </w:tc>
        <w:tc>
          <w:tcPr>
            <w:tcW w:w="160" w:type="dxa"/>
            <w:vAlign w:val="bottom"/>
            <w:tcBorders>
              <w:top w:val="single" w:sz="8" w:color="auto"/>
              <w:bottom w:val="single" w:sz="8" w:color="auto"/>
            </w:tcBorders>
            <w:shd w:val="clear" w:color="auto" w:fill="D5DCE4"/>
          </w:tcPr>
          <w:p>
            <w:pPr>
              <w:spacing w:after="0"/>
              <w:rPr>
                <w:sz w:val="20"/>
                <w:szCs w:val="20"/>
                <w:color w:val="auto"/>
              </w:rPr>
            </w:pPr>
          </w:p>
        </w:tc>
        <w:tc>
          <w:tcPr>
            <w:tcW w:w="12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22,137,906</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2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16.65 %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200" w:type="dxa"/>
            <w:vAlign w:val="bottom"/>
            <w:tcBorders>
              <w:bottom w:val="single" w:sz="8" w:color="D5DCE4"/>
            </w:tcBorders>
          </w:tcPr>
          <w:p>
            <w:pPr>
              <w:spacing w:after="0"/>
              <w:rPr>
                <w:sz w:val="17"/>
                <w:szCs w:val="17"/>
                <w:color w:val="auto"/>
              </w:rPr>
            </w:pPr>
          </w:p>
        </w:tc>
        <w:tc>
          <w:tcPr>
            <w:tcW w:w="292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0" w:type="dxa"/>
            <w:vAlign w:val="bottom"/>
            <w:tcBorders>
              <w:right w:val="single" w:sz="8" w:color="D5DCE4"/>
            </w:tcBorders>
            <w:shd w:val="clear" w:color="auto" w:fill="D5DCE4"/>
          </w:tcPr>
          <w:p>
            <w:pPr>
              <w:spacing w:after="0"/>
              <w:rPr>
                <w:sz w:val="16"/>
                <w:szCs w:val="16"/>
                <w:color w:val="auto"/>
              </w:rPr>
            </w:pPr>
          </w:p>
        </w:tc>
        <w:tc>
          <w:tcPr>
            <w:tcW w:w="2920" w:type="dxa"/>
            <w:vAlign w:val="bottom"/>
            <w:shd w:val="clear" w:color="auto" w:fill="D5DCE4"/>
          </w:tcPr>
          <w:p>
            <w:pPr>
              <w:spacing w:after="0"/>
              <w:rPr>
                <w:sz w:val="16"/>
                <w:szCs w:val="16"/>
                <w:color w:val="auto"/>
              </w:rPr>
            </w:pPr>
          </w:p>
        </w:tc>
        <w:tc>
          <w:tcPr>
            <w:tcW w:w="120" w:type="dxa"/>
            <w:vAlign w:val="bottom"/>
            <w:tcBorders>
              <w:right w:val="single" w:sz="8" w:color="auto"/>
            </w:tcBorders>
            <w:shd w:val="clear" w:color="auto" w:fill="D5DCE4"/>
          </w:tcPr>
          <w:p>
            <w:pPr>
              <w:spacing w:after="0"/>
              <w:rPr>
                <w:sz w:val="16"/>
                <w:szCs w:val="16"/>
                <w:color w:val="auto"/>
              </w:rPr>
            </w:pPr>
          </w:p>
        </w:tc>
        <w:tc>
          <w:tcPr>
            <w:tcW w:w="300" w:type="dxa"/>
            <w:vAlign w:val="bottom"/>
            <w:shd w:val="clear" w:color="auto" w:fill="D5DCE4"/>
          </w:tcPr>
          <w:p>
            <w:pPr>
              <w:spacing w:after="0"/>
              <w:rPr>
                <w:sz w:val="16"/>
                <w:szCs w:val="16"/>
                <w:color w:val="auto"/>
              </w:rPr>
            </w:pPr>
          </w:p>
        </w:tc>
        <w:tc>
          <w:tcPr>
            <w:tcW w:w="102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60" w:type="dxa"/>
            <w:vAlign w:val="bottom"/>
            <w:tcBorders>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Volume (USD</w:t>
            </w:r>
          </w:p>
        </w:tc>
        <w:tc>
          <w:tcPr>
            <w:tcW w:w="400" w:type="dxa"/>
            <w:vAlign w:val="bottom"/>
            <w:shd w:val="clear" w:color="auto" w:fill="D5DCE4"/>
          </w:tcPr>
          <w:p>
            <w:pPr>
              <w:spacing w:after="0"/>
              <w:rPr>
                <w:sz w:val="16"/>
                <w:szCs w:val="16"/>
                <w:color w:val="auto"/>
              </w:rPr>
            </w:pPr>
          </w:p>
        </w:tc>
        <w:tc>
          <w:tcPr>
            <w:tcW w:w="960" w:type="dxa"/>
            <w:vAlign w:val="bottom"/>
            <w:tcBorders>
              <w:right w:val="single" w:sz="8" w:color="auto"/>
            </w:tcBorders>
            <w:shd w:val="clear" w:color="auto" w:fill="D5DCE4"/>
          </w:tcPr>
          <w:p>
            <w:pPr>
              <w:spacing w:after="0"/>
              <w:rPr>
                <w:sz w:val="16"/>
                <w:szCs w:val="16"/>
                <w:color w:val="auto"/>
              </w:rPr>
            </w:pPr>
          </w:p>
        </w:tc>
        <w:tc>
          <w:tcPr>
            <w:tcW w:w="160" w:type="dxa"/>
            <w:vAlign w:val="bottom"/>
            <w:shd w:val="clear" w:color="auto" w:fill="D5DCE4"/>
          </w:tcPr>
          <w:p>
            <w:pPr>
              <w:spacing w:after="0"/>
              <w:rPr>
                <w:sz w:val="16"/>
                <w:szCs w:val="16"/>
                <w:color w:val="auto"/>
              </w:rPr>
            </w:pPr>
          </w:p>
        </w:tc>
        <w:tc>
          <w:tcPr>
            <w:tcW w:w="1360" w:type="dxa"/>
            <w:vAlign w:val="bottom"/>
            <w:tcBorders>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Volume (USD</w:t>
            </w:r>
          </w:p>
        </w:tc>
        <w:tc>
          <w:tcPr>
            <w:tcW w:w="1220" w:type="dxa"/>
            <w:vAlign w:val="bottom"/>
            <w:shd w:val="clear" w:color="auto" w:fill="D5DCE4"/>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00" w:type="dxa"/>
            <w:vAlign w:val="bottom"/>
            <w:tcBorders>
              <w:right w:val="single" w:sz="8" w:color="D5DCE4"/>
            </w:tcBorders>
            <w:shd w:val="clear" w:color="auto" w:fill="D5DCE4"/>
          </w:tcPr>
          <w:p>
            <w:pPr>
              <w:spacing w:after="0"/>
              <w:rPr>
                <w:sz w:val="20"/>
                <w:szCs w:val="20"/>
                <w:color w:val="auto"/>
              </w:rPr>
            </w:pPr>
          </w:p>
        </w:tc>
        <w:tc>
          <w:tcPr>
            <w:tcW w:w="292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32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6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mm)</w:t>
            </w:r>
          </w:p>
        </w:tc>
        <w:tc>
          <w:tcPr>
            <w:tcW w:w="136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6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gridSpan w:val="2"/>
            <w:shd w:val="clear" w:color="auto" w:fill="D5DCE4"/>
          </w:tcPr>
          <w:p>
            <w:pPr>
              <w:jc w:val="center"/>
              <w:ind w:right="260"/>
              <w:spacing w:after="0"/>
              <w:rPr>
                <w:sz w:val="20"/>
                <w:szCs w:val="20"/>
                <w:color w:val="auto"/>
              </w:rPr>
            </w:pPr>
            <w:r>
              <w:rPr>
                <w:rFonts w:ascii="Arial" w:cs="Arial" w:eastAsia="Arial" w:hAnsi="Arial"/>
                <w:sz w:val="16"/>
                <w:szCs w:val="16"/>
                <w:b w:val="1"/>
                <w:bCs w:val="1"/>
                <w:color w:val="auto"/>
              </w:rPr>
              <w:t>mm)</w:t>
            </w: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tcBorders>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1,098,622</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70,553,920</w:t>
            </w:r>
          </w:p>
        </w:tc>
        <w:tc>
          <w:tcPr>
            <w:tcW w:w="1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964,120</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62,117,331</w:t>
            </w: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14.00 %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2022 guidance, and future performance, the industry and markets in which we operate, our expectations, beliefs, plans, strategies, objectives, prospects and assumptions and future events are forward-looking statements.</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BASIS OF PRESENTATION</w:t>
      </w:r>
    </w:p>
    <w:p>
      <w:pPr>
        <w:spacing w:after="0" w:line="12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Company's previously filed Annual Report on Form 10-K for capitalized terms not otherwise defined herein.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2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95"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16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w:t>
      </w:r>
    </w:p>
    <w:p>
      <w:pPr>
        <w:spacing w:after="0" w:line="19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8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2022-10-27T06:03:12Z</dcterms:created>
  <dcterms:modified xsi:type="dcterms:W3CDTF">2022-10-27T06:03:12Z</dcterms:modified>
</cp:coreProperties>
</file>