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25,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On July 25, 2024, Tradeweb Markets Inc. (the “Company”) issued a press release, a copy of which is furnished as Exhibit 99.1 hereto and incorporated herein by reference, announcing financial results for the quarter ended June 30, 2024.</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July 25, 2024, announcing Second Quarter 2024 Financial Results.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88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688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SECOND QUARTER 2024 FINANCIAL RESULTS</w:t>
      </w:r>
    </w:p>
    <w:p>
      <w:pPr>
        <w:spacing w:after="0" w:line="222" w:lineRule="exact"/>
        <w:rPr>
          <w:sz w:val="20"/>
          <w:szCs w:val="20"/>
          <w:color w:val="auto"/>
        </w:rPr>
      </w:pPr>
    </w:p>
    <w:p>
      <w:pPr>
        <w:ind w:left="20" w:right="180"/>
        <w:spacing w:after="0" w:line="286" w:lineRule="auto"/>
        <w:rPr>
          <w:sz w:val="20"/>
          <w:szCs w:val="20"/>
          <w:color w:val="auto"/>
        </w:rPr>
      </w:pPr>
      <w:r>
        <w:rPr>
          <w:rFonts w:ascii="Arial" w:cs="Arial" w:eastAsia="Arial" w:hAnsi="Arial"/>
          <w:sz w:val="16"/>
          <w:szCs w:val="16"/>
          <w:b w:val="1"/>
          <w:bCs w:val="1"/>
          <w:color w:val="auto"/>
        </w:rPr>
        <w:t xml:space="preserve">New York, July 25, 2024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270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700020"/>
                    </a:xfrm>
                    <a:prstGeom prst="rect">
                      <a:avLst/>
                    </a:prstGeom>
                    <a:noFill/>
                  </pic:spPr>
                </pic:pic>
              </a:graphicData>
            </a:graphic>
          </wp:anchor>
        </w:drawing>
      </w:r>
    </w:p>
    <w:p>
      <w:pPr>
        <w:sectPr>
          <w:pgSz w:w="11900" w:h="16838" w:orient="portrait"/>
          <w:cols w:equalWidth="0" w:num="1">
            <w:col w:w="10840"/>
          </w:cols>
          <w:pgMar w:left="320" w:top="274" w:right="739" w:bottom="1440" w:gutter="0" w:footer="0" w:header="0"/>
        </w:sectPr>
      </w:pPr>
    </w:p>
    <w:p>
      <w:pPr>
        <w:spacing w:after="0" w:line="115"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$405.0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30.4% </w:t>
      </w:r>
      <w:r>
        <w:rPr>
          <w:rFonts w:ascii="Arial" w:cs="Arial" w:eastAsia="Arial" w:hAnsi="Arial"/>
          <w:sz w:val="16"/>
          <w:szCs w:val="16"/>
          <w:color w:val="auto"/>
        </w:rPr>
        <w:t>(</w:t>
      </w:r>
      <w:r>
        <w:rPr>
          <w:rFonts w:ascii="Arial" w:cs="Arial" w:eastAsia="Arial" w:hAnsi="Arial"/>
          <w:sz w:val="16"/>
          <w:szCs w:val="16"/>
          <w:b w:val="1"/>
          <w:bCs w:val="1"/>
          <w:color w:val="auto"/>
        </w:rPr>
        <w:t xml:space="preserve">30.8%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9" w:lineRule="auto"/>
        <w:rPr>
          <w:sz w:val="20"/>
          <w:szCs w:val="20"/>
          <w:color w:val="auto"/>
        </w:rPr>
      </w:pPr>
      <w:r>
        <w:rPr>
          <w:rFonts w:ascii="Arial" w:cs="Arial" w:eastAsia="Arial" w:hAnsi="Arial"/>
          <w:sz w:val="16"/>
          <w:szCs w:val="16"/>
          <w:b w:val="1"/>
          <w:bCs w:val="1"/>
          <w:color w:val="auto"/>
        </w:rPr>
        <w:t xml:space="preserve">$1.9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48.3% </w:t>
      </w:r>
      <w:r>
        <w:rPr>
          <w:rFonts w:ascii="Arial" w:cs="Arial" w:eastAsia="Arial" w:hAnsi="Arial"/>
          <w:sz w:val="16"/>
          <w:szCs w:val="16"/>
          <w:color w:val="auto"/>
        </w:rPr>
        <w:t xml:space="preserve">compared to prior year period; quarterly ADV records in U.S. government bonds, fully electronic U.S. high yield credit and global repurchase agreements; record </w:t>
      </w:r>
      <w:r>
        <w:rPr>
          <w:rFonts w:ascii="Arial" w:cs="Arial" w:eastAsia="Arial" w:hAnsi="Arial"/>
          <w:sz w:val="16"/>
          <w:szCs w:val="16"/>
          <w:b w:val="1"/>
          <w:bCs w:val="1"/>
          <w:color w:val="auto"/>
        </w:rPr>
        <w:t xml:space="preserve">18.8% </w:t>
      </w:r>
      <w:r>
        <w:rPr>
          <w:rFonts w:ascii="Arial" w:cs="Arial" w:eastAsia="Arial" w:hAnsi="Arial"/>
          <w:sz w:val="16"/>
          <w:szCs w:val="16"/>
          <w:color w:val="auto"/>
        </w:rPr>
        <w:t>share of fully electronic U.S. high grade TRACE</w:t>
      </w:r>
    </w:p>
    <w:p>
      <w:pPr>
        <w:spacing w:after="0" w:line="53" w:lineRule="exact"/>
        <w:rPr>
          <w:sz w:val="20"/>
          <w:szCs w:val="20"/>
          <w:color w:val="auto"/>
        </w:rPr>
      </w:pPr>
    </w:p>
    <w:p>
      <w:pPr>
        <w:ind w:left="20" w:right="460"/>
        <w:spacing w:after="0" w:line="314" w:lineRule="auto"/>
        <w:rPr>
          <w:sz w:val="20"/>
          <w:szCs w:val="20"/>
          <w:color w:val="auto"/>
        </w:rPr>
      </w:pPr>
      <w:r>
        <w:rPr>
          <w:rFonts w:ascii="Arial" w:cs="Arial" w:eastAsia="Arial" w:hAnsi="Arial"/>
          <w:sz w:val="16"/>
          <w:szCs w:val="16"/>
          <w:b w:val="1"/>
          <w:bCs w:val="1"/>
          <w:color w:val="auto"/>
        </w:rPr>
        <w:t xml:space="preserve">$136.4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$166.7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33.8%</w:t>
      </w:r>
      <w:r>
        <w:rPr>
          <w:rFonts w:ascii="Arial" w:cs="Arial" w:eastAsia="Arial" w:hAnsi="Arial"/>
          <w:sz w:val="16"/>
          <w:szCs w:val="16"/>
          <w:color w:val="auto"/>
        </w:rPr>
        <w:t xml:space="preserve"> and </w:t>
      </w:r>
      <w:r>
        <w:rPr>
          <w:rFonts w:ascii="Arial" w:cs="Arial" w:eastAsia="Arial" w:hAnsi="Arial"/>
          <w:sz w:val="16"/>
          <w:szCs w:val="16"/>
          <w:b w:val="1"/>
          <w:bCs w:val="1"/>
          <w:color w:val="auto"/>
        </w:rPr>
        <w:t>34.7%</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60"/>
        <w:spacing w:after="0" w:line="304" w:lineRule="auto"/>
        <w:rPr>
          <w:sz w:val="20"/>
          <w:szCs w:val="20"/>
          <w:color w:val="auto"/>
        </w:rPr>
      </w:pPr>
      <w:r>
        <w:rPr>
          <w:rFonts w:ascii="Arial" w:cs="Arial" w:eastAsia="Arial" w:hAnsi="Arial"/>
          <w:sz w:val="16"/>
          <w:szCs w:val="16"/>
          <w:b w:val="1"/>
          <w:bCs w:val="1"/>
          <w:color w:val="auto"/>
        </w:rPr>
        <w:t xml:space="preserve">53.5%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$216.5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52.5% and $163.1 million respectively for prior year period</w:t>
      </w:r>
    </w:p>
    <w:p>
      <w:pPr>
        <w:spacing w:after="0" w:line="33" w:lineRule="exact"/>
        <w:rPr>
          <w:sz w:val="20"/>
          <w:szCs w:val="20"/>
          <w:color w:val="auto"/>
        </w:rPr>
      </w:pPr>
    </w:p>
    <w:p>
      <w:pPr>
        <w:ind w:left="20" w:right="380"/>
        <w:spacing w:after="0" w:line="286" w:lineRule="auto"/>
        <w:rPr>
          <w:sz w:val="20"/>
          <w:szCs w:val="20"/>
          <w:color w:val="auto"/>
        </w:rPr>
      </w:pPr>
      <w:r>
        <w:rPr>
          <w:rFonts w:ascii="Arial" w:cs="Arial" w:eastAsia="Arial" w:hAnsi="Arial"/>
          <w:sz w:val="16"/>
          <w:szCs w:val="16"/>
          <w:b w:val="1"/>
          <w:bCs w:val="1"/>
          <w:color w:val="auto"/>
        </w:rPr>
        <w:t xml:space="preserve">$0.55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$0.70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$0.10 </w:t>
      </w:r>
      <w:r>
        <w:rPr>
          <w:rFonts w:ascii="Arial" w:cs="Arial" w:eastAsia="Arial" w:hAnsi="Arial"/>
          <w:sz w:val="16"/>
          <w:szCs w:val="16"/>
          <w:color w:val="auto"/>
        </w:rPr>
        <w:t>per share quarterly cash dividend declared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6" w:lineRule="exact"/>
        <w:rPr>
          <w:sz w:val="20"/>
          <w:szCs w:val="20"/>
          <w:color w:val="auto"/>
        </w:rPr>
      </w:pPr>
    </w:p>
    <w:p>
      <w:pPr>
        <w:ind w:right="400"/>
        <w:spacing w:after="0" w:line="235" w:lineRule="auto"/>
        <w:rPr>
          <w:sz w:val="20"/>
          <w:szCs w:val="20"/>
          <w:color w:val="auto"/>
        </w:rPr>
      </w:pPr>
      <w:r>
        <w:rPr>
          <w:rFonts w:ascii="Arial" w:cs="Arial" w:eastAsia="Arial" w:hAnsi="Arial"/>
          <w:sz w:val="15"/>
          <w:szCs w:val="15"/>
          <w:color w:val="auto"/>
        </w:rPr>
        <w:t>"We delivered strong organic growth complemented by continued investment in our multi-asset class, global business, resulting in a</w:t>
      </w:r>
    </w:p>
    <w:p>
      <w:pPr>
        <w:jc w:val="both"/>
        <w:ind w:right="320"/>
        <w:spacing w:after="0" w:line="230" w:lineRule="auto"/>
        <w:rPr>
          <w:sz w:val="20"/>
          <w:szCs w:val="20"/>
          <w:color w:val="auto"/>
        </w:rPr>
      </w:pPr>
      <w:r>
        <w:rPr>
          <w:rFonts w:ascii="Arial" w:cs="Arial" w:eastAsia="Arial" w:hAnsi="Arial"/>
          <w:sz w:val="15"/>
          <w:szCs w:val="15"/>
          <w:color w:val="auto"/>
        </w:rPr>
        <w:t>30.4% revenue increase year-over-year in Q2 2024. Tradeweb set quarterly ADV records in rates, money markets, and credit – where we also captured a record 18.8% share of fully electronic U.S. high grade TRACE. Markets continue to become increasingly</w:t>
      </w:r>
    </w:p>
    <w:p>
      <w:pPr>
        <w:ind w:right="220"/>
        <w:spacing w:after="0" w:line="227" w:lineRule="auto"/>
        <w:rPr>
          <w:sz w:val="20"/>
          <w:szCs w:val="20"/>
          <w:color w:val="auto"/>
        </w:rPr>
      </w:pPr>
      <w:r>
        <w:rPr>
          <w:rFonts w:ascii="Arial" w:cs="Arial" w:eastAsia="Arial" w:hAnsi="Arial"/>
          <w:sz w:val="15"/>
          <w:szCs w:val="15"/>
          <w:color w:val="auto"/>
        </w:rPr>
        <w:t>interconnected, and our technology is helping to make that possible. Tradeweb recently became the first electronic trading platform to connect repo and IRS markets, and we expanded our partnership with FTSE Russell to produce benchmark U.S. treasury closing prices. In Q2 2024, we agreed to acquire ICD, an institutional investment technology provider for corporate treasury organizations, which would introduce Corporates as our fourth client channel. We also made a minority investment in Securitize, a leader in tokenizing</w:t>
      </w:r>
    </w:p>
    <w:p>
      <w:pPr>
        <w:spacing w:after="0" w:line="4"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real-world assets, and entered into a commercial agreement with blockchain infrastructure provider Alphaledger, reflecting our continued efforts to strategically place bets on technology that helps to advance our business. I'm proud of our strides this quarter and look forward to continually identifying new opportunities for our long-term growth."</w:t>
      </w:r>
    </w:p>
    <w:p>
      <w:pPr>
        <w:spacing w:after="0" w:line="200" w:lineRule="exact"/>
        <w:rPr>
          <w:sz w:val="20"/>
          <w:szCs w:val="20"/>
          <w:color w:val="auto"/>
        </w:rPr>
      </w:pPr>
    </w:p>
    <w:p>
      <w:pPr>
        <w:sectPr>
          <w:pgSz w:w="11900" w:h="16838" w:orient="portrait"/>
          <w:cols w:equalWidth="0" w:num="2">
            <w:col w:w="5800" w:space="200"/>
            <w:col w:w="4840"/>
          </w:cols>
          <w:pgMar w:left="320" w:top="274" w:right="739" w:bottom="1440" w:gutter="0" w:footer="0" w:header="0"/>
          <w:type w:val="continuous"/>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6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7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6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7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59"/>
              <w:spacing w:after="0"/>
              <w:rPr>
                <w:sz w:val="20"/>
                <w:szCs w:val="20"/>
                <w:color w:val="auto"/>
              </w:rPr>
            </w:pPr>
            <w:r>
              <w:rPr>
                <w:rFonts w:ascii="Arial" w:cs="Arial" w:eastAsia="Arial" w:hAnsi="Arial"/>
                <w:sz w:val="16"/>
                <w:szCs w:val="16"/>
                <w:b w:val="1"/>
                <w:bCs w:val="1"/>
                <w:color w:val="FFFFFF"/>
              </w:rPr>
              <w:t>2Q24</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2Q23</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6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76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6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2Q24</w:t>
            </w:r>
          </w:p>
        </w:tc>
        <w:tc>
          <w:tcPr>
            <w:tcW w:w="220" w:type="dxa"/>
            <w:vAlign w:val="bottom"/>
            <w:shd w:val="clear" w:color="auto" w:fill="083566"/>
          </w:tcPr>
          <w:p>
            <w:pPr>
              <w:spacing w:after="0"/>
              <w:rPr>
                <w:sz w:val="20"/>
                <w:szCs w:val="20"/>
                <w:color w:val="auto"/>
              </w:rPr>
            </w:pPr>
          </w:p>
        </w:tc>
        <w:tc>
          <w:tcPr>
            <w:tcW w:w="76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2Q23</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345</w:t>
            </w:r>
          </w:p>
        </w:tc>
        <w:tc>
          <w:tcPr>
            <w:tcW w:w="880" w:type="dxa"/>
            <w:vAlign w:val="bottom"/>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35"/>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404,951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310,613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30.4 %</w:t>
            </w: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20"/>
                <w:szCs w:val="20"/>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429</w:t>
            </w:r>
          </w:p>
        </w:tc>
        <w:tc>
          <w:tcPr>
            <w:tcW w:w="880" w:type="dxa"/>
            <w:vAlign w:val="bottom"/>
          </w:tcPr>
          <w:p>
            <w:pPr>
              <w:jc w:val="right"/>
              <w:spacing w:after="0"/>
              <w:rPr>
                <w:sz w:val="20"/>
                <w:szCs w:val="20"/>
                <w:color w:val="auto"/>
              </w:rPr>
            </w:pPr>
            <w:r>
              <w:rPr>
                <w:rFonts w:ascii="Arial" w:cs="Arial" w:eastAsia="Arial" w:hAnsi="Arial"/>
                <w:sz w:val="16"/>
                <w:szCs w:val="16"/>
                <w:color w:val="auto"/>
              </w:rPr>
              <w:t>83.4 %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217,531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160,354</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35.7 %</w:t>
            </w:r>
          </w:p>
        </w:tc>
        <w:tc>
          <w:tcPr>
            <w:tcW w:w="560" w:type="dxa"/>
            <w:vAlign w:val="bottom"/>
          </w:tcPr>
          <w:p>
            <w:pPr>
              <w:jc w:val="right"/>
              <w:spacing w:after="0"/>
              <w:rPr>
                <w:sz w:val="20"/>
                <w:szCs w:val="20"/>
                <w:color w:val="auto"/>
              </w:rPr>
            </w:pPr>
            <w:r>
              <w:rPr>
                <w:rFonts w:ascii="Arial" w:cs="Arial" w:eastAsia="Arial" w:hAnsi="Arial"/>
                <w:sz w:val="16"/>
                <w:szCs w:val="16"/>
                <w:color w:val="auto"/>
              </w:rPr>
              <w:t>36.4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1,249</w:t>
            </w:r>
          </w:p>
        </w:tc>
        <w:tc>
          <w:tcPr>
            <w:tcW w:w="220" w:type="dxa"/>
            <w:vAlign w:val="bottom"/>
            <w:tcBorders>
              <w:bottom w:val="single" w:sz="8" w:color="083566"/>
            </w:tcBorders>
            <w:shd w:val="clear" w:color="auto" w:fill="D5DCE4"/>
          </w:tcPr>
          <w:p>
            <w:pPr>
              <w:spacing w:after="0"/>
              <w:rPr>
                <w:sz w:val="21"/>
                <w:szCs w:val="21"/>
                <w:color w:val="auto"/>
              </w:rPr>
            </w:pPr>
          </w:p>
        </w:tc>
        <w:tc>
          <w:tcPr>
            <w:tcW w:w="7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774</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61.4 %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111,324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84,048</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32.5 %</w:t>
            </w:r>
          </w:p>
        </w:tc>
        <w:tc>
          <w:tcPr>
            <w:tcW w:w="560" w:type="dxa"/>
            <w:vAlign w:val="bottom"/>
          </w:tcPr>
          <w:p>
            <w:pPr>
              <w:jc w:val="right"/>
              <w:spacing w:after="0"/>
              <w:rPr>
                <w:sz w:val="20"/>
                <w:szCs w:val="20"/>
                <w:color w:val="auto"/>
              </w:rPr>
            </w:pPr>
            <w:r>
              <w:rPr>
                <w:rFonts w:ascii="Arial" w:cs="Arial" w:eastAsia="Arial" w:hAnsi="Arial"/>
                <w:sz w:val="16"/>
                <w:szCs w:val="16"/>
                <w:color w:val="auto"/>
              </w:rPr>
              <w:t>32.6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58.5 %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22,871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22,146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3.3 %</w:t>
            </w: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1"/>
                <w:szCs w:val="21"/>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18,045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15,834</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14.0 %</w:t>
            </w:r>
          </w:p>
        </w:tc>
        <w:tc>
          <w:tcPr>
            <w:tcW w:w="560" w:type="dxa"/>
            <w:vAlign w:val="bottom"/>
          </w:tcPr>
          <w:p>
            <w:pPr>
              <w:jc w:val="right"/>
              <w:spacing w:after="0"/>
              <w:rPr>
                <w:sz w:val="20"/>
                <w:szCs w:val="20"/>
                <w:color w:val="auto"/>
              </w:rPr>
            </w:pPr>
            <w:r>
              <w:rPr>
                <w:rFonts w:ascii="Arial" w:cs="Arial" w:eastAsia="Arial" w:hAnsi="Arial"/>
                <w:sz w:val="16"/>
                <w:szCs w:val="16"/>
                <w:color w:val="auto"/>
              </w:rPr>
              <w:t>14.2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083566"/>
            </w:tcBorders>
            <w:shd w:val="clear" w:color="auto" w:fill="D5DCE4"/>
          </w:tcPr>
          <w:p>
            <w:pPr>
              <w:spacing w:after="0"/>
              <w:rPr>
                <w:sz w:val="21"/>
                <w:szCs w:val="21"/>
                <w:color w:val="auto"/>
              </w:rPr>
            </w:pPr>
          </w:p>
        </w:tc>
        <w:tc>
          <w:tcPr>
            <w:tcW w:w="7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56.5 %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29,227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22,776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28.3 %</w:t>
            </w:r>
          </w:p>
        </w:tc>
        <w:tc>
          <w:tcPr>
            <w:tcW w:w="560" w:type="dxa"/>
            <w:vAlign w:val="bottom"/>
          </w:tcPr>
          <w:p>
            <w:pPr>
              <w:jc w:val="right"/>
              <w:spacing w:after="0"/>
              <w:rPr>
                <w:sz w:val="20"/>
                <w:szCs w:val="20"/>
                <w:color w:val="auto"/>
              </w:rPr>
            </w:pPr>
            <w:r>
              <w:rPr>
                <w:rFonts w:ascii="Arial" w:cs="Arial" w:eastAsia="Arial" w:hAnsi="Arial"/>
                <w:sz w:val="16"/>
                <w:szCs w:val="16"/>
                <w:color w:val="auto"/>
              </w:rPr>
              <w:t>28.4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5,953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5,455</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9.1 %</w:t>
            </w:r>
          </w:p>
        </w:tc>
        <w:tc>
          <w:tcPr>
            <w:tcW w:w="560" w:type="dxa"/>
            <w:vAlign w:val="bottom"/>
          </w:tcPr>
          <w:p>
            <w:pPr>
              <w:jc w:val="right"/>
              <w:spacing w:after="0"/>
              <w:rPr>
                <w:sz w:val="20"/>
                <w:szCs w:val="20"/>
                <w:color w:val="auto"/>
              </w:rPr>
            </w:pPr>
            <w:r>
              <w:rPr>
                <w:rFonts w:ascii="Arial" w:cs="Arial" w:eastAsia="Arial" w:hAnsi="Arial"/>
                <w:sz w:val="16"/>
                <w:szCs w:val="16"/>
                <w:color w:val="auto"/>
              </w:rPr>
              <w:t>9.2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1"/>
                <w:szCs w:val="21"/>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136,416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101,939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33.8 %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083566"/>
            </w:tcBorders>
            <w:shd w:val="clear" w:color="auto" w:fill="D5DCE4"/>
          </w:tcPr>
          <w:p>
            <w:pPr>
              <w:spacing w:after="0"/>
              <w:rPr>
                <w:sz w:val="21"/>
                <w:szCs w:val="21"/>
                <w:color w:val="auto"/>
              </w:rPr>
            </w:pPr>
          </w:p>
        </w:tc>
        <w:tc>
          <w:tcPr>
            <w:tcW w:w="7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622</w:t>
            </w:r>
          </w:p>
        </w:tc>
        <w:tc>
          <w:tcPr>
            <w:tcW w:w="220" w:type="dxa"/>
            <w:vAlign w:val="bottom"/>
          </w:tcPr>
          <w:p>
            <w:pPr>
              <w:spacing w:after="0"/>
              <w:rPr>
                <w:sz w:val="16"/>
                <w:szCs w:val="16"/>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color w:val="auto"/>
              </w:rPr>
              <w:t>484</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114"/>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6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760" w:type="dxa"/>
            <w:vAlign w:val="bottom"/>
            <w:shd w:val="clear" w:color="auto" w:fill="D5DCE4"/>
          </w:tcPr>
          <w:p>
            <w:pPr>
              <w:spacing w:after="0"/>
              <w:rPr>
                <w:sz w:val="7"/>
                <w:szCs w:val="7"/>
                <w:color w:val="auto"/>
              </w:rPr>
            </w:pPr>
          </w:p>
        </w:tc>
        <w:tc>
          <w:tcPr>
            <w:tcW w:w="88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119,239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89,082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33.9 %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0"/>
                <w:szCs w:val="20"/>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622</w:t>
            </w:r>
          </w:p>
        </w:tc>
        <w:tc>
          <w:tcPr>
            <w:tcW w:w="220" w:type="dxa"/>
            <w:vAlign w:val="bottom"/>
            <w:tcBorders>
              <w:bottom w:val="single" w:sz="8" w:color="083566"/>
            </w:tcBorders>
            <w:shd w:val="clear" w:color="auto" w:fill="D5DCE4"/>
          </w:tcPr>
          <w:p>
            <w:pPr>
              <w:spacing w:after="0"/>
              <w:rPr>
                <w:sz w:val="20"/>
                <w:szCs w:val="20"/>
                <w:color w:val="auto"/>
              </w:rPr>
            </w:pPr>
          </w:p>
        </w:tc>
        <w:tc>
          <w:tcPr>
            <w:tcW w:w="7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484</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0.42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31.0 %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1,922</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1,297</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48.3 %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33.7 %</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32.8 %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 bps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458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5865"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840"/>
          </w:cols>
          <w:pgMar w:left="320" w:top="274" w:right="7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216,533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163,055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32.8 %</w:t>
            </w:r>
          </w:p>
        </w:tc>
        <w:tc>
          <w:tcPr>
            <w:tcW w:w="520" w:type="dxa"/>
            <w:vAlign w:val="bottom"/>
          </w:tcPr>
          <w:p>
            <w:pPr>
              <w:ind w:left="160"/>
              <w:spacing w:after="0"/>
              <w:rPr>
                <w:sz w:val="20"/>
                <w:szCs w:val="20"/>
                <w:color w:val="auto"/>
              </w:rPr>
            </w:pPr>
            <w:r>
              <w:rPr>
                <w:rFonts w:ascii="Arial" w:cs="Arial" w:eastAsia="Arial" w:hAnsi="Arial"/>
                <w:sz w:val="16"/>
                <w:szCs w:val="16"/>
                <w:color w:val="auto"/>
              </w:rPr>
              <w:t>32.6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53.5 %</w:t>
            </w:r>
          </w:p>
        </w:tc>
        <w:tc>
          <w:tcPr>
            <w:tcW w:w="2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52.5 %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+98 bps</w:t>
            </w:r>
          </w:p>
        </w:tc>
        <w:tc>
          <w:tcPr>
            <w:tcW w:w="820" w:type="dxa"/>
            <w:vAlign w:val="bottom"/>
            <w:gridSpan w:val="2"/>
          </w:tcPr>
          <w:p>
            <w:pPr>
              <w:ind w:left="260"/>
              <w:spacing w:after="0"/>
              <w:rPr>
                <w:sz w:val="20"/>
                <w:szCs w:val="20"/>
                <w:color w:val="auto"/>
              </w:rPr>
            </w:pPr>
            <w:r>
              <w:rPr>
                <w:rFonts w:ascii="Arial" w:cs="Arial" w:eastAsia="Arial" w:hAnsi="Arial"/>
                <w:sz w:val="16"/>
                <w:szCs w:val="16"/>
                <w:color w:val="auto"/>
                <w:w w:val="94"/>
              </w:rPr>
              <w:t>+70 bps</w:t>
            </w: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201,312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148,797</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35.3 %</w:t>
            </w:r>
          </w:p>
        </w:tc>
        <w:tc>
          <w:tcPr>
            <w:tcW w:w="520" w:type="dxa"/>
            <w:vAlign w:val="bottom"/>
          </w:tcPr>
          <w:p>
            <w:pPr>
              <w:ind w:left="160"/>
              <w:spacing w:after="0"/>
              <w:rPr>
                <w:sz w:val="20"/>
                <w:szCs w:val="20"/>
                <w:color w:val="auto"/>
              </w:rPr>
            </w:pPr>
            <w:r>
              <w:rPr>
                <w:rFonts w:ascii="Arial" w:cs="Arial" w:eastAsia="Arial" w:hAnsi="Arial"/>
                <w:sz w:val="16"/>
                <w:szCs w:val="16"/>
                <w:color w:val="auto"/>
              </w:rPr>
              <w:t>35.0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40" w:type="dxa"/>
            <w:vAlign w:val="bottom"/>
          </w:tcPr>
          <w:p>
            <w:pPr>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49.7 %</w:t>
            </w:r>
          </w:p>
        </w:tc>
        <w:tc>
          <w:tcPr>
            <w:tcW w:w="20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47.9 %</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+181 bps</w:t>
            </w: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+154 bps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166,711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123,749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34.7 %</w:t>
            </w:r>
          </w:p>
        </w:tc>
        <w:tc>
          <w:tcPr>
            <w:tcW w:w="520" w:type="dxa"/>
            <w:vAlign w:val="bottom"/>
          </w:tcPr>
          <w:p>
            <w:pPr>
              <w:ind w:left="160"/>
              <w:spacing w:after="0"/>
              <w:rPr>
                <w:sz w:val="20"/>
                <w:szCs w:val="20"/>
                <w:color w:val="auto"/>
              </w:rPr>
            </w:pPr>
            <w:r>
              <w:rPr>
                <w:rFonts w:ascii="Arial" w:cs="Arial" w:eastAsia="Arial" w:hAnsi="Arial"/>
                <w:sz w:val="16"/>
                <w:szCs w:val="16"/>
                <w:color w:val="auto"/>
              </w:rPr>
              <w:t>34.5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4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0.70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color w:val="auto"/>
              </w:rPr>
              <w:t>0.52</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34.6 %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34.6</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34" w:right="120" w:hanging="234"/>
        <w:spacing w:after="0" w:line="26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174" w:hanging="174"/>
        <w:spacing w:after="0"/>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20" w:space="186"/>
            <w:col w:w="4834"/>
          </w:cols>
          <w:pgMar w:left="320" w:top="274"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$217.5 million in the second quarter of 2024 increased 35.7% compared to prior year period (increased 36.4%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61.4% from prior year period, driven by strong volume in swaps/swaptions ≥ and &lt; 1-year and record volume in U.S. government bonds. The addition of r8fin continued to contribute positively to wholesale volumes. European government bonds ADV was up 12.3% from prior year period, driven by market volatility and sustained primary issuance across Europe and the UK. Mortgages ADV was up 24.8%, reflecting robust to-be-announced (TBA) volumes led by heightened dollar roll and coupon swap activity as well as continued strong client adoption of our specified pool trading platform.</w:t>
      </w:r>
    </w:p>
    <w:p>
      <w:pPr>
        <w:spacing w:after="0" w:line="214"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$111.3 million in the second quarter of 2024 increased 32.5% compared to prior year period (increased 32.6%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56.5% from prior year period, as strong U.S. credit volumes, including record ADV in fully-electronic U.S. high yield credit,</w:t>
      </w:r>
    </w:p>
    <w:p>
      <w:pPr>
        <w:spacing w:after="0" w:line="1" w:lineRule="exact"/>
        <w:rPr>
          <w:sz w:val="20"/>
          <w:szCs w:val="20"/>
          <w:color w:val="auto"/>
        </w:rPr>
      </w:pPr>
    </w:p>
    <w:p>
      <w:pPr>
        <w:jc w:val="both"/>
        <w:ind w:right="140"/>
        <w:spacing w:after="0" w:line="236" w:lineRule="auto"/>
        <w:rPr>
          <w:sz w:val="20"/>
          <w:szCs w:val="20"/>
          <w:color w:val="auto"/>
        </w:rPr>
      </w:pPr>
      <w:r>
        <w:rPr>
          <w:rFonts w:ascii="Arial" w:cs="Arial" w:eastAsia="Arial" w:hAnsi="Arial"/>
          <w:sz w:val="16"/>
          <w:szCs w:val="16"/>
          <w:color w:val="auto"/>
        </w:rPr>
        <w:t>reflected continued client adoption across Tradeweb products and protocols, including request-for-quote (RFQ), Tradeweb AllTrade® and portfolio trading. European credit ADV was up 19.7% from prior year period, driven by strong activity in portfolio trading and our unique dealer selection tool (SNAP IOI). We reported a record 18.8% share of fully electronic U.S. high grade TRACE, up 392 bps from prior year period, and a 7.6% share of fully electronic U.S. high yield TRACE, up 139 bps from prior year period.</w:t>
      </w:r>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$22.9 million in the second quarter of 2024 increased 3.3% compared to prior year period (increased 3.8%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9.8% from prior year period, driven by strong growth in equity derivatives while ETF market volumes remained muted as market volatility remained low.</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$18.0 million in the second quarter of 2024 increased 14.0% compared to prior year period (increased 14.2%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28.4% from prior year period, led by record activity in global repurchase agreements and increased client adoption of Tradeweb's electronic trading solutions.</w:t>
      </w:r>
    </w:p>
    <w:p>
      <w:pPr>
        <w:spacing w:after="0" w:line="20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$29.2 million in the second quarter of 2024 increased 28.3% compared to prior year period (increased 28.4%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LSEG market data fees from the contract that was amended effective November 1, 2023 and proprietary third party market data revenue.</w:t>
      </w:r>
    </w:p>
    <w:p>
      <w:pPr>
        <w:spacing w:after="0" w:line="191"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$6.0 million in the second quarter of 2024 increased 9.1% compared to prior year period (increased 9.2%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55"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$242.5 million in the second quarter of 2024 increased 24.8% compared to $194.3 million in prior year period,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incentive compensation expense tied to our financial performance, as well as an increase in headcount and related salaries and employee compensation and benefits to support our continued growth. During the quarter, we also incurred $2.9 million in incremental cash compensation expense and $0.3 million in accelerated stock-based compensation expense in connection with the departure of an executive effective September 30, 2024.</w:t>
      </w:r>
    </w:p>
    <w:p>
      <w:pPr>
        <w:spacing w:after="0" w:line="22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$203.6 million in the second quarter of 2024 increased 25.8% (increased 27.0% on a constant currency basis) compared to prior</w:t>
      </w:r>
      <w:r>
        <w:rPr>
          <w:rFonts w:ascii="Arial" w:cs="Arial" w:eastAsia="Arial" w:hAnsi="Arial"/>
          <w:sz w:val="16"/>
          <w:szCs w:val="16"/>
          <w:b w:val="1"/>
          <w:bCs w:val="1"/>
          <w:color w:val="auto"/>
        </w:rPr>
        <w:t xml:space="preserve"> </w:t>
      </w:r>
      <w:r>
        <w:rPr>
          <w:rFonts w:ascii="Arial" w:cs="Arial" w:eastAsia="Arial" w:hAnsi="Arial"/>
          <w:sz w:val="16"/>
          <w:szCs w:val="16"/>
          <w:color w:val="auto"/>
        </w:rPr>
        <w:t>year period primarily due to higher expenses related to adjusted employee compensation and benefits, including $2.9 million in incremental cash compensation expense in the second quarter of 2024 in connection with the departure of an executive effective September 30, 2024. Please see "Non-GAAP Financial Measures" below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2024</w:t>
      </w:r>
    </w:p>
    <w:p>
      <w:pPr>
        <w:spacing w:after="0" w:line="21" w:lineRule="exact"/>
        <w:rPr>
          <w:sz w:val="20"/>
          <w:szCs w:val="20"/>
          <w:color w:val="auto"/>
        </w:rPr>
      </w:pPr>
    </w:p>
    <w:p>
      <w:pPr>
        <w:ind w:left="660" w:right="100" w:hanging="328"/>
        <w:spacing w:after="0" w:line="25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definitive agreement to acquire Institutional Cash Distributors ("ICD"), an institutional investment technology provider for corporate treasury organizations trading short-term investments, for $785 million, subject to customary adjustments, which will add Corporates as our fourth client channel alongside Institutional, Wholesale and Retail. The closing of the acquisition is subject to customary closing conditions and regulatory reviews.</w:t>
      </w:r>
    </w:p>
    <w:p>
      <w:pPr>
        <w:ind w:left="660" w:right="4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organizational changes, including the addition of Amy Clack, who will join Tradeweb in August 2024 as Chief Administrative Officer (CAO), overseeing operations, business integration, risk and corporate services. In addition, Tradeweb announced that President Thomas Pluta will leave the Company and its Board of Directors, effective September 30, 2024.</w:t>
      </w:r>
    </w:p>
    <w:p>
      <w:pPr>
        <w:ind w:left="660" w:right="240" w:hanging="328"/>
        <w:spacing w:after="0" w:line="24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Agreed with Alphaledger, a leading provider of blockchain infrastructure for fixed income assets, to jointly develop innovative products leveraging Alphaledger's blockchain technology.</w:t>
      </w:r>
    </w:p>
    <w:p>
      <w:pPr>
        <w:ind w:left="640" w:hanging="308"/>
        <w:spacing w:after="0" w:line="228"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Invested $10 million as part of $47 million strategic funding round led by BlackRock for Securitize, a leader in tokenizing real-world assets.</w:t>
      </w:r>
    </w:p>
    <w:p>
      <w:pPr>
        <w:ind w:left="660" w:right="160" w:hanging="328"/>
        <w:spacing w:after="0" w:line="25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Served as network participant in the launch of Global Synchronizer, the Canton Network's decentralized interoperability infrastructure. The Canton Network is a public-permissioned blockchain network designed with the privacy and controls essential to facilitate the exchange of regulated financial assets.</w:t>
      </w:r>
    </w:p>
    <w:p>
      <w:pPr>
        <w:spacing w:after="0" w:line="1" w:lineRule="exact"/>
        <w:rPr>
          <w:rFonts w:ascii="Arial" w:cs="Arial" w:eastAsia="Arial" w:hAnsi="Arial"/>
          <w:sz w:val="16"/>
          <w:szCs w:val="16"/>
          <w:color w:val="auto"/>
        </w:rPr>
      </w:pPr>
    </w:p>
    <w:p>
      <w:pPr>
        <w:ind w:left="660" w:right="140" w:hanging="328"/>
        <w:spacing w:after="0" w:line="24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Entered into a $159.2 million lease for Tradeweb's new NYC headquarters, expected to commence in mid-2025 with an expected initial lease term of approximately 16 years.</w:t>
      </w:r>
    </w:p>
    <w:p>
      <w:pPr>
        <w:ind w:left="660" w:right="4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Launched an enhanced functionality for RFQ trading in U.S. credit markets; "RFQ Edge" deploys Tradeweb's advanced portfolio trading analytics to its RFQ protocol to deliver a more powerful list trading experience for U.S. credit and ETF traders.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Expanded strategic partnership between Tradeweb and FTSE Russell to produce benchmark closing prices for the U.S. Treasury markets.</w:t>
      </w:r>
    </w:p>
    <w:p>
      <w:pPr>
        <w:spacing w:after="0" w:line="14" w:lineRule="exact"/>
        <w:rPr>
          <w:rFonts w:ascii="Arial" w:cs="Arial" w:eastAsia="Arial" w:hAnsi="Arial"/>
          <w:sz w:val="16"/>
          <w:szCs w:val="16"/>
          <w:color w:val="auto"/>
        </w:rPr>
      </w:pPr>
    </w:p>
    <w:p>
      <w:pPr>
        <w:ind w:left="660" w:right="80" w:hanging="328"/>
        <w:spacing w:after="0" w:line="27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Became the first electronic trading platform to make overnight index swap (OIS) curves available during the repo trade negotiation process, helping institutional clients assess the price competitiveness of different repo rates across different currencies and maturities.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left="660" w:right="20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Awarded two framework agreements to provide Electronic Trading Platforms to the European Central Bank (ECB) and other Eurosystem National Central Banks, after successfully participating in the procurement procedure organized by the ECB.</w:t>
      </w:r>
    </w:p>
    <w:p>
      <w:pPr>
        <w:ind w:left="660" w:right="1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40 Top Innovators</w:t>
      </w:r>
      <w:r>
        <w:rPr>
          <w:rFonts w:ascii="Arial" w:cs="Arial" w:eastAsia="Arial" w:hAnsi="Arial"/>
          <w:sz w:val="16"/>
          <w:szCs w:val="16"/>
          <w:color w:val="auto"/>
        </w:rPr>
        <w:t xml:space="preserve"> </w:t>
      </w:r>
      <w:r>
        <w:rPr>
          <w:rFonts w:ascii="Arial" w:cs="Arial" w:eastAsia="Arial" w:hAnsi="Arial"/>
          <w:sz w:val="16"/>
          <w:szCs w:val="16"/>
          <w:i w:val="1"/>
          <w:iCs w:val="1"/>
          <w:color w:val="auto"/>
        </w:rPr>
        <w:t>(TabbFORUM); Asset Management Awards - Best Data &amp; Technology Provider and Rising Star in Asset Services (AsianInvestor); Inside Market Data &amp; Inside Reference Data Awards - Most Innovative Market Data Project (WatersTechnology); Women in Finance Asia Awards - Excellence in ETFs - Keri Neo (Markets Media); Markets Choice Awards - Best Company (Markets Media)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2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$1.7 billion in cash and cash equivalents and an undrawn $500 million credit facility at June 30, 2024</w:t>
      </w:r>
    </w:p>
    <w:p>
      <w:pPr>
        <w:spacing w:after="0" w:line="21" w:lineRule="exact"/>
        <w:rPr>
          <w:rFonts w:ascii="Arial" w:cs="Arial" w:eastAsia="Arial" w:hAnsi="Arial"/>
          <w:sz w:val="16"/>
          <w:szCs w:val="16"/>
          <w:color w:val="auto"/>
        </w:rPr>
      </w:pPr>
    </w:p>
    <w:p>
      <w:pPr>
        <w:ind w:left="660" w:right="48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$785 million acquisition of ICD is expected to close in the third quarter of 2024, subject to the satisfaction of customary closing conditions and regulatory reviews and the purchase price, subject to customary adjustments, is expected to be funded with cash on hand</w:t>
      </w:r>
    </w:p>
    <w:p>
      <w:pPr>
        <w:ind w:left="660" w:right="42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2024 of $721.7 million, up 13.7% compared to prior year period. See “Non-GAAP Financial Measures” for additional information</w:t>
      </w:r>
    </w:p>
    <w:p>
      <w:pPr>
        <w:spacing w:after="0" w:line="1" w:lineRule="exact"/>
        <w:rPr>
          <w:rFonts w:ascii="Arial" w:cs="Arial" w:eastAsia="Arial" w:hAnsi="Arial"/>
          <w:sz w:val="16"/>
          <w:szCs w:val="16"/>
          <w:color w:val="auto"/>
        </w:rPr>
      </w:pPr>
    </w:p>
    <w:p>
      <w:pPr>
        <w:ind w:left="660" w:right="14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second quarter 2024 of $16.6 million (excludes amounts paid at closing for acquisitions)</w:t>
      </w:r>
    </w:p>
    <w:p>
      <w:pPr>
        <w:ind w:left="660" w:right="3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$239.8 million remained available for repurchase pursuant to the share repurchase program authorization as of June 30, 2024. No shares were repurchased during the second quarter of 2024</w:t>
      </w:r>
    </w:p>
    <w:p>
      <w:pPr>
        <w:ind w:left="660" w:right="4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$0.3 million in shares of Class A common stock were withheld in the second quarter of 2024 to satisfy tax obligations related to the exercise of stock options and vesting of restricted stock units and performance-based restricted stock units held by employees</w:t>
      </w:r>
    </w:p>
    <w:p>
      <w:pPr>
        <w:ind w:left="660" w:right="58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$0.10 per share of Class A common stock and Class B common stock. The dividend will be payable on September 16, 2024 to stockholders of record as of September 3, 2024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2024 Guidance*</w:t>
      </w:r>
    </w:p>
    <w:p>
      <w:pPr>
        <w:spacing w:after="0" w:line="12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$830 - 860 million</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$158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 24.5% - 25.5%</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$77 - 85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LSEG Market Data Contract Revenue: ~$80 million (~$90 million in 2025)</w:t>
      </w:r>
    </w:p>
    <w:p>
      <w:pPr>
        <w:spacing w:after="0" w:line="23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guidance has been revised to reflect higher expenses and expenditures in light of strong business momentum, the anticipated closing of ICD during the third quarter of 2024 and recently announced management changes. Assumed non-GAAP tax rate and LSEG Market Data Contract Revenue guidance is unchanged from the prior quarter guidance.</w:t>
      </w:r>
    </w:p>
    <w:p>
      <w:pPr>
        <w:spacing w:after="0" w:line="198" w:lineRule="exact"/>
        <w:rPr>
          <w:sz w:val="20"/>
          <w:szCs w:val="20"/>
          <w:color w:val="auto"/>
        </w:rPr>
      </w:pPr>
    </w:p>
    <w:p>
      <w:pPr>
        <w:ind w:left="340" w:right="400"/>
        <w:spacing w:after="0" w:line="275"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2024 Sterling/US$ foreign exchange rate of 1.24 and includes completed M&amp;A transactions as well as the expected closing of the ICD acquisition in the third quarter of 2024. Guidance amounts for cash capital expenditures and capitalized software development excludes amounts paid at closing for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second quarter 2024 results starting at 9:30 AM EDT today, July 25, 2024.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66" w:lineRule="exact"/>
        <w:rPr>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https://edge.media-server.com/mmc/p/n8n9p3bv/</w:t>
      </w:r>
    </w:p>
    <w:p>
      <w:pPr>
        <w:spacing w:after="0" w:line="1" w:lineRule="exact"/>
        <w:rPr>
          <w:rFonts w:ascii="Calibri" w:cs="Calibri" w:eastAsia="Calibri" w:hAnsi="Calibri"/>
          <w:sz w:val="20"/>
          <w:szCs w:val="20"/>
          <w:color w:val="auto"/>
        </w:rPr>
      </w:pPr>
    </w:p>
    <w:p>
      <w:pPr>
        <w:ind w:left="660" w:right="140" w:hanging="328"/>
        <w:spacing w:after="0" w:line="233" w:lineRule="auto"/>
        <w:tabs>
          <w:tab w:leader="none" w:pos="653" w:val="left"/>
        </w:tabs>
        <w:numPr>
          <w:ilvl w:val="0"/>
          <w:numId w:val="7"/>
        </w:numPr>
        <w:rPr>
          <w:rFonts w:ascii="Calibri" w:cs="Calibri" w:eastAsia="Calibri" w:hAnsi="Calibri"/>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https://register.vevent.com/register/BI10fde228f4fd46c686f35483a283443e</w:t>
      </w:r>
      <w:r>
        <w:rPr>
          <w:rFonts w:ascii="Arial" w:cs="Arial" w:eastAsia="Arial" w:hAnsi="Arial"/>
          <w:sz w:val="16"/>
          <w:szCs w:val="16"/>
          <w:color w:val="auto"/>
        </w:rPr>
        <w:t>. Registered participants will receive an email confirmation with a unique PIN to access the conference call.</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70 countries. On average, Tradeweb facilitated more than $1.7 trillion in notional value traded per day over the past four fiscal quarters. For more information,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27"/>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5DCE4"/>
          </w:tcPr>
          <w:p>
            <w:pPr>
              <w:spacing w:after="0"/>
              <w:rPr>
                <w:sz w:val="19"/>
                <w:szCs w:val="19"/>
                <w:color w:val="auto"/>
              </w:rPr>
            </w:pPr>
          </w:p>
        </w:tc>
        <w:tc>
          <w:tcPr>
            <w:tcW w:w="4840" w:type="dxa"/>
            <w:vAlign w:val="bottom"/>
            <w:gridSpan w:val="9"/>
            <w:shd w:val="clear" w:color="auto" w:fill="D5DCE4"/>
          </w:tcPr>
          <w:p>
            <w:pPr>
              <w:jc w:val="right"/>
              <w:ind w:right="9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shd w:val="clear" w:color="auto" w:fill="D5DCE4"/>
          </w:tcPr>
          <w:p>
            <w:pPr>
              <w:spacing w:after="0"/>
              <w:rPr>
                <w:sz w:val="19"/>
                <w:szCs w:val="19"/>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330,475</w:t>
            </w:r>
          </w:p>
        </w:tc>
        <w:tc>
          <w:tcPr>
            <w:tcW w:w="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246,461</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665,926</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513,059</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50,746</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45,748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100,427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90,122</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41,081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31,055</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3,149</w:t>
            </w:r>
          </w:p>
        </w:tc>
        <w:tc>
          <w:tcPr>
            <w:tcW w:w="8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2,943</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6,256</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5,626</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404,951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310,613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813,690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639,862</w:t>
            </w:r>
          </w:p>
        </w:tc>
      </w:tr>
      <w:tr>
        <w:trPr>
          <w:trHeight w:val="274"/>
        </w:trPr>
        <w:tc>
          <w:tcPr>
            <w:tcW w:w="49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0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2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137,236</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103,924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280,323</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218,417</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49,936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99,273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91,291</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24,230</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18,701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45,540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36,268</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12,755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23,609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24,992</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13,324</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10,666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25,124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21,842</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8,151</w:t>
            </w: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242,457</w:t>
            </w:r>
          </w:p>
        </w:tc>
        <w:tc>
          <w:tcPr>
            <w:tcW w:w="8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194,278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483,518</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400,961</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162,494</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116,335</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330,172</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238,901</w:t>
            </w: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21,511</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15,576</w:t>
            </w: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42,571</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28,516</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6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183,463</w:t>
            </w:r>
          </w:p>
        </w:tc>
        <w:tc>
          <w:tcPr>
            <w:tcW w:w="8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130,988</w:t>
            </w:r>
          </w:p>
        </w:tc>
        <w:tc>
          <w:tcPr>
            <w:tcW w:w="8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370,483</w:t>
            </w:r>
          </w:p>
        </w:tc>
        <w:tc>
          <w:tcPr>
            <w:tcW w:w="80" w:type="dxa"/>
            <w:vAlign w:val="bottom"/>
            <w:tcBorders>
              <w:bottom w:val="single" w:sz="8" w:color="D5DCE4"/>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266,386</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(29,049)</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(90,685)</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(62,254)</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136,416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101,939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279,798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204,132</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17,177</w:t>
            </w:r>
          </w:p>
        </w:tc>
        <w:tc>
          <w:tcPr>
            <w:tcW w:w="80" w:type="dxa"/>
            <w:vAlign w:val="bottom"/>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12,857</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34,417</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27,194</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119,239</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89,082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245,381</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176,938</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6"/>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0.56</w:t>
            </w:r>
          </w:p>
        </w:tc>
        <w:tc>
          <w:tcPr>
            <w:tcW w:w="80" w:type="dxa"/>
            <w:vAlign w:val="bottom"/>
            <w:tcBorders>
              <w:bottom w:val="single" w:sz="8" w:color="D5DCE4"/>
            </w:tcBorders>
            <w:shd w:val="clear" w:color="auto" w:fill="D5DCE4"/>
          </w:tcPr>
          <w:p>
            <w:pPr>
              <w:spacing w:after="0"/>
              <w:rPr>
                <w:sz w:val="23"/>
                <w:szCs w:val="23"/>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3"/>
                <w:szCs w:val="23"/>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D5DCE4"/>
            </w:tcBorders>
            <w:shd w:val="clear" w:color="auto" w:fill="D5DCE4"/>
          </w:tcPr>
          <w:p>
            <w:pPr>
              <w:spacing w:after="0"/>
              <w:rPr>
                <w:sz w:val="23"/>
                <w:szCs w:val="23"/>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0.84</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213,162,158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211,569,728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212,936,015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209,847,153</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213,156,753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214,778,342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211,659,814</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19"/>
                <w:szCs w:val="19"/>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6"/>
        </w:trPr>
        <w:tc>
          <w:tcPr>
            <w:tcW w:w="4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136,416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101,939</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279,798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204,132</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7,264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(21,511)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(15,576)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(42,571)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(28,516)</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2,260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49,936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45,887</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99,273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91,291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1,714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29,049</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90,685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62,254</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(2,362)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1,834</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22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8"/>
        </w:trPr>
        <w:tc>
          <w:tcPr>
            <w:tcW w:w="468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216,533</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163,055</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436,061</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335,258</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(49,936)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(45,887)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(99,273)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(91,291)</w:t>
            </w:r>
          </w:p>
        </w:tc>
        <w:tc>
          <w:tcPr>
            <w:tcW w:w="0" w:type="dxa"/>
            <w:vAlign w:val="bottom"/>
          </w:tcPr>
          <w:p>
            <w:pPr>
              <w:spacing w:after="0"/>
              <w:rPr>
                <w:sz w:val="1"/>
                <w:szCs w:val="1"/>
                <w:color w:val="auto"/>
              </w:rPr>
            </w:pPr>
          </w:p>
        </w:tc>
      </w:tr>
      <w:tr>
        <w:trPr>
          <w:trHeight w:val="18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4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31,629</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69,082</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4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63,246</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4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4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201,312</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148,797</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405,870</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307,213</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33.7 %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32.8 %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34.4 %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53.5 %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52.4 %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49.7 %</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47.9 %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49.9 %</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48.0 %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240" w:hanging="414"/>
        <w:spacing w:after="0" w:line="183" w:lineRule="auto"/>
        <w:tabs>
          <w:tab w:leader="none" w:pos="440" w:val="left"/>
        </w:tabs>
        <w:numPr>
          <w:ilvl w:val="0"/>
          <w:numId w:val="8"/>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460" w:hanging="414"/>
        <w:spacing w:after="0" w:line="276"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2024, this adjustment also includes $0.3 million of non-cash accelerated stock-based compensation expense and related payroll taxes associated with our departing President.</w:t>
      </w:r>
    </w:p>
    <w:p>
      <w:pPr>
        <w:spacing w:after="0" w:line="9" w:lineRule="exact"/>
        <w:rPr>
          <w:rFonts w:ascii="Arial" w:cs="Arial" w:eastAsia="Arial" w:hAnsi="Arial"/>
          <w:sz w:val="12"/>
          <w:szCs w:val="12"/>
          <w:color w:val="auto"/>
        </w:rPr>
      </w:pPr>
    </w:p>
    <w:p>
      <w:pPr>
        <w:ind w:left="440" w:right="14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8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line="314"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120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1080" w:type="dxa"/>
            <w:vAlign w:val="bottom"/>
          </w:tcPr>
          <w:p>
            <w:pPr>
              <w:spacing w:after="0"/>
              <w:rPr>
                <w:sz w:val="21"/>
                <w:szCs w:val="21"/>
                <w:color w:val="auto"/>
              </w:rPr>
            </w:pPr>
          </w:p>
        </w:tc>
        <w:tc>
          <w:tcPr>
            <w:tcW w:w="208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Pr>
          <w:p>
            <w:pPr>
              <w:spacing w:after="0"/>
              <w:rPr>
                <w:sz w:val="21"/>
                <w:szCs w:val="21"/>
                <w:color w:val="auto"/>
              </w:rPr>
            </w:pPr>
          </w:p>
        </w:tc>
        <w:tc>
          <w:tcPr>
            <w:tcW w:w="2000" w:type="dxa"/>
            <w:vAlign w:val="bottom"/>
          </w:tcPr>
          <w:p>
            <w:pPr>
              <w:jc w:val="center"/>
              <w:ind w:right="999"/>
              <w:spacing w:after="0"/>
              <w:rPr>
                <w:sz w:val="20"/>
                <w:szCs w:val="20"/>
                <w:color w:val="auto"/>
              </w:rPr>
            </w:pPr>
            <w:r>
              <w:rPr>
                <w:rFonts w:ascii="Arial" w:cs="Arial" w:eastAsia="Arial" w:hAnsi="Arial"/>
                <w:sz w:val="16"/>
                <w:szCs w:val="16"/>
                <w:b w:val="1"/>
                <w:bCs w:val="1"/>
                <w:color w:val="auto"/>
                <w:w w:val="99"/>
              </w:rPr>
              <w:t>June 30,</w:t>
            </w:r>
          </w:p>
        </w:tc>
      </w:tr>
      <w:tr>
        <w:trPr>
          <w:trHeight w:val="233"/>
        </w:trPr>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20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20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960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59" w:lineRule="exact"/>
        <w:rPr>
          <w:sz w:val="20"/>
          <w:szCs w:val="20"/>
          <w:color w:val="auto"/>
        </w:rPr>
      </w:pPr>
    </w:p>
    <w:p>
      <w:pPr>
        <w:sectPr>
          <w:pgSz w:w="11900" w:h="16838" w:orient="portrait"/>
          <w:cols w:equalWidth="0" w:num="2">
            <w:col w:w="4440" w:space="560"/>
            <w:col w:w="62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0.83</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119,239</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89,082</w:t>
            </w:r>
          </w:p>
        </w:tc>
        <w:tc>
          <w:tcPr>
            <w:tcW w:w="8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245,381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176,938</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17,177</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12,857</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34,417</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27,194</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136,416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101,939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279,798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204,132</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29,049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90,685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62,254</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31,629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63,246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1,834</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12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222,281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163,906</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446,181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334,813</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(55,570)</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(40,157)</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(111,545)</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(82,029)</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166,711</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123,749</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334,636</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252,784</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0.70</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0.52</w:t>
            </w:r>
          </w:p>
        </w:tc>
        <w:tc>
          <w:tcPr>
            <w:tcW w:w="8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6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73" w:right="339" w:bottom="1440" w:gutter="0" w:footer="0" w:header="0"/>
          <w:type w:val="continuous"/>
        </w:sectPr>
      </w:pPr>
    </w:p>
    <w:bookmarkStart w:id="8" w:name="page9"/>
    <w:bookmarkEnd w:id="8"/>
    <w:p>
      <w:pPr>
        <w:ind w:left="440" w:right="2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440" w:right="2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440" w:right="38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460" w:hanging="414"/>
        <w:spacing w:after="0" w:line="264"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2024, this adjustment also includes $0.3 million of non-cash accelerated stock-based compensation expense and related payroll taxes associated with our departing President.</w:t>
      </w:r>
    </w:p>
    <w:p>
      <w:pPr>
        <w:spacing w:after="0" w:line="30" w:lineRule="exact"/>
        <w:rPr>
          <w:rFonts w:ascii="Arial" w:cs="Arial" w:eastAsia="Arial" w:hAnsi="Arial"/>
          <w:sz w:val="12"/>
          <w:szCs w:val="12"/>
          <w:color w:val="auto"/>
        </w:rPr>
      </w:pPr>
    </w:p>
    <w:p>
      <w:pPr>
        <w:ind w:left="440" w:right="1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100" w:hanging="414"/>
        <w:spacing w:after="0" w:line="27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47" w:lineRule="exact"/>
        <w:rPr>
          <w:rFonts w:ascii="Arial" w:cs="Arial" w:eastAsia="Arial" w:hAnsi="Arial"/>
          <w:sz w:val="12"/>
          <w:szCs w:val="12"/>
          <w:color w:val="auto"/>
        </w:rPr>
      </w:pPr>
    </w:p>
    <w:p>
      <w:pPr>
        <w:ind w:left="440" w:right="140" w:hanging="414"/>
        <w:spacing w:after="0" w:line="195" w:lineRule="auto"/>
        <w:tabs>
          <w:tab w:leader="none" w:pos="440" w:val="left"/>
        </w:tabs>
        <w:numPr>
          <w:ilvl w:val="0"/>
          <w:numId w:val="9"/>
        </w:numPr>
        <w:rPr>
          <w:rFonts w:ascii="Arial" w:cs="Arial" w:eastAsia="Arial" w:hAnsi="Arial"/>
          <w:sz w:val="24"/>
          <w:szCs w:val="24"/>
          <w:color w:val="auto"/>
          <w:vertAlign w:val="superscript"/>
        </w:rPr>
      </w:pPr>
      <w:r>
        <w:rPr>
          <w:rFonts w:ascii="Arial" w:cs="Arial" w:eastAsia="Arial" w:hAnsi="Arial"/>
          <w:sz w:val="12"/>
          <w:szCs w:val="12"/>
          <w:color w:val="auto"/>
        </w:rPr>
        <w:t>Represents corporate income taxes at an assumed effective tax rate of 25.0% applied to Adjusted Net Income before income taxes for the three and six months ended June 30, 2024 and 24.5% for the three and six months ended June 30, 2023</w:t>
      </w:r>
      <w:r>
        <w:rPr>
          <w:rFonts w:ascii="Arial" w:cs="Arial" w:eastAsia="Arial" w:hAnsi="Arial"/>
          <w:sz w:val="14"/>
          <w:szCs w:val="14"/>
          <w:color w:val="auto"/>
        </w:rPr>
        <w:t>.</w:t>
      </w:r>
    </w:p>
    <w:p>
      <w:pPr>
        <w:spacing w:after="0" w:line="36" w:lineRule="exact"/>
        <w:rPr>
          <w:rFonts w:ascii="Arial" w:cs="Arial" w:eastAsia="Arial" w:hAnsi="Arial"/>
          <w:sz w:val="24"/>
          <w:szCs w:val="24"/>
          <w:color w:val="auto"/>
          <w:vertAlign w:val="superscript"/>
        </w:rPr>
      </w:pPr>
    </w:p>
    <w:p>
      <w:pPr>
        <w:ind w:left="440" w:right="100" w:hanging="414"/>
        <w:spacing w:after="0" w:line="27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936" w:right="339" w:bottom="1440" w:gutter="0" w:footer="0" w:header="0"/>
        </w:sectPr>
      </w:pPr>
    </w:p>
    <w:p>
      <w:pPr>
        <w:spacing w:after="0" w:line="172"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200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r>
      <w:tr>
        <w:trPr>
          <w:trHeight w:val="236"/>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213,156,753</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214,778,342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211,659,814</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125,012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241,963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142,484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266,790</w:t>
            </w:r>
          </w:p>
        </w:tc>
      </w:tr>
      <w:tr>
        <w:trPr>
          <w:trHeight w:val="445"/>
        </w:trPr>
        <w:tc>
          <w:tcPr>
            <w:tcW w:w="1500" w:type="dxa"/>
            <w:vAlign w:val="bottom"/>
          </w:tcPr>
          <w:p>
            <w:pPr>
              <w:jc w:val="right"/>
              <w:spacing w:after="0"/>
              <w:rPr>
                <w:sz w:val="20"/>
                <w:szCs w:val="20"/>
                <w:color w:val="auto"/>
              </w:rPr>
            </w:pPr>
            <w:r>
              <w:rPr>
                <w:rFonts w:ascii="Arial" w:cs="Arial" w:eastAsia="Arial" w:hAnsi="Arial"/>
                <w:sz w:val="16"/>
                <w:szCs w:val="16"/>
                <w:color w:val="auto"/>
              </w:rPr>
              <w:t>23,077,698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23,153,250</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23,077,836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24,738,197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238,098,657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236,551,966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237,998,662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236,664,801</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166,711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123,749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334,636</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252,784</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or terminated employees that are entitled to non-</w:t>
      </w:r>
    </w:p>
    <w:p>
      <w:pPr>
        <w:spacing w:after="0" w:line="1" w:lineRule="exact"/>
        <w:rPr>
          <w:sz w:val="20"/>
          <w:szCs w:val="20"/>
          <w:color w:val="auto"/>
        </w:rPr>
      </w:pPr>
    </w:p>
    <w:p>
      <w:pPr>
        <w:ind w:left="440" w:right="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260" w:hanging="414"/>
        <w:spacing w:after="0" w:line="186" w:lineRule="auto"/>
        <w:tabs>
          <w:tab w:leader="none" w:pos="440" w:val="left"/>
        </w:tabs>
        <w:numPr>
          <w:ilvl w:val="0"/>
          <w:numId w:val="10"/>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44"/>
        </w:trPr>
        <w:tc>
          <w:tcPr>
            <w:tcW w:w="4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36"/>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242,457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194,278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483,518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400,961</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(31,629)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(63,246)</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964</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2,362</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(1,834)</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203,639</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161,816</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407,820</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332,649</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183" w:lineRule="auto"/>
        <w:tabs>
          <w:tab w:leader="none" w:pos="440" w:val="left"/>
        </w:tabs>
        <w:numPr>
          <w:ilvl w:val="0"/>
          <w:numId w:val="11"/>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36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460" w:hanging="414"/>
        <w:spacing w:after="0" w:line="276"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2024, this adjustment also includes $0.3 million of non-cash accelerated stock-based compensation expense and related payroll taxes associated with our departing President.</w:t>
      </w:r>
    </w:p>
    <w:p>
      <w:pPr>
        <w:spacing w:after="0" w:line="9" w:lineRule="exact"/>
        <w:rPr>
          <w:rFonts w:ascii="Arial" w:cs="Arial" w:eastAsia="Arial" w:hAnsi="Arial"/>
          <w:sz w:val="12"/>
          <w:szCs w:val="12"/>
          <w:color w:val="auto"/>
        </w:rPr>
      </w:pPr>
    </w:p>
    <w:p>
      <w:pPr>
        <w:ind w:left="440" w:right="140" w:hanging="414"/>
        <w:spacing w:after="0" w:line="29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9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936"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4"/>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Trailing Twelve Months Ended June 30,</w:t>
            </w:r>
          </w:p>
        </w:tc>
      </w:tr>
      <w:tr>
        <w:trPr>
          <w:trHeight w:val="239"/>
        </w:trPr>
        <w:tc>
          <w:tcPr>
            <w:tcW w:w="8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34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37"/>
        </w:trPr>
        <w:tc>
          <w:tcPr>
            <w:tcW w:w="8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785,734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693,446</w:t>
            </w: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(39,123)</w:t>
            </w: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(18,780)</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(19,557)</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721,746</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634,766</w:t>
            </w: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9"/>
          </w:tcPr>
          <w:p>
            <w:pPr>
              <w:jc w:val="right"/>
              <w:ind w:right="9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119,239</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89,082</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245,381</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176,938</w:t>
            </w:r>
          </w:p>
        </w:tc>
        <w:tc>
          <w:tcPr>
            <w:tcW w:w="0" w:type="dxa"/>
            <w:vAlign w:val="bottom"/>
          </w:tcPr>
          <w:p>
            <w:pPr>
              <w:spacing w:after="0"/>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5DCE4"/>
          </w:tcPr>
          <w:p>
            <w:pPr>
              <w:spacing w:after="0"/>
              <w:rPr>
                <w:sz w:val="20"/>
                <w:szCs w:val="20"/>
                <w:color w:val="auto"/>
              </w:rPr>
            </w:pPr>
          </w:p>
        </w:tc>
        <w:tc>
          <w:tcPr>
            <w:tcW w:w="4940" w:type="dxa"/>
            <w:vAlign w:val="bottom"/>
            <w:gridSpan w:val="4"/>
            <w:shd w:val="clear" w:color="auto" w:fill="D5DCE4"/>
          </w:tcPr>
          <w:p>
            <w:pPr>
              <w:spacing w:after="0" w:line="230" w:lineRule="exact"/>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119,169</w:t>
            </w:r>
          </w:p>
        </w:tc>
        <w:tc>
          <w:tcPr>
            <w:tcW w:w="80" w:type="dxa"/>
            <w:vAlign w:val="bottom"/>
          </w:tcPr>
          <w:p>
            <w:pPr>
              <w:spacing w:after="0"/>
              <w:rPr>
                <w:sz w:val="16"/>
                <w:szCs w:val="16"/>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88,980</w:t>
            </w:r>
          </w:p>
        </w:tc>
        <w:tc>
          <w:tcPr>
            <w:tcW w:w="80" w:type="dxa"/>
            <w:vAlign w:val="bottom"/>
          </w:tcPr>
          <w:p>
            <w:pPr>
              <w:spacing w:after="0"/>
              <w:rPr>
                <w:sz w:val="16"/>
                <w:szCs w:val="16"/>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245,217</w:t>
            </w:r>
          </w:p>
        </w:tc>
        <w:tc>
          <w:tcPr>
            <w:tcW w:w="80" w:type="dxa"/>
            <w:vAlign w:val="bottom"/>
          </w:tcPr>
          <w:p>
            <w:pPr>
              <w:spacing w:after="0"/>
              <w:rPr>
                <w:sz w:val="16"/>
                <w:szCs w:val="16"/>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176,713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213,162,158</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211,569,728</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212,936,015</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209,847,153</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568,304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534,583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318,638</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449,252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1,143,376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524,413</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1,306,297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252,498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92,936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348,282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187,726</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463,735</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435,049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213,156,753</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214,778,342</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211,659,814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During the three months ended June 30, 2024 and 2023, there was a total of 125,012 and 241,963, respectively, and during the six months ended June 30, 2024 and 2023 , there was a total of 142,484</w:t>
      </w:r>
    </w:p>
    <w:p>
      <w:pPr>
        <w:spacing w:after="0" w:line="11" w:lineRule="exact"/>
        <w:rPr>
          <w:sz w:val="20"/>
          <w:szCs w:val="20"/>
          <w:color w:val="auto"/>
        </w:rPr>
      </w:pPr>
    </w:p>
    <w:p>
      <w:pPr>
        <w:ind w:left="440" w:right="80" w:hanging="414"/>
        <w:spacing w:after="0" w:line="29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and 266,790, respectively, weighted average unvested RSUs and unsettled vested PRSUs that were considered a participating security for purposes of calculating earnings per share in accordance with the two-class method.</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2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9"/>
        </w:trPr>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6"/>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2024</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2023</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140" w:type="dxa"/>
            <w:vAlign w:val="bottom"/>
            <w:gridSpan w:val="3"/>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Fixed</w:t>
            </w:r>
          </w:p>
        </w:tc>
        <w:tc>
          <w:tcPr>
            <w:tcW w:w="40" w:type="dxa"/>
            <w:vAlign w:val="bottom"/>
          </w:tcPr>
          <w:p>
            <w:pPr>
              <w:spacing w:after="0"/>
              <w:rPr>
                <w:sz w:val="20"/>
                <w:szCs w:val="20"/>
                <w:color w:val="auto"/>
              </w:rPr>
            </w:pPr>
          </w:p>
        </w:tc>
        <w:tc>
          <w:tcPr>
            <w:tcW w:w="11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Variable</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7"/>
        </w:trPr>
        <w:tc>
          <w:tcPr>
            <w:tcW w:w="1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7"/>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157,636</w:t>
            </w:r>
          </w:p>
        </w:tc>
        <w:tc>
          <w:tcPr>
            <w:tcW w:w="460" w:type="dxa"/>
            <w:vAlign w:val="bottom"/>
            <w:gridSpan w:val="3"/>
            <w:shd w:val="clear" w:color="auto" w:fill="D5DCE4"/>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59,895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101,588</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58,766</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56,048</w:t>
            </w:r>
          </w:p>
        </w:tc>
        <w:tc>
          <w:tcPr>
            <w:tcW w:w="80" w:type="dxa"/>
            <w:vAlign w:val="bottom"/>
            <w:shd w:val="clear" w:color="auto" w:fill="D5DCE4"/>
          </w:tcPr>
          <w:p>
            <w:pPr>
              <w:spacing w:after="0"/>
              <w:rPr>
                <w:sz w:val="21"/>
                <w:szCs w:val="21"/>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1,129</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55.2 %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2140" w:type="dxa"/>
            <w:vAlign w:val="bottom"/>
            <w:gridSpan w:val="3"/>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102,785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8,539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77,334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6,714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1,825</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32.9 %</w:t>
            </w:r>
          </w:p>
        </w:tc>
        <w:tc>
          <w:tcPr>
            <w:tcW w:w="1040" w:type="dxa"/>
            <w:vAlign w:val="bottom"/>
          </w:tcPr>
          <w:p>
            <w:pPr>
              <w:jc w:val="right"/>
              <w:spacing w:after="0"/>
              <w:rPr>
                <w:sz w:val="20"/>
                <w:szCs w:val="20"/>
                <w:color w:val="auto"/>
              </w:rPr>
            </w:pPr>
            <w:r>
              <w:rPr>
                <w:rFonts w:ascii="Arial" w:cs="Arial" w:eastAsia="Arial" w:hAnsi="Arial"/>
                <w:sz w:val="16"/>
                <w:szCs w:val="16"/>
                <w:color w:val="auto"/>
              </w:rPr>
              <w:t>27.2 %</w:t>
            </w:r>
          </w:p>
        </w:tc>
      </w:tr>
      <w:tr>
        <w:trPr>
          <w:trHeight w:val="251"/>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20,602</w:t>
            </w: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2,269</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19,866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2,280</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736</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3.7 %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2140" w:type="dxa"/>
            <w:vAlign w:val="bottom"/>
            <w:gridSpan w:val="3"/>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4,350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0"/>
                <w:szCs w:val="20"/>
                <w:color w:val="auto"/>
              </w:rPr>
            </w:pPr>
          </w:p>
        </w:tc>
        <w:tc>
          <w:tcPr>
            <w:tcW w:w="1220" w:type="dxa"/>
            <w:vAlign w:val="bottom"/>
            <w:gridSpan w:val="4"/>
          </w:tcPr>
          <w:p>
            <w:pPr>
              <w:jc w:val="right"/>
              <w:ind w:right="19"/>
              <w:spacing w:after="0"/>
              <w:rPr>
                <w:sz w:val="20"/>
                <w:szCs w:val="20"/>
                <w:color w:val="auto"/>
              </w:rPr>
            </w:pPr>
            <w:r>
              <w:rPr>
                <w:rFonts w:ascii="Arial" w:cs="Arial" w:eastAsia="Arial" w:hAnsi="Arial"/>
                <w:sz w:val="16"/>
                <w:szCs w:val="16"/>
                <w:color w:val="auto"/>
              </w:rPr>
              <w:t>18.7 %</w:t>
            </w:r>
          </w:p>
        </w:tc>
        <w:tc>
          <w:tcPr>
            <w:tcW w:w="10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51"/>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29,095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22,731</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6,364</w:t>
            </w:r>
          </w:p>
        </w:tc>
        <w:tc>
          <w:tcPr>
            <w:tcW w:w="16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193.3 %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28.0 %</w:t>
            </w:r>
          </w:p>
        </w:tc>
      </w:tr>
      <w:tr>
        <w:trPr>
          <w:trHeight w:val="237"/>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5,953</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5,455</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60" w:type="dxa"/>
            <w:vAlign w:val="bottom"/>
            <w:tcBorders>
              <w:bottom w:val="single" w:sz="8" w:color="D5DCE4"/>
            </w:tcBorders>
          </w:tcPr>
          <w:p>
            <w:pPr>
              <w:spacing w:after="0"/>
              <w:rPr>
                <w:sz w:val="20"/>
                <w:szCs w:val="20"/>
                <w:color w:val="auto"/>
              </w:rPr>
            </w:pPr>
          </w:p>
        </w:tc>
        <w:tc>
          <w:tcPr>
            <w:tcW w:w="40" w:type="dxa"/>
            <w:vAlign w:val="bottom"/>
            <w:tcBorders>
              <w:bottom w:val="single" w:sz="8" w:color="D5DCE4"/>
            </w:tcBorders>
          </w:tcPr>
          <w:p>
            <w:pPr>
              <w:spacing w:after="0"/>
              <w:rPr>
                <w:sz w:val="20"/>
                <w:szCs w:val="20"/>
                <w:color w:val="auto"/>
              </w:rPr>
            </w:pPr>
          </w:p>
        </w:tc>
        <w:tc>
          <w:tcPr>
            <w:tcW w:w="5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580" w:type="dxa"/>
            <w:vAlign w:val="bottom"/>
            <w:tcBorders>
              <w:bottom w:val="single" w:sz="8" w:color="D5DCE4"/>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9.1 %</w:t>
            </w:r>
          </w:p>
        </w:tc>
      </w:tr>
      <w:tr>
        <w:trPr>
          <w:trHeight w:val="263"/>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294,850</w:t>
            </w:r>
          </w:p>
        </w:tc>
        <w:tc>
          <w:tcPr>
            <w:tcW w:w="460" w:type="dxa"/>
            <w:vAlign w:val="bottom"/>
            <w:gridSpan w:val="3"/>
            <w:shd w:val="clear" w:color="auto" w:fill="D5DCE4"/>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110,101</w:t>
            </w:r>
          </w:p>
        </w:tc>
        <w:tc>
          <w:tcPr>
            <w:tcW w:w="14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210,368</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100,245</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84,482</w:t>
            </w:r>
          </w:p>
        </w:tc>
        <w:tc>
          <w:tcPr>
            <w:tcW w:w="80" w:type="dxa"/>
            <w:vAlign w:val="bottom"/>
            <w:shd w:val="clear" w:color="auto" w:fill="D5DCE4"/>
          </w:tcPr>
          <w:p>
            <w:pPr>
              <w:spacing w:after="0"/>
              <w:rPr>
                <w:sz w:val="22"/>
                <w:szCs w:val="22"/>
                <w:color w:val="auto"/>
              </w:rPr>
            </w:pPr>
          </w:p>
        </w:tc>
        <w:tc>
          <w:tcPr>
            <w:tcW w:w="1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9,856</w:t>
            </w:r>
          </w:p>
        </w:tc>
        <w:tc>
          <w:tcPr>
            <w:tcW w:w="160" w:type="dxa"/>
            <w:vAlign w:val="bottom"/>
            <w:shd w:val="clear" w:color="auto" w:fill="D5DCE4"/>
          </w:tcPr>
          <w:p>
            <w:pPr>
              <w:spacing w:after="0"/>
              <w:rPr>
                <w:sz w:val="22"/>
                <w:szCs w:val="22"/>
                <w:color w:val="auto"/>
              </w:rPr>
            </w:pPr>
          </w:p>
        </w:tc>
        <w:tc>
          <w:tcPr>
            <w:tcW w:w="1220" w:type="dxa"/>
            <w:vAlign w:val="bottom"/>
            <w:gridSpan w:val="4"/>
            <w:shd w:val="clear" w:color="auto" w:fill="D5DCE4"/>
          </w:tcPr>
          <w:p>
            <w:pPr>
              <w:jc w:val="right"/>
              <w:ind w:right="19"/>
              <w:spacing w:after="0"/>
              <w:rPr>
                <w:sz w:val="20"/>
                <w:szCs w:val="20"/>
                <w:color w:val="auto"/>
              </w:rPr>
            </w:pPr>
            <w:r>
              <w:rPr>
                <w:rFonts w:ascii="Arial" w:cs="Arial" w:eastAsia="Arial" w:hAnsi="Arial"/>
                <w:sz w:val="16"/>
                <w:szCs w:val="16"/>
                <w:color w:val="auto"/>
              </w:rPr>
              <w:t>40.2 %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9.8 %</w:t>
            </w:r>
          </w:p>
        </w:tc>
      </w:tr>
      <w:tr>
        <w:trPr>
          <w:trHeight w:val="20"/>
        </w:trPr>
        <w:tc>
          <w:tcPr>
            <w:tcW w:w="194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r>
      <w:tr>
        <w:trPr>
          <w:trHeight w:val="837"/>
        </w:trPr>
        <w:tc>
          <w:tcPr>
            <w:tcW w:w="2280" w:type="dxa"/>
            <w:vAlign w:val="bottom"/>
            <w:gridSpan w:val="4"/>
          </w:tcPr>
          <w:p>
            <w:pPr>
              <w:spacing w:after="0"/>
              <w:rPr>
                <w:sz w:val="20"/>
                <w:szCs w:val="20"/>
                <w:color w:val="auto"/>
              </w:rPr>
            </w:pPr>
            <w:r>
              <w:rPr>
                <w:rFonts w:ascii="Arial" w:cs="Arial" w:eastAsia="Arial" w:hAnsi="Arial"/>
                <w:sz w:val="16"/>
                <w:szCs w:val="16"/>
                <w:b w:val="1"/>
                <w:bCs w:val="1"/>
                <w:color w:val="083566"/>
              </w:rPr>
              <w:t>TRADEWEB MARKETS INC.</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6820" w:type="dxa"/>
            <w:vAlign w:val="bottom"/>
            <w:gridSpan w:val="18"/>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99"/>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4"/>
        </w:trPr>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June 30,</w:t>
            </w: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194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6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6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4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6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2.00</w:t>
            </w:r>
          </w:p>
        </w:tc>
        <w:tc>
          <w:tcPr>
            <w:tcW w:w="80" w:type="dxa"/>
            <w:vAlign w:val="bottom"/>
            <w:shd w:val="clear" w:color="auto" w:fill="D5DCE4"/>
          </w:tcPr>
          <w:p>
            <w:pPr>
              <w:spacing w:after="0"/>
              <w:rPr>
                <w:sz w:val="20"/>
                <w:szCs w:val="20"/>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0"/>
                <w:szCs w:val="20"/>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2.10</w:t>
            </w:r>
          </w:p>
        </w:tc>
        <w:tc>
          <w:tcPr>
            <w:tcW w:w="80" w:type="dxa"/>
            <w:vAlign w:val="bottom"/>
            <w:shd w:val="clear" w:color="auto" w:fill="D5DCE4"/>
          </w:tcPr>
          <w:p>
            <w:pPr>
              <w:spacing w:after="0"/>
              <w:rPr>
                <w:sz w:val="20"/>
                <w:szCs w:val="20"/>
                <w:color w:val="auto"/>
              </w:rPr>
            </w:pPr>
          </w:p>
        </w:tc>
        <w:tc>
          <w:tcPr>
            <w:tcW w:w="58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w:t>
            </w:r>
          </w:p>
        </w:tc>
      </w:tr>
      <w:tr>
        <w:trPr>
          <w:trHeight w:val="235"/>
        </w:trPr>
        <w:tc>
          <w:tcPr>
            <w:tcW w:w="2140" w:type="dxa"/>
            <w:vAlign w:val="bottom"/>
            <w:gridSpan w:val="3"/>
          </w:tcPr>
          <w:p>
            <w:pPr>
              <w:ind w:left="140"/>
              <w:spacing w:after="0"/>
              <w:rPr>
                <w:sz w:val="20"/>
                <w:szCs w:val="20"/>
                <w:color w:val="auto"/>
              </w:rPr>
            </w:pPr>
            <w:r>
              <w:rPr>
                <w:rFonts w:ascii="Arial" w:cs="Arial" w:eastAsia="Arial" w:hAnsi="Arial"/>
                <w:sz w:val="16"/>
                <w:szCs w:val="16"/>
                <w:color w:val="auto"/>
              </w:rPr>
              <w:t>Rates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51"/>
        </w:trPr>
        <w:tc>
          <w:tcPr>
            <w:tcW w:w="214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w:t>
            </w:r>
          </w:p>
        </w:tc>
      </w:tr>
      <w:tr>
        <w:trPr>
          <w:trHeight w:val="235"/>
        </w:trPr>
        <w:tc>
          <w:tcPr>
            <w:tcW w:w="3060" w:type="dxa"/>
            <w:vAlign w:val="bottom"/>
            <w:gridSpan w:val="5"/>
          </w:tcPr>
          <w:p>
            <w:pPr>
              <w:ind w:left="240"/>
              <w:spacing w:after="0"/>
              <w:rPr>
                <w:sz w:val="20"/>
                <w:szCs w:val="20"/>
                <w:color w:val="auto"/>
              </w:rPr>
            </w:pPr>
            <w:r>
              <w:rPr>
                <w:rFonts w:ascii="Arial" w:cs="Arial" w:eastAsia="Arial" w:hAnsi="Arial"/>
                <w:sz w:val="16"/>
                <w:szCs w:val="16"/>
                <w:color w:val="auto"/>
              </w:rPr>
              <w:t>Rates Derivatives (greater than 1 year)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2140" w:type="dxa"/>
            <w:vAlign w:val="bottom"/>
            <w:gridSpan w:val="3"/>
            <w:shd w:val="clear" w:color="auto" w:fill="D5DCE4"/>
          </w:tcPr>
          <w:p>
            <w:pPr>
              <w:ind w:left="240"/>
              <w:spacing w:after="0"/>
              <w:rPr>
                <w:sz w:val="20"/>
                <w:szCs w:val="20"/>
                <w:color w:val="auto"/>
              </w:rPr>
            </w:pPr>
            <w:r>
              <w:rPr>
                <w:rFonts w:ascii="Arial" w:cs="Arial" w:eastAsia="Arial" w:hAnsi="Arial"/>
                <w:sz w:val="16"/>
                <w:szCs w:val="16"/>
                <w:color w:val="auto"/>
                <w:w w:val="98"/>
              </w:rPr>
              <w:t xml:space="preserve">Other Rates Derivatives </w:t>
            </w:r>
            <w:r>
              <w:rPr>
                <w:rFonts w:ascii="Arial" w:cs="Arial" w:eastAsia="Arial" w:hAnsi="Arial"/>
                <w:sz w:val="21"/>
                <w:szCs w:val="21"/>
                <w:color w:val="auto"/>
                <w:w w:val="98"/>
                <w:vertAlign w:val="superscript"/>
              </w:rPr>
              <w:t>(1)</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2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55.33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65.37</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(15.4)%</w:t>
            </w:r>
          </w:p>
        </w:tc>
      </w:tr>
      <w:tr>
        <w:trPr>
          <w:trHeight w:val="243"/>
        </w:trPr>
        <w:tc>
          <w:tcPr>
            <w:tcW w:w="2140" w:type="dxa"/>
            <w:vAlign w:val="bottom"/>
            <w:gridSpan w:val="3"/>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145.18</w:t>
            </w:r>
          </w:p>
        </w:tc>
        <w:tc>
          <w:tcPr>
            <w:tcW w:w="8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164.93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43"/>
        </w:trPr>
        <w:tc>
          <w:tcPr>
            <w:tcW w:w="4440" w:type="dxa"/>
            <w:vAlign w:val="bottom"/>
            <w:gridSpan w:val="10"/>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7.76</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8.52</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15.39</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16.60</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(7.3)%</w:t>
            </w:r>
          </w:p>
        </w:tc>
      </w:tr>
      <w:tr>
        <w:trPr>
          <w:trHeight w:val="235"/>
        </w:trPr>
        <w:tc>
          <w:tcPr>
            <w:tcW w:w="2140" w:type="dxa"/>
            <w:vAlign w:val="bottom"/>
            <w:gridSpan w:val="3"/>
          </w:tcPr>
          <w:p>
            <w:pPr>
              <w:ind w:left="140"/>
              <w:spacing w:after="0"/>
              <w:rPr>
                <w:sz w:val="20"/>
                <w:szCs w:val="20"/>
                <w:color w:val="auto"/>
              </w:rPr>
            </w:pPr>
            <w:r>
              <w:rPr>
                <w:rFonts w:ascii="Arial" w:cs="Arial" w:eastAsia="Arial" w:hAnsi="Arial"/>
                <w:sz w:val="16"/>
                <w:szCs w:val="16"/>
                <w:color w:val="auto"/>
              </w:rPr>
              <w:t>Equities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26.59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1"/>
        </w:trPr>
        <w:tc>
          <w:tcPr>
            <w:tcW w:w="2140" w:type="dxa"/>
            <w:vAlign w:val="bottom"/>
            <w:gridSpan w:val="3"/>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6.14</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2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0.35</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0.38</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w:t>
            </w:r>
          </w:p>
        </w:tc>
      </w:tr>
      <w:tr>
        <w:trPr>
          <w:trHeight w:val="216"/>
        </w:trPr>
        <w:tc>
          <w:tcPr>
            <w:tcW w:w="2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40" w:type="dxa"/>
            <w:vAlign w:val="bottom"/>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2.43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2.60</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(6.3)%</w:t>
            </w:r>
          </w:p>
        </w:tc>
      </w:tr>
      <w:tr>
        <w:trPr>
          <w:trHeight w:val="302"/>
        </w:trPr>
        <w:tc>
          <w:tcPr>
            <w:tcW w:w="3520" w:type="dxa"/>
            <w:vAlign w:val="bottom"/>
            <w:gridSpan w:val="8"/>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rPr>
              <w:t>2.88</w:t>
            </w:r>
          </w:p>
        </w:tc>
        <w:tc>
          <w:tcPr>
            <w:tcW w:w="8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2.92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2024 Q2</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4"/>
          </w:tcPr>
          <w:p>
            <w:pPr>
              <w:ind w:left="760"/>
              <w:spacing w:after="0"/>
              <w:rPr>
                <w:sz w:val="20"/>
                <w:szCs w:val="20"/>
                <w:color w:val="auto"/>
              </w:rPr>
            </w:pPr>
            <w:r>
              <w:rPr>
                <w:rFonts w:ascii="Arial" w:cs="Arial" w:eastAsia="Arial" w:hAnsi="Arial"/>
                <w:sz w:val="16"/>
                <w:szCs w:val="16"/>
                <w:b w:val="1"/>
                <w:bCs w:val="1"/>
                <w:color w:val="auto"/>
              </w:rPr>
              <w:t>2023 Q2</w:t>
            </w: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462,335</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29,121,086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344,674</w:t>
            </w:r>
          </w:p>
        </w:tc>
        <w:tc>
          <w:tcPr>
            <w:tcW w:w="16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21,627,623</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34.14 %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202,460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12,754,982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135,128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8,513,069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49.83 %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45,699</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2,879,044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40,694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2,482,305</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203,813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12,840,218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163,359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10,291,618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10,363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646,843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5,493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340,631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88.66 %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787,132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49,552,512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429,285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26,633,837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83.36 %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466,923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29,396,323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273,533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16,961,570</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70.70 %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310,657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19,558,079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154,332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9,582,824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101.29 %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9,552</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598,110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1,420</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572.51 %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1,249,467</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78,673,598</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773,959</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48,261,459</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16,844</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1,047,204</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10,627</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662,558</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58.50 %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408,223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249,667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4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2,913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183,514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2,694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169,696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35,765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60" w:type="dxa"/>
            <w:vAlign w:val="bottom"/>
            <w:shd w:val="clear" w:color="auto" w:fill="D5DCE4"/>
          </w:tcPr>
          <w:p>
            <w:pPr>
              <w:spacing w:after="0"/>
              <w:rPr>
                <w:sz w:val="18"/>
                <w:szCs w:val="18"/>
                <w:color w:val="auto"/>
              </w:rPr>
            </w:pPr>
          </w:p>
        </w:tc>
        <w:tc>
          <w:tcPr>
            <w:tcW w:w="240" w:type="dxa"/>
            <w:vAlign w:val="bottom"/>
            <w:tcBorders>
              <w:right w:val="single" w:sz="8" w:color="D5DCE4"/>
            </w:tcBorders>
            <w:shd w:val="clear" w:color="auto" w:fill="D5DCE4"/>
          </w:tcPr>
          <w:p>
            <w:pPr>
              <w:spacing w:after="0"/>
              <w:rPr>
                <w:sz w:val="18"/>
                <w:szCs w:val="18"/>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w:t>
            </w: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247</w:t>
            </w:r>
          </w:p>
        </w:tc>
        <w:tc>
          <w:tcPr>
            <w:tcW w:w="42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15,549</w:t>
            </w:r>
          </w:p>
        </w:tc>
        <w:tc>
          <w:tcPr>
            <w:tcW w:w="100" w:type="dxa"/>
            <w:vAlign w:val="bottom"/>
            <w:tcBorders>
              <w:right w:val="single" w:sz="8" w:color="D5DCE4"/>
            </w:tcBorders>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4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317</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19,998</w:t>
            </w:r>
          </w:p>
        </w:tc>
        <w:tc>
          <w:tcPr>
            <w:tcW w:w="10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D5DCE4"/>
          </w:tcPr>
          <w:p>
            <w:pPr>
              <w:spacing w:after="0"/>
              <w:rPr>
                <w:sz w:val="10"/>
                <w:szCs w:val="10"/>
                <w:color w:val="auto"/>
              </w:rPr>
            </w:pPr>
          </w:p>
        </w:tc>
        <w:tc>
          <w:tcPr>
            <w:tcW w:w="240" w:type="dxa"/>
            <w:vAlign w:val="bottom"/>
            <w:tcBorders>
              <w:right w:val="single" w:sz="8" w:color="D5DCE4"/>
            </w:tcBorders>
            <w:shd w:val="clear" w:color="auto" w:fill="D5DCE4"/>
          </w:tcPr>
          <w:p>
            <w:pPr>
              <w:spacing w:after="0"/>
              <w:rPr>
                <w:sz w:val="10"/>
                <w:szCs w:val="10"/>
                <w:color w:val="auto"/>
              </w:rPr>
            </w:pPr>
          </w:p>
        </w:tc>
        <w:tc>
          <w:tcPr>
            <w:tcW w:w="300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42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4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960" w:type="dxa"/>
            <w:vAlign w:val="bottom"/>
            <w:tcBorders>
              <w:bottom w:val="single" w:sz="8" w:color="D5DCE4"/>
            </w:tcBorders>
            <w:shd w:val="clear" w:color="auto" w:fill="D5DCE4"/>
          </w:tcPr>
          <w:p>
            <w:pPr>
              <w:spacing w:after="0"/>
              <w:rPr>
                <w:sz w:val="9"/>
                <w:szCs w:val="9"/>
                <w:color w:val="auto"/>
              </w:rPr>
            </w:pPr>
          </w:p>
        </w:tc>
        <w:tc>
          <w:tcPr>
            <w:tcW w:w="240" w:type="dxa"/>
            <w:vAlign w:val="bottom"/>
            <w:tcBorders>
              <w:bottom w:val="single" w:sz="8" w:color="D5DCE4"/>
              <w:right w:val="single" w:sz="8" w:color="D5DCE4"/>
            </w:tcBorders>
            <w:shd w:val="clear" w:color="auto" w:fill="D5DCE4"/>
          </w:tcPr>
          <w:p>
            <w:pPr>
              <w:spacing w:after="0"/>
              <w:rPr>
                <w:sz w:val="9"/>
                <w:szCs w:val="9"/>
                <w:color w:val="auto"/>
              </w:rPr>
            </w:pPr>
          </w:p>
        </w:tc>
        <w:tc>
          <w:tcPr>
            <w:tcW w:w="300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4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4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147,618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119,461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369</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23,274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19,412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205,061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42,505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15,253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6,054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147.63 %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12,863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810,324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8,362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520,513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53.83 %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12,863</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810,324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8,362</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520,513</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53.83 %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29,707</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1,857,527</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18,989</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1,183,071</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9,937</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626,031</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9,913</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612,227</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0.24 %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459,042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7,547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467,930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2,651</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166,989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2,366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144,297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12.05 %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11,318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713,035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9,444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584,528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19.85 %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7,982</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502,841</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6,340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392,306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210,194</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3,103</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192,221</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21,255</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1,339,066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19,356</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1,196,755</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9.81 %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3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621,840</w:t>
            </w: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39,173,818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484,304</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30,339,263</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600,947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37,859,666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465,955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29,184,397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1,314,152</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18,349</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1,154,866</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621,840</w:t>
            </w:r>
          </w:p>
        </w:tc>
        <w:tc>
          <w:tcPr>
            <w:tcW w:w="4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39,173,818</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484,304</w:t>
            </w:r>
          </w:p>
        </w:tc>
        <w:tc>
          <w:tcPr>
            <w:tcW w:w="16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30,339,263</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28.40 %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290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60" w:type="dxa"/>
            <w:vAlign w:val="bottom"/>
            <w:shd w:val="clear" w:color="auto" w:fill="D5DCE4"/>
          </w:tcPr>
          <w:p>
            <w:pPr>
              <w:spacing w:after="0"/>
              <w:rPr>
                <w:sz w:val="16"/>
                <w:szCs w:val="16"/>
                <w:color w:val="auto"/>
              </w:rPr>
            </w:pPr>
          </w:p>
        </w:tc>
        <w:tc>
          <w:tcPr>
            <w:tcW w:w="240" w:type="dxa"/>
            <w:vAlign w:val="bottom"/>
            <w:tcBorders>
              <w:right w:val="single" w:sz="8" w:color="D5DCE4"/>
            </w:tcBorders>
            <w:shd w:val="clear" w:color="auto" w:fill="D5DCE4"/>
          </w:tcPr>
          <w:p>
            <w:pPr>
              <w:spacing w:after="0"/>
              <w:rPr>
                <w:sz w:val="16"/>
                <w:szCs w:val="16"/>
                <w:color w:val="auto"/>
              </w:rPr>
            </w:pPr>
          </w:p>
        </w:tc>
        <w:tc>
          <w:tcPr>
            <w:tcW w:w="290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420" w:type="dxa"/>
            <w:vAlign w:val="bottom"/>
            <w:shd w:val="clear" w:color="auto" w:fill="D5DCE4"/>
          </w:tcPr>
          <w:p>
            <w:pPr>
              <w:spacing w:after="0"/>
              <w:rPr>
                <w:sz w:val="16"/>
                <w:szCs w:val="16"/>
                <w:color w:val="auto"/>
              </w:rPr>
            </w:pPr>
          </w:p>
        </w:tc>
        <w:tc>
          <w:tcPr>
            <w:tcW w:w="102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4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90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6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1,922,270</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121,044,010</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1,296,607</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80,980,548</w:t>
            </w: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440" w:right="520" w:hanging="414"/>
        <w:spacing w:after="0" w:line="294"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acquired Yieldbroker on August 31, 2023 and acquired r8fin on January 19, 2024. Total volume reported includes volumes from each acquired business subsequent to the closing date of the applicable acquisition.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1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6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35"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interim financial results presented herein for the three and six months ended June 30, 2024 and 2023 are unaudited. Operating results for interim periods are not necessarily indicative of the results that may be expected for the full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2024 guidance and full-year 2024 and 2025 revenue guidance related to the LSEG market data license agreement, pending acquisitions, future performance, the industry and markets in which we operate, our expectations, beliefs, plans, strategies, objectives, prospects and assumptions and future events are forward-looking statements.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3"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45"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10</w:t>
      </w:r>
    </w:p>
    <w:p>
      <w:pPr>
        <w:sectPr>
          <w:pgSz w:w="11900" w:h="16838" w:orient="portrait"/>
          <w:cols w:equalWidth="0" w:num="1">
            <w:col w:w="11240"/>
          </w:cols>
          <w:pgMar w:left="320" w:top="989" w:right="339" w:bottom="1440" w:gutter="0" w:footer="0" w:header="0"/>
          <w:type w:val="continuous"/>
        </w:sectPr>
      </w:pPr>
    </w:p>
    <w:bookmarkStart w:id="13" w:name="page14"/>
    <w:bookmarkEnd w:id="13"/>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2024-07-25T06:09:17Z</dcterms:created>
  <dcterms:modified xsi:type="dcterms:W3CDTF">2024-07-25T06:09:17Z</dcterms:modified>
</cp:coreProperties>
</file>