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03/15/2021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5,865</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67,318</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ind w:left="40" w:right="1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22,004 unvested RSUs in respect of the Class A Common Stock which are scheduled to vest on January 1, 2022, (ii) 6,989 unvested RSUs in respect of Class A Common Stock which are scheduled to vest in equal installments on each of March 17, 2022 and March 17, 2023, (iii) 20,966 unvested RSUs in respect of Class A Common Stock which are scheduled to vest on January 1, 2023, and (iv) 5,865 unvested RSUs in respect of Class A Common Stock which are scheduled to vest as described in footnote 1 to this Form 4, in each case subject to the reporting person's continued employment through the applicable vesting date. In addition, this amount includes 3,494 RSUs which are fully vested as of the date hereof and will be settled in shares of Class A Common Stock on March 18, 2021.</w:t>
      </w:r>
    </w:p>
    <w:p>
      <w:pPr>
        <w:spacing w:after="0" w:line="23"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03/17/2021</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Arial" w:cs="Arial" w:eastAsia="Arial" w:hAnsi="Arial"/>
                <w:sz w:val="17"/>
                <w:szCs w:val="17"/>
                <w:color w:val="0000FF"/>
                <w:w w:val="92"/>
              </w:rPr>
              <w:t>Fact for Robert Warshaw</w:t>
            </w:r>
          </w:p>
        </w:tc>
        <w:tc>
          <w:tcPr>
            <w:tcW w:w="3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2021-03-17T20:27:18Z</dcterms:created>
  <dcterms:modified xsi:type="dcterms:W3CDTF">2021-03-17T20:27:18Z</dcterms:modified>
</cp:coreProperties>
</file>