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930713.xml.htm"/>
      <w:bookmarkStart w:id="1" w:name="kswkform4_17709307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5"/>
        <w:gridCol w:w="931"/>
        <w:gridCol w:w="799"/>
        <w:gridCol w:w="618"/>
        <w:gridCol w:w="346"/>
        <w:gridCol w:w="924"/>
        <w:gridCol w:w="430"/>
        <w:gridCol w:w="1103"/>
        <w:gridCol w:w="1135"/>
        <w:gridCol w:w="98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11,254</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115.4686</w:t>
            </w:r>
            <w:r>
              <w:rPr>
                <w:rFonts w:ascii="Times;serif" w:hAnsi="Times;serif"/>
                <w:color w:val="008000"/>
                <w:position w:val="7"/>
                <w:sz w:val="16"/>
                <w:sz w:val="20"/>
                <w:shd w:fill="FFFFFF" w:val="clear"/>
              </w:rPr>
              <w:t>(2)</w:t>
            </w:r>
            <w:r>
              <w:rPr/>
              <w:t xml:space="preserve"> </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58,841</w:t>
            </w:r>
            <w:r>
              <w:rPr>
                <w:rFonts w:ascii="Times;serif" w:hAnsi="Times;serif"/>
                <w:color w:val="008000"/>
                <w:position w:val="7"/>
                <w:sz w:val="16"/>
                <w:sz w:val="20"/>
                <w:shd w:fill="FFFFFF" w:val="clear"/>
              </w:rPr>
              <w:t>(3)</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$113.525 to $116.86,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amount includes (i) 4,576 unvested restricted stock units ("RSUs") in respect of the issuer's Class A common stock ("Class A Common Stock") that are scheduled to vest on March 15, 2026, (ii) 5,095 unvested RSUs in respect of Class A Common Stock that are scheduled to vest in equal installments on March 15, 2026 and March 15, 2027, and (iii) 6,728 unvested RSUs in respect of Class A Common Stock that are scheduled to vest in equal installments on March 17, 2026, March 17, 2027 and March 17, 2028,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Justin Peterson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7231"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767</Words>
  <Characters>4099</Characters>
  <CharactersWithSpaces>4804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