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Hult William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11/08/2022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97"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11/08/2022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G</w:t>
            </w:r>
          </w:p>
        </w:tc>
        <w:tc>
          <w:tcPr>
            <w:tcW w:w="32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V</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1,770</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211,856</w:t>
            </w:r>
            <w:r>
              <w:rPr>
                <w:rFonts w:ascii="Arial" w:cs="Arial" w:eastAsia="Arial" w:hAnsi="Arial"/>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14,364 unvested restricted stock units ("RSUs") in respect of the issuer's Class A common stock ("Class A Common Stock") that are scheduled to vest on March 17, 2023, (ii) 86,184 unvested RSUs in respect of Class A Common Stock that are scheduled to vest on January 1, 2023, (iii) 16,563 unvested RSUs in respect of Class A Common Stock that are scheduled to vest in equal installments on each of March 15, 2023 and March 15, 2024, (iv) 49,688 unvested RSUs in respect of Class A Common Stock that are scheduled to vest on January 1, 2024 and (v) 25,963 unvested RSUs in respect of Class A Common Stock that are scheduled to vest in equal installments on each of March 15, 2023, March 15, 2024 and March 15, 2025, in each case, subject to the reporting person's continued employment through the applicable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11/09/2022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William Hult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4"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2022-11-09T15:31:58Z</dcterms:created>
  <dcterms:modified xsi:type="dcterms:W3CDTF">2022-11-09T15:31:58Z</dcterms:modified>
</cp:coreProperties>
</file>