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Clack Amy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TRADEWEB MARKETS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1177 AVENUE OF THE AMERICAS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Tradeweb Markets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Administrative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15,566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15,566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47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is an award of restricted stock units ("RSUs") in respect of the issuer's Class A common stock ("Class A Common Stock"). Subject to the reporting person's continued employment through the applicable vesting date, these RSUs are scheduled to vest as follows: (i) 5,349 unvested RSUs in respect of Class A Common Stock that are scheduled to vest on January 1, 2025, (ii) 5,349 unvested RSUs in respect of Class A Common Stock that are scheduled to vest on January 1, 2026, (iii) 2,434 unvested RSUs in respect of Class A Common Stock that are scheduled to vest on January 1, 2027, and (iv) 2,434 unvested RSUs in respect of Class A Common Stock that are scheduled to vest on January 1, 2028.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amount includes (i) 5,349 unvested RSUs in respect of Class A Common Stock that are scheduled to vest on January 1, 2025, (ii) 5,349 unvested RSUs in respect of Class A Common Stock that are scheduled to vest on January 1, 2026, (iii) 2,434 unvested RSUs in respect of Class A Common Stock that are scheduled to vest on January 1, 2027, and (iv) 2,434 unvested RSUs in respect of Class A Common Stock that are scheduled to vest on January 1, 2028, in each case, subject to the reporting person's continued employment through the applicable vesting date.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Douglas Friedman,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747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Amy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Clack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565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30787" TargetMode="External"/><Relationship Id="rId14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2024-09-04T16:13:45Z</dcterms:created>
  <dcterms:modified xsi:type="dcterms:W3CDTF">2024-09-04T16:13:45Z</dcterms:modified>
</cp:coreProperties>
</file>