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03/20/2023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5"/>
              </w:rPr>
              <w:t>2,372</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75.04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w w:val="88"/>
              </w:rPr>
              <w:t>57,632</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03/20/2023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77"/>
                <w:vertAlign w:val="subscript"/>
              </w:rPr>
              <w:t>24</w:t>
            </w:r>
            <w:r>
              <w:rPr>
                <w:rFonts w:ascii="Arial" w:cs="Arial" w:eastAsia="Arial" w:hAnsi="Arial"/>
                <w:sz w:val="11"/>
                <w:szCs w:val="11"/>
                <w:color w:val="008000"/>
                <w:w w:val="77"/>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w w:val="88"/>
              </w:rPr>
              <w:t>57,656</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03/20/2023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2,956</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75.2057</w:t>
            </w:r>
            <w:r>
              <w:rPr>
                <w:rFonts w:ascii="Arial" w:cs="Arial" w:eastAsia="Arial" w:hAnsi="Arial"/>
                <w:sz w:val="22"/>
                <w:szCs w:val="22"/>
                <w:color w:val="008000"/>
                <w:w w:val="87"/>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w w:val="88"/>
              </w:rPr>
              <w:t>54,700</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03/22/2023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1,940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75.02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2"/>
              </w:rPr>
              <w:t>52,760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3,371 RSUs in respect of Class A Common Stock which are scheduled to vest on March 15, 2024, (ii) 14,832 RSUs in respect of Class A Common Stock which are scheduled to vest on January 1, 2024, (iii) 6,409 RSUs in respect of Class A Common Stock which are scheduled to vest in equal installments on March 15, 2024 and March 15, 2025, (iv) 12,419 unvested RSUs in respect of Class A Common Stock that are scheduled to vest on January 1, 2025, and (v) 13,729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5, 2022.</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$74.67 to $75.71, inclusive. The reporting person undertakes to provide the issuer, any security holder of the issuer, or the staff of the Securities and Exchange Commission, upon request, full information regarding the number of shares sold at each separate price within the ranges set forth in the footnote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2023-03-22T17:25:14Z</dcterms:created>
  <dcterms:modified xsi:type="dcterms:W3CDTF">2023-03-22T17:25:14Z</dcterms:modified>
</cp:coreProperties>
</file>