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Managing Director, Europe/Asia</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6,708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131.33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82,461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17"/>
              <w:spacing w:after="0" w:line="320" w:lineRule="exact"/>
              <w:rPr>
                <w:sz w:val="20"/>
                <w:szCs w:val="20"/>
                <w:color w:val="auto"/>
              </w:rPr>
            </w:pPr>
            <w:r>
              <w:rPr>
                <w:rFonts w:ascii="Times New Roman" w:cs="Times New Roman" w:eastAsia="Times New Roman" w:hAnsi="Times New Roman"/>
                <w:sz w:val="34"/>
                <w:szCs w:val="34"/>
                <w:color w:val="0000FF"/>
                <w:vertAlign w:val="subscript"/>
              </w:rPr>
              <w:t>62</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82,523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3,682 unvested RSUs in respect of the Class A Common Stock which are scheduled to vest on March 15, 2025, (ii) 11,879 unvested RSUs in respect of Class A Common Stock which are scheduled to vest in equal installments on March 15, 2025 and March 15, 2026, (iii) 32,305 unvested RSUs in respect of Class A Common Stock which are scheduled to vest on January 1, 2026, and (iv) 10,112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Enrico</w:t>
      </w:r>
      <w:r>
        <w:rPr>
          <w:sz w:val="20"/>
          <w:szCs w:val="20"/>
          <w:color w:val="auto"/>
        </w:rPr>
        <w:tab/>
      </w: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2025-01-03T17:09:15Z</dcterms:created>
  <dcterms:modified xsi:type="dcterms:W3CDTF">2025-01-03T17:09:15Z</dcterms:modified>
</cp:coreProperties>
</file>