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30, 2025</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April 30, 2025, Tradeweb Markets Inc. (the “Company”) issued a press release, a copy of which is furnished as Exhibit 99.1 hereto and incorporated herein by reference, announcing financial results for the quarter ended March 31, 2025.</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April 30, 2025, announcing First Quarter 2025 Financial Results.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540"/>
        <w:spacing w:after="0"/>
        <w:tabs>
          <w:tab w:leader="none" w:pos="814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540"/>
        <w:spacing w:after="0"/>
        <w:tabs>
          <w:tab w:leader="none" w:pos="8140" w:val="left"/>
        </w:tabs>
        <w:rPr>
          <w:sz w:val="20"/>
          <w:szCs w:val="20"/>
          <w:color w:val="auto"/>
        </w:rPr>
      </w:pPr>
      <w:r>
        <w:rPr>
          <w:rFonts w:ascii="Arial" w:cs="Arial" w:eastAsia="Arial" w:hAnsi="Arial"/>
          <w:sz w:val="16"/>
          <w:szCs w:val="16"/>
          <w:color w:val="auto"/>
        </w:rPr>
        <w:t>Sameer Murukutla + 1 646 767</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540"/>
        <w:spacing w:after="0"/>
        <w:tabs>
          <w:tab w:leader="none" w:pos="8140" w:val="left"/>
        </w:tabs>
        <w:rPr>
          <w:sz w:val="20"/>
          <w:szCs w:val="20"/>
          <w:color w:val="auto"/>
        </w:rPr>
      </w:pPr>
      <w:r>
        <w:rPr>
          <w:rFonts w:ascii="Arial" w:cs="Arial" w:eastAsia="Arial" w:hAnsi="Arial"/>
          <w:sz w:val="16"/>
          <w:szCs w:val="16"/>
          <w:color w:val="auto"/>
        </w:rPr>
        <w:t>4864</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Sameer.Murukutla@Tradeweb.com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FIRST QUARTER 2025 FINANCIAL RESULTS</w:t>
      </w:r>
    </w:p>
    <w:p>
      <w:pPr>
        <w:spacing w:after="0" w:line="222"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New York, April 30, 2025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300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3008630"/>
                    </a:xfrm>
                    <a:prstGeom prst="rect">
                      <a:avLst/>
                    </a:prstGeom>
                    <a:noFill/>
                  </pic:spPr>
                </pic:pic>
              </a:graphicData>
            </a:graphic>
          </wp:anchor>
        </w:drawing>
      </w:r>
    </w:p>
    <w:p>
      <w:pPr>
        <w:sectPr>
          <w:pgSz w:w="11900" w:h="16838" w:orient="portrait"/>
          <w:cols w:equalWidth="0" w:num="1">
            <w:col w:w="10840"/>
          </w:cols>
          <w:pgMar w:left="320" w:top="274" w:right="739" w:bottom="1440" w:gutter="0" w:footer="0" w:header="0"/>
        </w:sectPr>
      </w:pPr>
    </w:p>
    <w:p>
      <w:pPr>
        <w:spacing w:after="0" w:line="115"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$509.7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24.7% </w:t>
      </w:r>
      <w:r>
        <w:rPr>
          <w:rFonts w:ascii="Arial" w:cs="Arial" w:eastAsia="Arial" w:hAnsi="Arial"/>
          <w:sz w:val="16"/>
          <w:szCs w:val="16"/>
          <w:color w:val="auto"/>
        </w:rPr>
        <w:t>(</w:t>
      </w:r>
      <w:r>
        <w:rPr>
          <w:rFonts w:ascii="Arial" w:cs="Arial" w:eastAsia="Arial" w:hAnsi="Arial"/>
          <w:sz w:val="16"/>
          <w:szCs w:val="16"/>
          <w:b w:val="1"/>
          <w:bCs w:val="1"/>
          <w:color w:val="auto"/>
        </w:rPr>
        <w:t xml:space="preserve">25.8%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0" w:lineRule="auto"/>
        <w:rPr>
          <w:sz w:val="20"/>
          <w:szCs w:val="20"/>
          <w:color w:val="auto"/>
        </w:rPr>
      </w:pPr>
      <w:r>
        <w:rPr>
          <w:rFonts w:ascii="Arial" w:cs="Arial" w:eastAsia="Arial" w:hAnsi="Arial"/>
          <w:sz w:val="16"/>
          <w:szCs w:val="16"/>
          <w:b w:val="1"/>
          <w:bCs w:val="1"/>
          <w:color w:val="auto"/>
        </w:rPr>
        <w:t xml:space="preserve">$2.5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33.7% </w:t>
      </w:r>
      <w:r>
        <w:rPr>
          <w:rFonts w:ascii="Arial" w:cs="Arial" w:eastAsia="Arial" w:hAnsi="Arial"/>
          <w:sz w:val="16"/>
          <w:szCs w:val="16"/>
          <w:color w:val="auto"/>
        </w:rPr>
        <w:t>compared to prior year period; quarterly ADV records in U.S. government bonds, European government bonds, mortgages, U.S. swaps/swaptions ≥ 1-year, fully electronic U.S. high grade credit, fully electronic U.S. high yield credit, European credit, credit swaps, and global repurchase agreements</w:t>
      </w:r>
    </w:p>
    <w:p>
      <w:pPr>
        <w:spacing w:after="0" w:line="83" w:lineRule="exact"/>
        <w:rPr>
          <w:sz w:val="20"/>
          <w:szCs w:val="20"/>
          <w:color w:val="auto"/>
        </w:rPr>
      </w:pPr>
    </w:p>
    <w:p>
      <w:pPr>
        <w:ind w:left="20" w:right="460"/>
        <w:spacing w:after="0" w:line="296" w:lineRule="auto"/>
        <w:rPr>
          <w:sz w:val="20"/>
          <w:szCs w:val="20"/>
          <w:color w:val="auto"/>
        </w:rPr>
      </w:pPr>
      <w:r>
        <w:rPr>
          <w:rFonts w:ascii="Arial" w:cs="Arial" w:eastAsia="Arial" w:hAnsi="Arial"/>
          <w:sz w:val="16"/>
          <w:szCs w:val="16"/>
          <w:b w:val="1"/>
          <w:bCs w:val="1"/>
          <w:color w:val="auto"/>
        </w:rPr>
        <w:t xml:space="preserve">$168.3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$205.7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17.4%</w:t>
      </w:r>
      <w:r>
        <w:rPr>
          <w:rFonts w:ascii="Arial" w:cs="Arial" w:eastAsia="Arial" w:hAnsi="Arial"/>
          <w:sz w:val="16"/>
          <w:szCs w:val="16"/>
          <w:color w:val="auto"/>
        </w:rPr>
        <w:t xml:space="preserve"> and </w:t>
      </w:r>
      <w:r>
        <w:rPr>
          <w:rFonts w:ascii="Arial" w:cs="Arial" w:eastAsia="Arial" w:hAnsi="Arial"/>
          <w:sz w:val="16"/>
          <w:szCs w:val="16"/>
          <w:b w:val="1"/>
          <w:bCs w:val="1"/>
          <w:color w:val="auto"/>
        </w:rPr>
        <w:t>22.5%</w:t>
      </w:r>
      <w:r>
        <w:rPr>
          <w:rFonts w:ascii="Arial" w:cs="Arial" w:eastAsia="Arial" w:hAnsi="Arial"/>
          <w:sz w:val="16"/>
          <w:szCs w:val="16"/>
          <w:color w:val="auto"/>
        </w:rPr>
        <w:t xml:space="preserve"> respectively from prior year period</w:t>
      </w:r>
    </w:p>
    <w:p>
      <w:pPr>
        <w:spacing w:after="0" w:line="46"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54.6%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$278.2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53.7% and $219.5 million respectively for prior year period</w:t>
      </w:r>
    </w:p>
    <w:p>
      <w:pPr>
        <w:spacing w:after="0" w:line="48" w:lineRule="exact"/>
        <w:rPr>
          <w:sz w:val="20"/>
          <w:szCs w:val="20"/>
          <w:color w:val="auto"/>
        </w:rPr>
      </w:pPr>
    </w:p>
    <w:p>
      <w:pPr>
        <w:ind w:left="20" w:right="380"/>
        <w:spacing w:after="0" w:line="304" w:lineRule="auto"/>
        <w:rPr>
          <w:sz w:val="20"/>
          <w:szCs w:val="20"/>
          <w:color w:val="auto"/>
        </w:rPr>
      </w:pPr>
      <w:r>
        <w:rPr>
          <w:rFonts w:ascii="Arial" w:cs="Arial" w:eastAsia="Arial" w:hAnsi="Arial"/>
          <w:sz w:val="16"/>
          <w:szCs w:val="16"/>
          <w:b w:val="1"/>
          <w:bCs w:val="1"/>
          <w:color w:val="auto"/>
        </w:rPr>
        <w:t xml:space="preserve">$0.69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$0.86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33" w:lineRule="exact"/>
        <w:rPr>
          <w:sz w:val="20"/>
          <w:szCs w:val="20"/>
          <w:color w:val="auto"/>
        </w:rPr>
      </w:pPr>
    </w:p>
    <w:p>
      <w:pPr>
        <w:ind w:left="20" w:right="200"/>
        <w:spacing w:after="0" w:line="286" w:lineRule="auto"/>
        <w:rPr>
          <w:sz w:val="20"/>
          <w:szCs w:val="20"/>
          <w:color w:val="auto"/>
        </w:rPr>
      </w:pPr>
      <w:r>
        <w:rPr>
          <w:rFonts w:ascii="Arial" w:cs="Arial" w:eastAsia="Arial" w:hAnsi="Arial"/>
          <w:sz w:val="16"/>
          <w:szCs w:val="16"/>
          <w:b w:val="1"/>
          <w:bCs w:val="1"/>
          <w:color w:val="auto"/>
        </w:rPr>
        <w:t xml:space="preserve">$0.12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20.0%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Billy Hult, CEO of Tradeweb:</w:t>
      </w:r>
    </w:p>
    <w:p>
      <w:pPr>
        <w:spacing w:after="0" w:line="38"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“Tradeweb delivered strong financial results for the first quarter of 2025, underscoring how technology is reshaping single market and multi-asset class</w:t>
      </w:r>
    </w:p>
    <w:p>
      <w:pPr>
        <w:ind w:right="200"/>
        <w:spacing w:after="0" w:line="227" w:lineRule="auto"/>
        <w:rPr>
          <w:sz w:val="20"/>
          <w:szCs w:val="20"/>
          <w:color w:val="auto"/>
        </w:rPr>
      </w:pPr>
      <w:r>
        <w:rPr>
          <w:rFonts w:ascii="Arial" w:cs="Arial" w:eastAsia="Arial" w:hAnsi="Arial"/>
          <w:sz w:val="13"/>
          <w:szCs w:val="13"/>
          <w:color w:val="auto"/>
        </w:rPr>
        <w:t>trading. We reported record revenue of $509.7 million—up nearly 25% YoY— alongside record trading volume of $164.5 trillion and average daily volume of</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$2.5 trillion, up 33.7% YoY.</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While market volatility contributed to record volumes, we also saw positive</w:t>
      </w:r>
    </w:p>
    <w:p>
      <w:pPr>
        <w:spacing w:after="0" w:line="11" w:lineRule="exact"/>
        <w:rPr>
          <w:sz w:val="20"/>
          <w:szCs w:val="20"/>
          <w:color w:val="auto"/>
        </w:rPr>
      </w:pPr>
    </w:p>
    <w:p>
      <w:pPr>
        <w:ind w:right="220"/>
        <w:spacing w:after="0" w:line="227" w:lineRule="auto"/>
        <w:rPr>
          <w:sz w:val="20"/>
          <w:szCs w:val="20"/>
          <w:color w:val="auto"/>
        </w:rPr>
      </w:pPr>
      <w:r>
        <w:rPr>
          <w:rFonts w:ascii="Arial" w:cs="Arial" w:eastAsia="Arial" w:hAnsi="Arial"/>
          <w:sz w:val="13"/>
          <w:szCs w:val="13"/>
          <w:color w:val="auto"/>
        </w:rPr>
        <w:t>market share trends and greater adoption of electronic protocols and tools. In rates, performance was fueled by the combined strength of Tradeweb’s</w:t>
      </w:r>
    </w:p>
    <w:p>
      <w:pPr>
        <w:spacing w:after="0"/>
        <w:rPr>
          <w:sz w:val="20"/>
          <w:szCs w:val="20"/>
          <w:color w:val="auto"/>
        </w:rPr>
      </w:pPr>
      <w:r>
        <w:rPr>
          <w:rFonts w:ascii="Arial" w:cs="Arial" w:eastAsia="Arial" w:hAnsi="Arial"/>
          <w:sz w:val="13"/>
          <w:szCs w:val="13"/>
          <w:color w:val="auto"/>
        </w:rPr>
        <w:t>institutional and wholesale U.S. Treasuries platforms, as well as our global</w:t>
      </w:r>
    </w:p>
    <w:p>
      <w:pPr>
        <w:ind w:right="60"/>
        <w:spacing w:after="0" w:line="227" w:lineRule="auto"/>
        <w:rPr>
          <w:sz w:val="20"/>
          <w:szCs w:val="20"/>
          <w:color w:val="auto"/>
        </w:rPr>
      </w:pPr>
      <w:r>
        <w:rPr>
          <w:rFonts w:ascii="Arial" w:cs="Arial" w:eastAsia="Arial" w:hAnsi="Arial"/>
          <w:sz w:val="13"/>
          <w:szCs w:val="13"/>
          <w:color w:val="auto"/>
        </w:rPr>
        <w:t>strength in interest rate swaps. This quarter also marked the 20th anniversary of Tradeweb’s interest rate swaps platform—two decades of driving innovation in</w:t>
      </w:r>
    </w:p>
    <w:p>
      <w:pPr>
        <w:spacing w:after="0"/>
        <w:rPr>
          <w:sz w:val="20"/>
          <w:szCs w:val="20"/>
          <w:color w:val="auto"/>
        </w:rPr>
      </w:pPr>
      <w:r>
        <w:rPr>
          <w:rFonts w:ascii="Arial" w:cs="Arial" w:eastAsia="Arial" w:hAnsi="Arial"/>
          <w:sz w:val="13"/>
          <w:szCs w:val="13"/>
          <w:color w:val="auto"/>
        </w:rPr>
        <w:t>this market. In credit, we captured nearly 26% of total and 18% of fully electronic</w:t>
      </w:r>
    </w:p>
    <w:p>
      <w:pPr>
        <w:ind w:right="180"/>
        <w:spacing w:after="0"/>
        <w:rPr>
          <w:sz w:val="20"/>
          <w:szCs w:val="20"/>
          <w:color w:val="auto"/>
        </w:rPr>
      </w:pPr>
      <w:r>
        <w:rPr>
          <w:rFonts w:ascii="Arial" w:cs="Arial" w:eastAsia="Arial" w:hAnsi="Arial"/>
          <w:sz w:val="13"/>
          <w:szCs w:val="13"/>
          <w:color w:val="auto"/>
        </w:rPr>
        <w:t>share of U.S. high grade TRACE, respectively, and 10% and 7.5% of total and fully electronic share of U.S. high yield TRACE, respectively.</w:t>
      </w:r>
    </w:p>
    <w:p>
      <w:pPr>
        <w:spacing w:after="0" w:line="216" w:lineRule="exact"/>
        <w:rPr>
          <w:sz w:val="20"/>
          <w:szCs w:val="20"/>
          <w:color w:val="auto"/>
        </w:rPr>
      </w:pPr>
    </w:p>
    <w:p>
      <w:pPr>
        <w:jc w:val="both"/>
        <w:ind w:right="100"/>
        <w:spacing w:after="0" w:line="281" w:lineRule="auto"/>
        <w:rPr>
          <w:sz w:val="20"/>
          <w:szCs w:val="20"/>
          <w:color w:val="auto"/>
        </w:rPr>
      </w:pPr>
      <w:r>
        <w:rPr>
          <w:rFonts w:ascii="Arial" w:cs="Arial" w:eastAsia="Arial" w:hAnsi="Arial"/>
          <w:sz w:val="13"/>
          <w:szCs w:val="13"/>
          <w:color w:val="auto"/>
        </w:rPr>
        <w:t>In January, Troy Dixon joined our leadership team as co-head of global markets alongside Enrico Bruni, and in March, we welcomed Rich Repetto to our Board.</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More recently, as volatility played out across Treasury markets in early April, we facilitated record single-day volume of $472.5bn in U.S. government bonds on</w:t>
      </w:r>
    </w:p>
    <w:p>
      <w:pPr>
        <w:ind w:right="340"/>
        <w:spacing w:after="0"/>
        <w:rPr>
          <w:sz w:val="20"/>
          <w:szCs w:val="20"/>
          <w:color w:val="auto"/>
        </w:rPr>
      </w:pPr>
      <w:r>
        <w:rPr>
          <w:rFonts w:ascii="Arial" w:cs="Arial" w:eastAsia="Arial" w:hAnsi="Arial"/>
          <w:sz w:val="13"/>
          <w:szCs w:val="13"/>
          <w:color w:val="auto"/>
        </w:rPr>
        <w:t>April 9. Despite this intense volatility and record volumes, markets operated properly, and traders continued to rely on electronic trading.”</w:t>
      </w:r>
    </w:p>
    <w:p>
      <w:pPr>
        <w:spacing w:after="0" w:line="200" w:lineRule="exact"/>
        <w:rPr>
          <w:sz w:val="20"/>
          <w:szCs w:val="20"/>
          <w:color w:val="auto"/>
        </w:rPr>
      </w:pPr>
    </w:p>
    <w:p>
      <w:pPr>
        <w:sectPr>
          <w:pgSz w:w="11900" w:h="16838" w:orient="portrait"/>
          <w:cols w:equalWidth="0" w:num="2">
            <w:col w:w="5800" w:space="200"/>
            <w:col w:w="4840"/>
          </w:cols>
          <w:pgMar w:left="320" w:top="274" w:right="7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2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160" w:type="dxa"/>
            <w:vAlign w:val="bottom"/>
            <w:shd w:val="clear" w:color="auto" w:fill="083566"/>
          </w:tcPr>
          <w:p>
            <w:pPr>
              <w:spacing w:after="0"/>
              <w:rPr>
                <w:sz w:val="17"/>
                <w:szCs w:val="17"/>
                <w:color w:val="auto"/>
              </w:rPr>
            </w:pPr>
          </w:p>
        </w:tc>
        <w:tc>
          <w:tcPr>
            <w:tcW w:w="660" w:type="dxa"/>
            <w:vAlign w:val="bottom"/>
            <w:shd w:val="clear" w:color="auto" w:fill="083566"/>
          </w:tcPr>
          <w:p>
            <w:pPr>
              <w:spacing w:after="0"/>
              <w:rPr>
                <w:sz w:val="17"/>
                <w:szCs w:val="17"/>
                <w:color w:val="auto"/>
              </w:rPr>
            </w:pPr>
          </w:p>
        </w:tc>
        <w:tc>
          <w:tcPr>
            <w:tcW w:w="140" w:type="dxa"/>
            <w:vAlign w:val="bottom"/>
            <w:shd w:val="clear" w:color="auto" w:fill="083566"/>
          </w:tcPr>
          <w:p>
            <w:pPr>
              <w:spacing w:after="0"/>
              <w:rPr>
                <w:sz w:val="17"/>
                <w:szCs w:val="17"/>
                <w:color w:val="auto"/>
              </w:rPr>
            </w:pPr>
          </w:p>
        </w:tc>
        <w:tc>
          <w:tcPr>
            <w:tcW w:w="8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2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160" w:type="dxa"/>
            <w:vAlign w:val="bottom"/>
            <w:shd w:val="clear" w:color="auto" w:fill="083566"/>
          </w:tcPr>
          <w:p>
            <w:pPr>
              <w:spacing w:after="0"/>
              <w:rPr>
                <w:sz w:val="16"/>
                <w:szCs w:val="16"/>
                <w:color w:val="auto"/>
              </w:rPr>
            </w:pPr>
          </w:p>
        </w:tc>
        <w:tc>
          <w:tcPr>
            <w:tcW w:w="660" w:type="dxa"/>
            <w:vAlign w:val="bottom"/>
            <w:shd w:val="clear" w:color="auto" w:fill="083566"/>
          </w:tcPr>
          <w:p>
            <w:pPr>
              <w:spacing w:after="0"/>
              <w:rPr>
                <w:sz w:val="16"/>
                <w:szCs w:val="16"/>
                <w:color w:val="auto"/>
              </w:rPr>
            </w:pPr>
          </w:p>
        </w:tc>
        <w:tc>
          <w:tcPr>
            <w:tcW w:w="140" w:type="dxa"/>
            <w:vAlign w:val="bottom"/>
            <w:shd w:val="clear" w:color="auto" w:fill="083566"/>
          </w:tcPr>
          <w:p>
            <w:pPr>
              <w:spacing w:after="0"/>
              <w:rPr>
                <w:sz w:val="16"/>
                <w:szCs w:val="16"/>
                <w:color w:val="auto"/>
              </w:rPr>
            </w:pPr>
          </w:p>
        </w:tc>
        <w:tc>
          <w:tcPr>
            <w:tcW w:w="8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1Q25</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1Q24</w:t>
            </w:r>
          </w:p>
        </w:tc>
        <w:tc>
          <w:tcPr>
            <w:tcW w:w="92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160" w:type="dxa"/>
            <w:vAlign w:val="bottom"/>
            <w:shd w:val="clear" w:color="auto" w:fill="083566"/>
          </w:tcPr>
          <w:p>
            <w:pPr>
              <w:spacing w:after="0"/>
              <w:rPr>
                <w:sz w:val="22"/>
                <w:szCs w:val="22"/>
                <w:color w:val="auto"/>
              </w:rPr>
            </w:pPr>
          </w:p>
        </w:tc>
        <w:tc>
          <w:tcPr>
            <w:tcW w:w="660" w:type="dxa"/>
            <w:vAlign w:val="bottom"/>
            <w:shd w:val="clear" w:color="auto" w:fill="083566"/>
          </w:tcPr>
          <w:p>
            <w:pPr>
              <w:spacing w:after="0"/>
              <w:rPr>
                <w:sz w:val="22"/>
                <w:szCs w:val="22"/>
                <w:color w:val="auto"/>
              </w:rPr>
            </w:pPr>
          </w:p>
        </w:tc>
        <w:tc>
          <w:tcPr>
            <w:tcW w:w="140" w:type="dxa"/>
            <w:vAlign w:val="bottom"/>
            <w:shd w:val="clear" w:color="auto" w:fill="083566"/>
          </w:tcPr>
          <w:p>
            <w:pPr>
              <w:spacing w:after="0"/>
              <w:rPr>
                <w:sz w:val="22"/>
                <w:szCs w:val="22"/>
                <w:color w:val="auto"/>
              </w:rPr>
            </w:pPr>
          </w:p>
        </w:tc>
        <w:tc>
          <w:tcPr>
            <w:tcW w:w="84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shd w:val="clear" w:color="auto" w:fill="083566"/>
          </w:tcPr>
          <w:p>
            <w:pPr>
              <w:spacing w:after="0"/>
              <w:rPr>
                <w:sz w:val="20"/>
                <w:szCs w:val="20"/>
                <w:color w:val="auto"/>
              </w:rPr>
            </w:pPr>
          </w:p>
        </w:tc>
        <w:tc>
          <w:tcPr>
            <w:tcW w:w="66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1Q25</w:t>
            </w:r>
          </w:p>
        </w:tc>
        <w:tc>
          <w:tcPr>
            <w:tcW w:w="140" w:type="dxa"/>
            <w:vAlign w:val="bottom"/>
            <w:shd w:val="clear" w:color="auto" w:fill="083566"/>
          </w:tcPr>
          <w:p>
            <w:pPr>
              <w:spacing w:after="0"/>
              <w:rPr>
                <w:sz w:val="20"/>
                <w:szCs w:val="20"/>
                <w:color w:val="auto"/>
              </w:rPr>
            </w:pPr>
          </w:p>
        </w:tc>
        <w:tc>
          <w:tcPr>
            <w:tcW w:w="84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1Q24</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2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466</w:t>
            </w:r>
          </w:p>
        </w:tc>
        <w:tc>
          <w:tcPr>
            <w:tcW w:w="880" w:type="dxa"/>
            <w:vAlign w:val="bottom"/>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35"/>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509,677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408,739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24.7 %</w:t>
            </w: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884</w:t>
            </w:r>
          </w:p>
        </w:tc>
        <w:tc>
          <w:tcPr>
            <w:tcW w:w="140" w:type="dxa"/>
            <w:vAlign w:val="bottom"/>
          </w:tcPr>
          <w:p>
            <w:pPr>
              <w:spacing w:after="0"/>
              <w:rPr>
                <w:sz w:val="20"/>
                <w:szCs w:val="20"/>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800</w:t>
            </w:r>
          </w:p>
        </w:tc>
        <w:tc>
          <w:tcPr>
            <w:tcW w:w="880" w:type="dxa"/>
            <w:vAlign w:val="bottom"/>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265,432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214,093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24.0 %</w:t>
            </w: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1,443</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1,266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124,000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115,839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7.0 %</w:t>
            </w: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880" w:type="dxa"/>
            <w:vAlign w:val="bottom"/>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31,410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27,050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16.1 %</w:t>
            </w:r>
          </w:p>
        </w:tc>
        <w:tc>
          <w:tcPr>
            <w:tcW w:w="560" w:type="dxa"/>
            <w:vAlign w:val="bottom"/>
          </w:tcPr>
          <w:p>
            <w:pPr>
              <w:jc w:val="right"/>
              <w:spacing w:after="0"/>
              <w:rPr>
                <w:sz w:val="20"/>
                <w:szCs w:val="20"/>
                <w:color w:val="auto"/>
              </w:rPr>
            </w:pPr>
            <w:r>
              <w:rPr>
                <w:rFonts w:ascii="Arial" w:cs="Arial" w:eastAsia="Arial" w:hAnsi="Arial"/>
                <w:sz w:val="16"/>
                <w:szCs w:val="16"/>
                <w:color w:val="auto"/>
              </w:rPr>
              <w:t>17.7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18</w:t>
            </w:r>
          </w:p>
        </w:tc>
        <w:tc>
          <w:tcPr>
            <w:tcW w:w="880" w:type="dxa"/>
            <w:vAlign w:val="bottom"/>
          </w:tcPr>
          <w:p>
            <w:pPr>
              <w:jc w:val="right"/>
              <w:spacing w:after="0"/>
              <w:rPr>
                <w:sz w:val="20"/>
                <w:szCs w:val="20"/>
                <w:color w:val="auto"/>
              </w:rPr>
            </w:pPr>
            <w:r>
              <w:rPr>
                <w:rFonts w:ascii="Arial" w:cs="Arial" w:eastAsia="Arial" w:hAnsi="Arial"/>
                <w:sz w:val="16"/>
                <w:szCs w:val="16"/>
                <w:color w:val="auto"/>
              </w:rPr>
              <w:t>73.9 %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43,712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16,791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160.3 %</w:t>
            </w:r>
          </w:p>
        </w:tc>
        <w:tc>
          <w:tcPr>
            <w:tcW w:w="560" w:type="dxa"/>
            <w:vAlign w:val="bottom"/>
          </w:tcPr>
          <w:p>
            <w:pPr>
              <w:jc w:val="right"/>
              <w:spacing w:after="0"/>
              <w:rPr>
                <w:sz w:val="20"/>
                <w:szCs w:val="20"/>
                <w:color w:val="auto"/>
              </w:rPr>
            </w:pPr>
            <w:r>
              <w:rPr>
                <w:rFonts w:ascii="Arial" w:cs="Arial" w:eastAsia="Arial" w:hAnsi="Arial"/>
                <w:sz w:val="16"/>
                <w:szCs w:val="16"/>
                <w:color w:val="auto"/>
              </w:rPr>
              <w:t>161.6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35</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39.4 %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38,707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29,022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33.4 %</w:t>
            </w:r>
          </w:p>
        </w:tc>
        <w:tc>
          <w:tcPr>
            <w:tcW w:w="560" w:type="dxa"/>
            <w:vAlign w:val="bottom"/>
          </w:tcPr>
          <w:p>
            <w:pPr>
              <w:jc w:val="right"/>
              <w:spacing w:after="0"/>
              <w:rPr>
                <w:sz w:val="20"/>
                <w:szCs w:val="20"/>
                <w:color w:val="auto"/>
              </w:rPr>
            </w:pPr>
            <w:r>
              <w:rPr>
                <w:rFonts w:ascii="Arial" w:cs="Arial" w:eastAsia="Arial" w:hAnsi="Arial"/>
                <w:sz w:val="16"/>
                <w:szCs w:val="16"/>
                <w:color w:val="auto"/>
              </w:rPr>
              <w:t>33.5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6,416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5,944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7.9 %</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168,305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143,382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17.4 %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1,029</w:t>
            </w:r>
          </w:p>
        </w:tc>
        <w:tc>
          <w:tcPr>
            <w:tcW w:w="140" w:type="dxa"/>
            <w:vAlign w:val="bottom"/>
          </w:tcPr>
          <w:p>
            <w:pPr>
              <w:spacing w:after="0"/>
              <w:rPr>
                <w:sz w:val="16"/>
                <w:szCs w:val="16"/>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577</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78.5 %</w:t>
            </w:r>
          </w:p>
        </w:tc>
        <w:tc>
          <w:tcPr>
            <w:tcW w:w="0" w:type="dxa"/>
            <w:vAlign w:val="bottom"/>
          </w:tcPr>
          <w:p>
            <w:pPr>
              <w:spacing w:after="0"/>
              <w:rPr>
                <w:sz w:val="1"/>
                <w:szCs w:val="1"/>
                <w:color w:val="auto"/>
              </w:rPr>
            </w:pPr>
          </w:p>
        </w:tc>
      </w:tr>
      <w:tr>
        <w:trPr>
          <w:trHeight w:val="114"/>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160" w:type="dxa"/>
            <w:vAlign w:val="bottom"/>
            <w:shd w:val="clear" w:color="auto" w:fill="D5DCE4"/>
          </w:tcPr>
          <w:p>
            <w:pPr>
              <w:spacing w:after="0"/>
              <w:rPr>
                <w:sz w:val="7"/>
                <w:szCs w:val="7"/>
                <w:color w:val="auto"/>
              </w:rPr>
            </w:pPr>
          </w:p>
        </w:tc>
        <w:tc>
          <w:tcPr>
            <w:tcW w:w="660" w:type="dxa"/>
            <w:vAlign w:val="bottom"/>
            <w:shd w:val="clear" w:color="auto" w:fill="D5DCE4"/>
          </w:tcPr>
          <w:p>
            <w:pPr>
              <w:spacing w:after="0"/>
              <w:rPr>
                <w:sz w:val="7"/>
                <w:szCs w:val="7"/>
                <w:color w:val="auto"/>
              </w:rPr>
            </w:pPr>
          </w:p>
        </w:tc>
        <w:tc>
          <w:tcPr>
            <w:tcW w:w="140" w:type="dxa"/>
            <w:vAlign w:val="bottom"/>
            <w:shd w:val="clear" w:color="auto" w:fill="D5DCE4"/>
          </w:tcPr>
          <w:p>
            <w:pPr>
              <w:spacing w:after="0"/>
              <w:rPr>
                <w:sz w:val="7"/>
                <w:szCs w:val="7"/>
                <w:color w:val="auto"/>
              </w:rPr>
            </w:pPr>
          </w:p>
        </w:tc>
        <w:tc>
          <w:tcPr>
            <w:tcW w:w="840" w:type="dxa"/>
            <w:vAlign w:val="bottom"/>
            <w:shd w:val="clear" w:color="auto" w:fill="D5DCE4"/>
          </w:tcPr>
          <w:p>
            <w:pPr>
              <w:spacing w:after="0"/>
              <w:rPr>
                <w:sz w:val="7"/>
                <w:szCs w:val="7"/>
                <w:color w:val="auto"/>
              </w:rPr>
            </w:pPr>
          </w:p>
        </w:tc>
        <w:tc>
          <w:tcPr>
            <w:tcW w:w="88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148,382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126,142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17.6 %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0"/>
                <w:szCs w:val="20"/>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1,029</w:t>
            </w:r>
          </w:p>
        </w:tc>
        <w:tc>
          <w:tcPr>
            <w:tcW w:w="140" w:type="dxa"/>
            <w:vAlign w:val="bottom"/>
            <w:tcBorders>
              <w:bottom w:val="single" w:sz="8" w:color="083566"/>
            </w:tcBorders>
            <w:shd w:val="clear" w:color="auto" w:fill="D5DCE4"/>
          </w:tcPr>
          <w:p>
            <w:pPr>
              <w:spacing w:after="0"/>
              <w:rPr>
                <w:sz w:val="20"/>
                <w:szCs w:val="20"/>
                <w:color w:val="auto"/>
              </w:rPr>
            </w:pPr>
          </w:p>
        </w:tc>
        <w:tc>
          <w:tcPr>
            <w:tcW w:w="84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577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78.5 %</w:t>
            </w: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0.69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0.59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16.9 %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2,547</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1,905</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33.7 %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33.0 %</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35.1 %</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-206 bps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7458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5865"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840"/>
          </w:cols>
          <w:pgMar w:left="320" w:top="274" w:right="7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278,219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219,528</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26.7 %</w:t>
            </w:r>
          </w:p>
        </w:tc>
        <w:tc>
          <w:tcPr>
            <w:tcW w:w="520" w:type="dxa"/>
            <w:vAlign w:val="bottom"/>
          </w:tcPr>
          <w:p>
            <w:pPr>
              <w:ind w:left="160"/>
              <w:spacing w:after="0"/>
              <w:rPr>
                <w:sz w:val="20"/>
                <w:szCs w:val="20"/>
                <w:color w:val="auto"/>
              </w:rPr>
            </w:pPr>
            <w:r>
              <w:rPr>
                <w:rFonts w:ascii="Arial" w:cs="Arial" w:eastAsia="Arial" w:hAnsi="Arial"/>
                <w:sz w:val="16"/>
                <w:szCs w:val="16"/>
                <w:color w:val="auto"/>
              </w:rPr>
              <w:t>27.6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54.6 %</w:t>
            </w:r>
          </w:p>
        </w:tc>
        <w:tc>
          <w:tcPr>
            <w:tcW w:w="2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53.7 %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+88 bps</w:t>
            </w:r>
          </w:p>
        </w:tc>
        <w:tc>
          <w:tcPr>
            <w:tcW w:w="820" w:type="dxa"/>
            <w:vAlign w:val="bottom"/>
            <w:gridSpan w:val="2"/>
          </w:tcPr>
          <w:p>
            <w:pPr>
              <w:ind w:left="260"/>
              <w:spacing w:after="0"/>
              <w:rPr>
                <w:sz w:val="20"/>
                <w:szCs w:val="20"/>
                <w:color w:val="auto"/>
              </w:rPr>
            </w:pPr>
            <w:r>
              <w:rPr>
                <w:rFonts w:ascii="Arial" w:cs="Arial" w:eastAsia="Arial" w:hAnsi="Arial"/>
                <w:sz w:val="16"/>
                <w:szCs w:val="16"/>
                <w:color w:val="auto"/>
                <w:w w:val="94"/>
              </w:rPr>
              <w:t>+79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260,993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204,558</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27.6 %</w:t>
            </w:r>
          </w:p>
        </w:tc>
        <w:tc>
          <w:tcPr>
            <w:tcW w:w="520" w:type="dxa"/>
            <w:vAlign w:val="bottom"/>
          </w:tcPr>
          <w:p>
            <w:pPr>
              <w:ind w:left="160"/>
              <w:spacing w:after="0"/>
              <w:rPr>
                <w:sz w:val="20"/>
                <w:szCs w:val="20"/>
                <w:color w:val="auto"/>
              </w:rPr>
            </w:pPr>
            <w:r>
              <w:rPr>
                <w:rFonts w:ascii="Arial" w:cs="Arial" w:eastAsia="Arial" w:hAnsi="Arial"/>
                <w:sz w:val="16"/>
                <w:szCs w:val="16"/>
                <w:color w:val="auto"/>
              </w:rPr>
              <w:t>28.5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51.2 %</w:t>
            </w:r>
          </w:p>
        </w:tc>
        <w:tc>
          <w:tcPr>
            <w:tcW w:w="2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50.0 %</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+116 bps</w:t>
            </w:r>
          </w:p>
        </w:tc>
        <w:tc>
          <w:tcPr>
            <w:tcW w:w="820" w:type="dxa"/>
            <w:vAlign w:val="bottom"/>
            <w:gridSpan w:val="2"/>
            <w:vMerge w:val="restart"/>
          </w:tcPr>
          <w:p>
            <w:pPr>
              <w:ind w:left="180"/>
              <w:spacing w:after="0"/>
              <w:rPr>
                <w:sz w:val="20"/>
                <w:szCs w:val="20"/>
                <w:color w:val="auto"/>
              </w:rPr>
            </w:pPr>
            <w:r>
              <w:rPr>
                <w:rFonts w:ascii="Arial" w:cs="Arial" w:eastAsia="Arial" w:hAnsi="Arial"/>
                <w:sz w:val="16"/>
                <w:szCs w:val="16"/>
                <w:color w:val="auto"/>
                <w:w w:val="93"/>
              </w:rPr>
              <w:t>+110 bps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205,691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167,925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22.5 %</w:t>
            </w:r>
          </w:p>
        </w:tc>
        <w:tc>
          <w:tcPr>
            <w:tcW w:w="520" w:type="dxa"/>
            <w:vAlign w:val="bottom"/>
          </w:tcPr>
          <w:p>
            <w:pPr>
              <w:ind w:left="160"/>
              <w:spacing w:after="0"/>
              <w:rPr>
                <w:sz w:val="20"/>
                <w:szCs w:val="20"/>
                <w:color w:val="auto"/>
              </w:rPr>
            </w:pPr>
            <w:r>
              <w:rPr>
                <w:rFonts w:ascii="Arial" w:cs="Arial" w:eastAsia="Arial" w:hAnsi="Arial"/>
                <w:sz w:val="16"/>
                <w:szCs w:val="16"/>
                <w:color w:val="auto"/>
              </w:rPr>
              <w:t>23.3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0.86</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color w:val="auto"/>
              </w:rPr>
              <w:t>0.71</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21.1 %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24.3</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34" w:right="120" w:hanging="234"/>
        <w:spacing w:after="0" w:line="26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174" w:hanging="174"/>
        <w:spacing w:after="0"/>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20" w:space="186"/>
            <w:col w:w="4834"/>
          </w:cols>
          <w:pgMar w:left="320" w:top="274"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$265.4 million in the first quarter of 2025 increased 24.0% compared to prior year period (increased 25.4%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14.0% from prior year period, driven by record ADV in U.S. government bonds, mortgages and swaps/swaptions ≥ 1-year. Strong U.S. Treasuries ADV was led by record activity across the institutional and wholesale client channels. Global swaps/swaptions saw strong risk trading activity</w:t>
      </w:r>
    </w:p>
    <w:p>
      <w:pPr>
        <w:spacing w:after="0" w:line="2"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 xml:space="preserve">YoY driven by risk market share gains and market volatility as a result of global macro uncertainty. Record European government bonds ADV was </w:t>
      </w:r>
      <w:r>
        <w:rPr>
          <w:rFonts w:ascii="Arial" w:cs="Arial" w:eastAsia="Arial" w:hAnsi="Arial"/>
          <w:sz w:val="17"/>
          <w:szCs w:val="17"/>
          <w:color w:val="auto"/>
        </w:rPr>
        <w:t>up</w:t>
      </w:r>
      <w:r>
        <w:rPr>
          <w:rFonts w:ascii="Arial" w:cs="Arial" w:eastAsia="Arial" w:hAnsi="Arial"/>
          <w:sz w:val="16"/>
          <w:szCs w:val="16"/>
          <w:color w:val="auto"/>
        </w:rPr>
        <w:t xml:space="preserve"> 18.9% from prior year period, led by strong volumes across our institutional client channel. Record mortgages ADV was up 19.2% from prior year period, reflecting strong specified pool volumes, as well as robust To-Be-Announced ("TBA") activity, which was primarily driven by robust roll volumes and increased trading activity from hedge fund accounts.</w:t>
      </w:r>
    </w:p>
    <w:p>
      <w:pPr>
        <w:spacing w:after="0" w:line="211"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$124.0 million in the first quarter of 2025 increased 7.0% compared to prior year period (increased 7.7%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39.4% from prior year period, driven by strong European and U.S. credit volumes, including record ADV in fully electronic U.S.</w:t>
      </w:r>
    </w:p>
    <w:p>
      <w:pPr>
        <w:spacing w:after="0" w:line="1"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high grade credit, fully electronic U.S. high yield credit and credit swaps. U.S. credit ADV was up 10.4% from prior year period, reflecting continued client adoption across Tradeweb products and protocols, including request-for-quote ("RFQ") and Portfolio Trading. Record European credit ADV was up 11.1%</w:t>
      </w:r>
    </w:p>
    <w:p>
      <w:pPr>
        <w:ind w:right="80"/>
        <w:spacing w:after="0" w:line="228" w:lineRule="auto"/>
        <w:rPr>
          <w:sz w:val="20"/>
          <w:szCs w:val="20"/>
          <w:color w:val="auto"/>
        </w:rPr>
      </w:pPr>
      <w:r>
        <w:rPr>
          <w:rFonts w:ascii="Arial" w:cs="Arial" w:eastAsia="Arial" w:hAnsi="Arial"/>
          <w:sz w:val="16"/>
          <w:szCs w:val="16"/>
          <w:color w:val="auto"/>
        </w:rPr>
        <w:t>from prior year period, driven by strong activity across a wide range of protocols. We reported 18.0% share of fully electronic U.S. high grade TRACE, up 42 basis points (bps) from prior year period, and 7.5% share of fully electronic U.S. high yield TRACE, up 86 bps from prior year period. We also reported</w:t>
      </w:r>
    </w:p>
    <w:p>
      <w:pPr>
        <w:spacing w:after="0" w:line="1"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25.9% total share of U.S. high grade TRACE, down 29 bps from prior year period, and 10.1% total share of U.S. high yield TRACE, up 64 bps from prior year period.</w:t>
      </w:r>
    </w:p>
    <w:p>
      <w:pPr>
        <w:spacing w:after="0" w:line="21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$31.4 million in the first quarter of 2025 increased 16.1% compared to prior year period (increased 17.7%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down 3.3% from prior year period, primarily due to lower secondary volumes in the market, which disproportionately impacted our U.S. ETF wholesale business, while our U.S. and European institutional platforms reported strong double-digit volume growth.</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$43.7 million in the first quarter of 2025 increased 160.3% compared to prior year period (increased 161.6%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78.5% from prior year period, driven by contributions from the August 1, 2024 acquisition of ICD and record activity in global repurchase agreements. In the U.S., repo volumes were driven by the continued unwinding of the Fed’s balance sheet and reduced balances in the reverse repo facility ("RRP").</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$38.7 million in the first quarter of 2025 increased 33.4% compared to prior year period (increased 33.5%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$6.4 million in the first quarter of 2025 increased 7.9% compared to prior year period (increased 8.0% on a constant currency basis).</w:t>
      </w:r>
    </w:p>
    <w:p>
      <w:pPr>
        <w:spacing w:after="0" w:line="235"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$305.6 million in the first quarter of 2025 increased 26.8% compared to $241.1 million in prior year period, primarily due to (i)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as a result of an increase in incentive compensation expense tied to our financial performance and an increase in headcount to support our continued growth, (ii) an increase in depreciation and amortization expense primarily related to the assets acquired in connection with the 2024 acquisition of ICD and (iii) an $8.6 million increase in foreign exchange losses.</w:t>
      </w:r>
    </w:p>
    <w:p>
      <w:pPr>
        <w:spacing w:after="0" w:line="2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$248.7 million in the first quarter of 2025 increased 21.8% (increased 23.0%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(i) an increase in employee compensation and benefits as a result of an increase in incentive compensation expense tied to our financial performance and an increase in headcount to support our continued growth and (ii) an increase in technology and communication expense due to continued investment in our data strategy and infrastructure and increased clearance and data fees driven primarily by higher trading volumes as compared to prior year period. Please see "Non-GAAP Financial Measures" below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2025</w:t>
      </w:r>
    </w:p>
    <w:p>
      <w:pPr>
        <w:spacing w:after="0" w:line="35" w:lineRule="exact"/>
        <w:rPr>
          <w:sz w:val="20"/>
          <w:szCs w:val="20"/>
          <w:color w:val="auto"/>
        </w:rPr>
      </w:pPr>
    </w:p>
    <w:p>
      <w:pPr>
        <w:ind w:left="660" w:right="32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Became the first institutional marketplace to complete an electronic portfolio trading transaction for European government bonds. The trade was completed between L&amp;G and Citi as the liquidity provider.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2025</w:t>
      </w:r>
    </w:p>
    <w:p>
      <w:pPr>
        <w:spacing w:after="0" w:line="21" w:lineRule="exact"/>
        <w:rPr>
          <w:sz w:val="20"/>
          <w:szCs w:val="20"/>
          <w:color w:val="auto"/>
        </w:rPr>
      </w:pPr>
    </w:p>
    <w:p>
      <w:pPr>
        <w:ind w:left="660" w:right="40" w:hanging="328"/>
        <w:spacing w:after="0" w:line="24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Rich Repetto to Tradeweb’s Board of Directors, effective as of March 6, 2025. He also serves as a member of the board’s Audit and Risk Committee.</w:t>
      </w:r>
    </w:p>
    <w:p>
      <w:pPr>
        <w:ind w:left="660" w:right="600" w:hanging="328"/>
        <w:spacing w:after="0" w:line="24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a strategic collaboration with Coremont, a premier provider of cloud-based portfolio management software and multi-asset class analytics.</w:t>
      </w:r>
    </w:p>
    <w:p>
      <w:pPr>
        <w:ind w:left="660" w:right="10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Published our 2024 Annual Report, highlighting record trading activity across many of our products, key strategic acquisitions and the expansion of our international business.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Troy Dixon and Enrico Bruni as co-heads of global markets, enhancing Tradeweb's leadership across broad offerings globally.</w:t>
      </w:r>
    </w:p>
    <w:p>
      <w:pPr>
        <w:spacing w:after="0" w:line="14" w:lineRule="exact"/>
        <w:rPr>
          <w:rFonts w:ascii="Arial" w:cs="Arial" w:eastAsia="Arial" w:hAnsi="Arial"/>
          <w:sz w:val="16"/>
          <w:szCs w:val="16"/>
          <w:color w:val="auto"/>
        </w:rPr>
      </w:pPr>
    </w:p>
    <w:p>
      <w:pPr>
        <w:ind w:left="660" w:right="140" w:hanging="328"/>
        <w:spacing w:after="0" w:line="27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Received approval from the U.S. Securities and Exchange Commission ("SEC") for the registration of Tradeweb's swap execution facility, TW SEF LLC, as a security-based swap execution facility (SBSEF) under Regulation SE.</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left="660" w:right="30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and employees, including: </w:t>
      </w:r>
      <w:r>
        <w:rPr>
          <w:rFonts w:ascii="Arial" w:cs="Arial" w:eastAsia="Arial" w:hAnsi="Arial"/>
          <w:sz w:val="16"/>
          <w:szCs w:val="16"/>
          <w:i w:val="1"/>
          <w:iCs w:val="1"/>
          <w:color w:val="auto"/>
        </w:rPr>
        <w:t>Nova Awards, Top Innovator (TabbFORUM); Women in</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Latin America Awards, Excellence in Trading Platforms - Tannia Munroe (Markets Media); Women in Tech and Data Awards, Legal/Compliance Professional of the Year - Devi Shanmugham (WatersTechnology); ICD awarded 2025 Innovation &amp; Excellence Awards, Best Portal Technology Solution (Treasury Management International)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$1.3 billion in cash and cash equivalents and an undrawn $500 million credit facility at March 31, 2025</w:t>
      </w:r>
    </w:p>
    <w:p>
      <w:pPr>
        <w:spacing w:after="0" w:line="21" w:lineRule="exact"/>
        <w:rPr>
          <w:rFonts w:ascii="Arial" w:cs="Arial" w:eastAsia="Arial" w:hAnsi="Arial"/>
          <w:sz w:val="16"/>
          <w:szCs w:val="16"/>
          <w:color w:val="auto"/>
        </w:rPr>
      </w:pPr>
    </w:p>
    <w:p>
      <w:pPr>
        <w:ind w:left="660" w:right="3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March 31, 2025 of $833.6 million, up 28.1% compared to prior year period. See “Non-GAAP Financial Measures” for additional information</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first quarter 2025 of $14.8 million</w:t>
      </w:r>
    </w:p>
    <w:p>
      <w:pPr>
        <w:spacing w:after="0" w:line="14" w:lineRule="exact"/>
        <w:rPr>
          <w:rFonts w:ascii="Arial" w:cs="Arial" w:eastAsia="Arial" w:hAnsi="Arial"/>
          <w:sz w:val="16"/>
          <w:szCs w:val="16"/>
          <w:color w:val="auto"/>
        </w:rPr>
      </w:pPr>
    </w:p>
    <w:p>
      <w:pPr>
        <w:ind w:left="660" w:right="260" w:hanging="328"/>
        <w:spacing w:after="0" w:line="249"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$179.9 million remained available for repurchase pursuant to the share repurchase program authorization as of March 31, 2025. No shares were repurchased during the first quarter of 2025</w:t>
      </w:r>
    </w:p>
    <w:p>
      <w:pPr>
        <w:ind w:left="660" w:right="70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$47.6 million in shares of Class A common stock were withheld in the first quarter of 2025 to satisfy tax obligations related to the vesting of restricted stock units and performance-based restricted stock units held by employees</w:t>
      </w:r>
    </w:p>
    <w:p>
      <w:pPr>
        <w:ind w:left="660" w:right="58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$0.12 per share of Class A common stock and Class B common stock. The dividend will be payable on June 16, 2025 to stockholders of record as of June 2, 2025</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Unchanged Full-Year 2025 Guidance*</w:t>
      </w:r>
    </w:p>
    <w:p>
      <w:pPr>
        <w:spacing w:after="0" w:line="12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Expenses: $970 - 1,030 million</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$176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Assumed non-GAAP tax rate: ~ 24.5% - 25.5%</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 $99 - 109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LSEG Market Data Contract Revenue: ~$90 million</w:t>
      </w:r>
    </w:p>
    <w:p>
      <w:pPr>
        <w:spacing w:after="0" w:line="243"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2025 Sterling/US$ foreign exchange rate of 1.28.</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 xml:space="preserve">Tradeweb Markets will hold a conference call to discuss first quarter 2025 results starting at 9:30 AM EDT today, April 30, 2025.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80"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https://edge.media-server.com/mmc/p/r7iitkga/</w:t>
      </w:r>
    </w:p>
    <w:p>
      <w:pPr>
        <w:spacing w:after="0" w:line="3" w:lineRule="exact"/>
        <w:rPr>
          <w:rFonts w:ascii="Arial" w:cs="Arial" w:eastAsia="Arial" w:hAnsi="Arial"/>
          <w:sz w:val="20"/>
          <w:szCs w:val="20"/>
          <w:color w:val="auto"/>
        </w:rPr>
      </w:pPr>
    </w:p>
    <w:p>
      <w:pPr>
        <w:ind w:left="660" w:right="40" w:hanging="328"/>
        <w:spacing w:after="0" w:line="224"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https://register-conf.media-server.com/register/BIb51b438bcfdd4a278973ed074327d158</w:t>
      </w:r>
      <w:r>
        <w:rPr>
          <w:rFonts w:ascii="Arial" w:cs="Arial" w:eastAsia="Arial" w:hAnsi="Arial"/>
          <w:sz w:val="16"/>
          <w:szCs w:val="16"/>
          <w:color w:val="auto"/>
        </w:rPr>
        <w:t>. Registered participants will receive an email confirmation with a unique PIN to access the conference call.</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$2.2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47"/>
        </w:trPr>
        <w:tc>
          <w:tcPr>
            <w:tcW w:w="7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37"/>
        </w:trPr>
        <w:tc>
          <w:tcPr>
            <w:tcW w:w="756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199"/>
        </w:trPr>
        <w:tc>
          <w:tcPr>
            <w:tcW w:w="7560" w:type="dxa"/>
            <w:vAlign w:val="bottom"/>
            <w:shd w:val="clear" w:color="auto" w:fill="D5DCE4"/>
          </w:tcPr>
          <w:p>
            <w:pPr>
              <w:spacing w:after="0"/>
              <w:rPr>
                <w:sz w:val="17"/>
                <w:szCs w:val="17"/>
                <w:color w:val="auto"/>
              </w:rPr>
            </w:pPr>
          </w:p>
        </w:tc>
        <w:tc>
          <w:tcPr>
            <w:tcW w:w="200" w:type="dxa"/>
            <w:vAlign w:val="bottom"/>
            <w:shd w:val="clear" w:color="auto" w:fill="D5DCE4"/>
          </w:tcPr>
          <w:p>
            <w:pPr>
              <w:spacing w:after="0"/>
              <w:rPr>
                <w:sz w:val="17"/>
                <w:szCs w:val="17"/>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80" w:type="dxa"/>
            <w:vAlign w:val="bottom"/>
            <w:shd w:val="clear" w:color="auto" w:fill="D5DCE4"/>
          </w:tcPr>
          <w:p>
            <w:pPr>
              <w:spacing w:after="0"/>
              <w:rPr>
                <w:sz w:val="17"/>
                <w:szCs w:val="17"/>
                <w:color w:val="auto"/>
              </w:rPr>
            </w:pPr>
          </w:p>
        </w:tc>
        <w:tc>
          <w:tcPr>
            <w:tcW w:w="1800" w:type="dxa"/>
            <w:vAlign w:val="bottom"/>
            <w:gridSpan w:val="2"/>
            <w:shd w:val="clear" w:color="auto" w:fill="D5DCE4"/>
          </w:tcPr>
          <w:p>
            <w:pPr>
              <w:jc w:val="right"/>
              <w:ind w:right="299"/>
              <w:spacing w:after="0"/>
              <w:rPr>
                <w:sz w:val="20"/>
                <w:szCs w:val="20"/>
                <w:color w:val="auto"/>
              </w:rPr>
            </w:pPr>
            <w:r>
              <w:rPr>
                <w:rFonts w:ascii="Arial" w:cs="Arial" w:eastAsia="Arial" w:hAnsi="Arial"/>
                <w:sz w:val="16"/>
                <w:szCs w:val="16"/>
                <w:b w:val="1"/>
                <w:bCs w:val="1"/>
                <w:color w:val="auto"/>
              </w:rPr>
              <w:t>except per share</w:t>
            </w:r>
          </w:p>
        </w:tc>
      </w:tr>
      <w:tr>
        <w:trPr>
          <w:trHeight w:val="230"/>
        </w:trPr>
        <w:tc>
          <w:tcPr>
            <w:tcW w:w="7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D5DCE4"/>
          </w:tcPr>
          <w:p>
            <w:pPr>
              <w:spacing w:after="0"/>
              <w:rPr>
                <w:sz w:val="20"/>
                <w:szCs w:val="20"/>
                <w:color w:val="auto"/>
              </w:rPr>
            </w:pPr>
          </w:p>
        </w:tc>
        <w:tc>
          <w:tcPr>
            <w:tcW w:w="2200" w:type="dxa"/>
            <w:vAlign w:val="bottom"/>
            <w:gridSpan w:val="3"/>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shd w:val="clear" w:color="auto" w:fill="D5DCE4"/>
          </w:tcPr>
          <w:p>
            <w:pPr>
              <w:spacing w:after="0"/>
              <w:rPr>
                <w:sz w:val="20"/>
                <w:szCs w:val="20"/>
                <w:color w:val="auto"/>
              </w:rPr>
            </w:pP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421,344</w:t>
            </w:r>
          </w:p>
        </w:tc>
        <w:tc>
          <w:tcPr>
            <w:tcW w:w="8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335,451</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55,777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49,681</w:t>
            </w: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28,925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20,500</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3,631</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3,107</w:t>
            </w:r>
          </w:p>
        </w:tc>
      </w:tr>
      <w:tr>
        <w:trPr>
          <w:trHeight w:val="233"/>
        </w:trPr>
        <w:tc>
          <w:tcPr>
            <w:tcW w:w="756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509,677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408,739</w:t>
            </w:r>
          </w:p>
        </w:tc>
      </w:tr>
      <w:tr>
        <w:trPr>
          <w:trHeight w:val="274"/>
        </w:trPr>
        <w:tc>
          <w:tcPr>
            <w:tcW w:w="7560" w:type="dxa"/>
            <w:vAlign w:val="bottom"/>
            <w:shd w:val="clear" w:color="auto" w:fill="D5DCE4"/>
          </w:tcPr>
          <w:p>
            <w:pPr>
              <w:spacing w:after="0"/>
              <w:rPr>
                <w:sz w:val="23"/>
                <w:szCs w:val="23"/>
                <w:color w:val="auto"/>
              </w:rPr>
            </w:pPr>
          </w:p>
        </w:tc>
        <w:tc>
          <w:tcPr>
            <w:tcW w:w="200" w:type="dxa"/>
            <w:vAlign w:val="bottom"/>
            <w:shd w:val="clear" w:color="auto" w:fill="D5DCE4"/>
          </w:tcPr>
          <w:p>
            <w:pPr>
              <w:spacing w:after="0"/>
              <w:rPr>
                <w:sz w:val="23"/>
                <w:szCs w:val="23"/>
                <w:color w:val="auto"/>
              </w:rPr>
            </w:pPr>
          </w:p>
        </w:tc>
        <w:tc>
          <w:tcPr>
            <w:tcW w:w="16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5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7"/>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176,877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143,087</w:t>
            </w: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62,699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49,337</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28,728</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21,310</w:t>
            </w: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19,740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10,854</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12,458</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11,800</w:t>
            </w:r>
          </w:p>
        </w:tc>
      </w:tr>
      <w:tr>
        <w:trPr>
          <w:trHeight w:val="237"/>
        </w:trPr>
        <w:tc>
          <w:tcPr>
            <w:tcW w:w="756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w:t>
            </w:r>
          </w:p>
        </w:tc>
      </w:tr>
      <w:tr>
        <w:trPr>
          <w:trHeight w:val="243"/>
        </w:trPr>
        <w:tc>
          <w:tcPr>
            <w:tcW w:w="756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305,576</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241,061</w:t>
            </w:r>
          </w:p>
        </w:tc>
      </w:tr>
      <w:tr>
        <w:trPr>
          <w:trHeight w:val="233"/>
        </w:trPr>
        <w:tc>
          <w:tcPr>
            <w:tcW w:w="756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204,101</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167,678</w:t>
            </w:r>
          </w:p>
        </w:tc>
      </w:tr>
      <w:tr>
        <w:trPr>
          <w:trHeight w:val="240"/>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D5DCE4"/>
          </w:tcPr>
          <w:p>
            <w:pPr>
              <w:spacing w:after="0"/>
              <w:rPr>
                <w:sz w:val="20"/>
                <w:szCs w:val="20"/>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13,849</w:t>
            </w:r>
          </w:p>
        </w:tc>
        <w:tc>
          <w:tcPr>
            <w:tcW w:w="80" w:type="dxa"/>
            <w:vAlign w:val="bottom"/>
            <w:shd w:val="clear" w:color="auto" w:fill="D5DCE4"/>
          </w:tcPr>
          <w:p>
            <w:pPr>
              <w:spacing w:after="0"/>
              <w:rPr>
                <w:sz w:val="20"/>
                <w:szCs w:val="20"/>
                <w:color w:val="auto"/>
              </w:rPr>
            </w:pPr>
          </w:p>
        </w:tc>
        <w:tc>
          <w:tcPr>
            <w:tcW w:w="5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21,060</w:t>
            </w: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(1,718)</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4,221</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56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221,584</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187,020</w:t>
            </w:r>
          </w:p>
        </w:tc>
      </w:tr>
      <w:tr>
        <w:trPr>
          <w:trHeight w:val="240"/>
        </w:trPr>
        <w:tc>
          <w:tcPr>
            <w:tcW w:w="756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(53,279)</w:t>
            </w:r>
          </w:p>
        </w:tc>
        <w:tc>
          <w:tcPr>
            <w:tcW w:w="8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(43,638)</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168,305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143,382</w:t>
            </w:r>
          </w:p>
        </w:tc>
      </w:tr>
      <w:tr>
        <w:trPr>
          <w:trHeight w:val="240"/>
        </w:trPr>
        <w:tc>
          <w:tcPr>
            <w:tcW w:w="756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19,923</w:t>
            </w:r>
          </w:p>
        </w:tc>
        <w:tc>
          <w:tcPr>
            <w:tcW w:w="8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17,240</w:t>
            </w:r>
          </w:p>
        </w:tc>
      </w:tr>
      <w:tr>
        <w:trPr>
          <w:trHeight w:val="24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148,382</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126,142</w:t>
            </w:r>
          </w:p>
        </w:tc>
      </w:tr>
      <w:tr>
        <w:trPr>
          <w:trHeight w:val="20"/>
        </w:trPr>
        <w:tc>
          <w:tcPr>
            <w:tcW w:w="756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35"/>
        </w:trPr>
        <w:tc>
          <w:tcPr>
            <w:tcW w:w="756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 and B common stockholders: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6"/>
        </w:trPr>
        <w:tc>
          <w:tcPr>
            <w:tcW w:w="756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0.70</w:t>
            </w:r>
          </w:p>
        </w:tc>
        <w:tc>
          <w:tcPr>
            <w:tcW w:w="80" w:type="dxa"/>
            <w:vAlign w:val="bottom"/>
            <w:tcBorders>
              <w:bottom w:val="single" w:sz="8" w:color="D5DCE4"/>
            </w:tcBorders>
            <w:shd w:val="clear" w:color="auto" w:fill="D5DCE4"/>
          </w:tcPr>
          <w:p>
            <w:pPr>
              <w:spacing w:after="0"/>
              <w:rPr>
                <w:sz w:val="23"/>
                <w:szCs w:val="23"/>
                <w:color w:val="auto"/>
              </w:rPr>
            </w:pPr>
          </w:p>
        </w:tc>
        <w:tc>
          <w:tcPr>
            <w:tcW w:w="520" w:type="dxa"/>
            <w:vAlign w:val="bottom"/>
            <w:tcBorders>
              <w:bottom w:val="single" w:sz="8" w:color="auto"/>
            </w:tcBorders>
            <w:shd w:val="clear" w:color="auto" w:fill="D5DCE4"/>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r>
      <w:tr>
        <w:trPr>
          <w:trHeight w:val="20"/>
        </w:trPr>
        <w:tc>
          <w:tcPr>
            <w:tcW w:w="756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560" w:type="dxa"/>
            <w:vAlign w:val="bottom"/>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r>
      <w:tr>
        <w:trPr>
          <w:trHeight w:val="20"/>
        </w:trPr>
        <w:tc>
          <w:tcPr>
            <w:tcW w:w="756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756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shd w:val="clear" w:color="auto" w:fill="D5DCE4"/>
          </w:tcPr>
          <w:p>
            <w:pPr>
              <w:spacing w:after="0"/>
              <w:rPr>
                <w:sz w:val="18"/>
                <w:szCs w:val="18"/>
                <w:color w:val="auto"/>
              </w:rPr>
            </w:pPr>
          </w:p>
        </w:tc>
        <w:tc>
          <w:tcPr>
            <w:tcW w:w="16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5"/>
        </w:trPr>
        <w:tc>
          <w:tcPr>
            <w:tcW w:w="756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213,087,496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212,709,872</w:t>
            </w:r>
          </w:p>
        </w:tc>
      </w:tr>
      <w:tr>
        <w:trPr>
          <w:trHeight w:val="251"/>
        </w:trPr>
        <w:tc>
          <w:tcPr>
            <w:tcW w:w="7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214,895,418</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214,660,853</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200" w:lineRule="exact"/>
        <w:rPr>
          <w:sz w:val="20"/>
          <w:szCs w:val="20"/>
          <w:color w:val="auto"/>
        </w:rPr>
      </w:pPr>
    </w:p>
    <w:p>
      <w:pPr>
        <w:spacing w:after="0" w:line="397" w:lineRule="exact"/>
        <w:rPr>
          <w:sz w:val="20"/>
          <w:szCs w:val="20"/>
          <w:color w:val="auto"/>
        </w:rPr>
      </w:pPr>
    </w:p>
    <w:p>
      <w:pPr>
        <w:ind w:left="20" w:right="380"/>
        <w:spacing w:after="0" w:line="29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620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29210</wp:posOffset>
            </wp:positionV>
            <wp:extent cx="2459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3"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29210</wp:posOffset>
            </wp:positionV>
            <wp:extent cx="2459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(dollars in thousands)</w:t>
      </w:r>
    </w:p>
    <w:p>
      <w:pPr>
        <w:spacing w:after="0" w:line="59" w:lineRule="exact"/>
        <w:rPr>
          <w:sz w:val="20"/>
          <w:szCs w:val="20"/>
          <w:color w:val="auto"/>
        </w:rPr>
      </w:pPr>
    </w:p>
    <w:p>
      <w:pPr>
        <w:sectPr>
          <w:pgSz w:w="11900" w:h="16838" w:orient="portrait"/>
          <w:cols w:equalWidth="0" w:num="2">
            <w:col w:w="7420" w:space="720"/>
            <w:col w:w="310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D5DCE4"/>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168,305</w:t>
            </w:r>
          </w:p>
        </w:tc>
        <w:tc>
          <w:tcPr>
            <w:tcW w:w="80" w:type="dxa"/>
            <w:vAlign w:val="bottom"/>
            <w:shd w:val="clear" w:color="auto" w:fill="D5DCE4"/>
          </w:tcPr>
          <w:p>
            <w:pPr>
              <w:spacing w:after="0"/>
              <w:rPr>
                <w:sz w:val="20"/>
                <w:szCs w:val="20"/>
                <w:color w:val="auto"/>
              </w:rPr>
            </w:pPr>
          </w:p>
        </w:tc>
        <w:tc>
          <w:tcPr>
            <w:tcW w:w="620" w:type="dxa"/>
            <w:vAlign w:val="bottom"/>
            <w:shd w:val="clear" w:color="auto" w:fill="D5DCE4"/>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143,382</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62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2,496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3,614</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(13,849)</w:t>
            </w:r>
          </w:p>
        </w:tc>
        <w:tc>
          <w:tcPr>
            <w:tcW w:w="80" w:type="dxa"/>
            <w:vAlign w:val="bottom"/>
            <w:shd w:val="clear" w:color="auto" w:fill="D5DCE4"/>
          </w:tcPr>
          <w:p>
            <w:pPr>
              <w:spacing w:after="0"/>
              <w:rPr>
                <w:sz w:val="21"/>
                <w:szCs w:val="21"/>
                <w:color w:val="auto"/>
              </w:rPr>
            </w:pP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(21,060)</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1,718</w:t>
            </w:r>
          </w:p>
        </w:tc>
      </w:tr>
      <w:tr>
        <w:trPr>
          <w:trHeight w:val="251"/>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62,699</w:t>
            </w:r>
          </w:p>
        </w:tc>
        <w:tc>
          <w:tcPr>
            <w:tcW w:w="80" w:type="dxa"/>
            <w:vAlign w:val="bottom"/>
            <w:shd w:val="clear" w:color="auto" w:fill="D5DCE4"/>
          </w:tcPr>
          <w:p>
            <w:pPr>
              <w:spacing w:after="0"/>
              <w:rPr>
                <w:sz w:val="21"/>
                <w:szCs w:val="21"/>
                <w:color w:val="auto"/>
              </w:rPr>
            </w:pP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49,337</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62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594</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1,183</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53,279</w:t>
            </w:r>
          </w:p>
        </w:tc>
        <w:tc>
          <w:tcPr>
            <w:tcW w:w="80" w:type="dxa"/>
            <w:vAlign w:val="bottom"/>
            <w:shd w:val="clear" w:color="auto" w:fill="D5DCE4"/>
          </w:tcPr>
          <w:p>
            <w:pPr>
              <w:spacing w:after="0"/>
              <w:rPr>
                <w:sz w:val="21"/>
                <w:szCs w:val="21"/>
                <w:color w:val="auto"/>
              </w:rPr>
            </w:pP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43,638</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62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8,329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(2,284)</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6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r>
      <w:tr>
        <w:trPr>
          <w:trHeight w:val="236"/>
        </w:trPr>
        <w:tc>
          <w:tcPr>
            <w:tcW w:w="736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Other (income) loss, net</w:t>
            </w: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(4,221)</w:t>
            </w:r>
          </w:p>
        </w:tc>
        <w:tc>
          <w:tcPr>
            <w:tcW w:w="80" w:type="dxa"/>
            <w:vAlign w:val="bottom"/>
            <w:tcBorders>
              <w:bottom w:val="single" w:sz="8" w:color="D5DCE4"/>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68"/>
        </w:trPr>
        <w:tc>
          <w:tcPr>
            <w:tcW w:w="73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620" w:type="dxa"/>
            <w:vAlign w:val="bottom"/>
            <w:tcBorders>
              <w:bottom w:val="single" w:sz="8" w:color="auto"/>
            </w:tcBorders>
            <w:shd w:val="clear" w:color="auto" w:fill="D5DCE4"/>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278,219</w:t>
            </w:r>
          </w:p>
        </w:tc>
        <w:tc>
          <w:tcPr>
            <w:tcW w:w="80" w:type="dxa"/>
            <w:vAlign w:val="bottom"/>
            <w:tcBorders>
              <w:bottom w:val="single" w:sz="8" w:color="D5DCE4"/>
            </w:tcBorders>
            <w:shd w:val="clear" w:color="auto" w:fill="D5DCE4"/>
          </w:tcPr>
          <w:p>
            <w:pPr>
              <w:spacing w:after="0"/>
              <w:rPr>
                <w:sz w:val="22"/>
                <w:szCs w:val="22"/>
                <w:color w:val="auto"/>
              </w:rPr>
            </w:pPr>
          </w:p>
        </w:tc>
        <w:tc>
          <w:tcPr>
            <w:tcW w:w="620" w:type="dxa"/>
            <w:vAlign w:val="bottom"/>
            <w:tcBorders>
              <w:bottom w:val="single" w:sz="8" w:color="auto"/>
            </w:tcBorders>
            <w:shd w:val="clear" w:color="auto" w:fill="D5DCE4"/>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219,528</w:t>
            </w:r>
          </w:p>
        </w:tc>
      </w:tr>
      <w:tr>
        <w:trPr>
          <w:trHeight w:val="20"/>
        </w:trPr>
        <w:tc>
          <w:tcPr>
            <w:tcW w:w="7360" w:type="dxa"/>
            <w:vAlign w:val="bottom"/>
            <w:tcBorders>
              <w:top w:val="single" w:sz="8" w:color="D5DCE4"/>
            </w:tcBorders>
          </w:tcPr>
          <w:p>
            <w:pPr>
              <w:spacing w:after="0" w:line="20" w:lineRule="exact"/>
              <w:rPr>
                <w:sz w:val="1"/>
                <w:szCs w:val="1"/>
                <w:color w:val="auto"/>
              </w:rPr>
            </w:pPr>
          </w:p>
        </w:tc>
        <w:tc>
          <w:tcPr>
            <w:tcW w:w="6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6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6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(62,699)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(49,337)</w:t>
            </w:r>
          </w:p>
        </w:tc>
      </w:tr>
      <w:tr>
        <w:trPr>
          <w:trHeight w:val="251"/>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Add: D&amp;A related to acquisitions and the Refinitiv Transaction </w:t>
            </w:r>
            <w:r>
              <w:rPr>
                <w:rFonts w:ascii="Arial" w:cs="Arial" w:eastAsia="Arial" w:hAnsi="Arial"/>
                <w:sz w:val="21"/>
                <w:szCs w:val="21"/>
                <w:color w:val="auto"/>
                <w:vertAlign w:val="superscript"/>
              </w:rPr>
              <w:t>(5)</w:t>
            </w:r>
          </w:p>
        </w:tc>
        <w:tc>
          <w:tcPr>
            <w:tcW w:w="6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45,473</w:t>
            </w:r>
          </w:p>
        </w:tc>
        <w:tc>
          <w:tcPr>
            <w:tcW w:w="80" w:type="dxa"/>
            <w:vAlign w:val="bottom"/>
            <w:shd w:val="clear" w:color="auto" w:fill="D5DCE4"/>
          </w:tcPr>
          <w:p>
            <w:pPr>
              <w:spacing w:after="0"/>
              <w:rPr>
                <w:sz w:val="21"/>
                <w:szCs w:val="21"/>
                <w:color w:val="auto"/>
              </w:rPr>
            </w:pPr>
          </w:p>
        </w:tc>
        <w:tc>
          <w:tcPr>
            <w:tcW w:w="6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34,367</w:t>
            </w:r>
          </w:p>
        </w:tc>
      </w:tr>
      <w:tr>
        <w:trPr>
          <w:trHeight w:val="237"/>
        </w:trPr>
        <w:tc>
          <w:tcPr>
            <w:tcW w:w="736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260,993</w:t>
            </w: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204,558</w:t>
            </w:r>
          </w:p>
        </w:tc>
      </w:tr>
      <w:tr>
        <w:trPr>
          <w:trHeight w:val="20"/>
        </w:trPr>
        <w:tc>
          <w:tcPr>
            <w:tcW w:w="7360" w:type="dxa"/>
            <w:vAlign w:val="bottom"/>
            <w:tcBorders>
              <w:bottom w:val="single" w:sz="8" w:color="D5DCE4"/>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6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33.0 %</w:t>
            </w:r>
          </w:p>
        </w:tc>
        <w:tc>
          <w:tcPr>
            <w:tcW w:w="80" w:type="dxa"/>
            <w:vAlign w:val="bottom"/>
            <w:shd w:val="clear" w:color="auto" w:fill="D5DCE4"/>
          </w:tcPr>
          <w:p>
            <w:pPr>
              <w:spacing w:after="0"/>
              <w:rPr>
                <w:sz w:val="20"/>
                <w:szCs w:val="20"/>
                <w:color w:val="auto"/>
              </w:rPr>
            </w:pPr>
          </w:p>
        </w:tc>
        <w:tc>
          <w:tcPr>
            <w:tcW w:w="6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35.1 %</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54.6 %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53.7 %</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51.2 %</w:t>
            </w:r>
          </w:p>
        </w:tc>
        <w:tc>
          <w:tcPr>
            <w:tcW w:w="80" w:type="dxa"/>
            <w:vAlign w:val="bottom"/>
            <w:shd w:val="clear" w:color="auto" w:fill="D5DCE4"/>
          </w:tcPr>
          <w:p>
            <w:pPr>
              <w:spacing w:after="0"/>
              <w:rPr>
                <w:sz w:val="21"/>
                <w:szCs w:val="21"/>
                <w:color w:val="auto"/>
              </w:rPr>
            </w:pPr>
          </w:p>
        </w:tc>
        <w:tc>
          <w:tcPr>
            <w:tcW w:w="6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50.0 %</w:t>
            </w:r>
          </w:p>
        </w:tc>
      </w:tr>
    </w:tbl>
    <w:p>
      <w:pPr>
        <w:spacing w:after="0" w:line="122" w:lineRule="exact"/>
        <w:rPr>
          <w:sz w:val="20"/>
          <w:szCs w:val="20"/>
          <w:color w:val="auto"/>
        </w:rPr>
      </w:pPr>
    </w:p>
    <w:p>
      <w:pPr>
        <w:ind w:left="440" w:right="240" w:hanging="414"/>
        <w:spacing w:after="0" w:line="183" w:lineRule="auto"/>
        <w:tabs>
          <w:tab w:leader="none" w:pos="4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160" w:hanging="414"/>
        <w:spacing w:after="0" w:line="276"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2025, this adjustment also includes $0.6 million of non-cash stock-based compensation expense and related payroll taxes associated with RSAs and RSUs issued to help retain key ICD employees during the integration of ICD.</w:t>
      </w:r>
    </w:p>
    <w:p>
      <w:pPr>
        <w:spacing w:after="0" w:line="9" w:lineRule="exact"/>
        <w:rPr>
          <w:rFonts w:ascii="Arial" w:cs="Arial" w:eastAsia="Arial" w:hAnsi="Arial"/>
          <w:sz w:val="12"/>
          <w:szCs w:val="12"/>
          <w:color w:val="auto"/>
        </w:rPr>
      </w:pPr>
    </w:p>
    <w:p>
      <w:pPr>
        <w:ind w:left="440" w:right="1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50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44"/>
        </w:trPr>
        <w:tc>
          <w:tcPr>
            <w:tcW w:w="7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39"/>
        </w:trPr>
        <w:tc>
          <w:tcPr>
            <w:tcW w:w="75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 Adjusted Diluted EPS</w:t>
            </w:r>
          </w:p>
        </w:tc>
        <w:tc>
          <w:tcPr>
            <w:tcW w:w="200" w:type="dxa"/>
            <w:vAlign w:val="bottom"/>
          </w:tcPr>
          <w:p>
            <w:pPr>
              <w:spacing w:after="0"/>
              <w:rPr>
                <w:sz w:val="20"/>
                <w:szCs w:val="20"/>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199"/>
        </w:trPr>
        <w:tc>
          <w:tcPr>
            <w:tcW w:w="7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100" w:type="dxa"/>
            <w:vAlign w:val="bottom"/>
          </w:tcPr>
          <w:p>
            <w:pPr>
              <w:spacing w:after="0"/>
              <w:rPr>
                <w:sz w:val="17"/>
                <w:szCs w:val="17"/>
                <w:color w:val="auto"/>
              </w:rPr>
            </w:pPr>
          </w:p>
        </w:tc>
        <w:tc>
          <w:tcPr>
            <w:tcW w:w="1800" w:type="dxa"/>
            <w:vAlign w:val="bottom"/>
            <w:tcBorders>
              <w:top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except per share</w:t>
            </w:r>
          </w:p>
        </w:tc>
      </w:tr>
      <w:tr>
        <w:trPr>
          <w:trHeight w:val="226"/>
        </w:trPr>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tcPr>
          <w:p>
            <w:pPr>
              <w:spacing w:after="0"/>
              <w:rPr>
                <w:sz w:val="19"/>
                <w:szCs w:val="19"/>
                <w:color w:val="auto"/>
              </w:rPr>
            </w:pPr>
          </w:p>
        </w:tc>
      </w:tr>
      <w:tr>
        <w:trPr>
          <w:trHeight w:val="272"/>
        </w:trPr>
        <w:tc>
          <w:tcPr>
            <w:tcW w:w="754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D5DCE4"/>
            </w:tcBorders>
            <w:shd w:val="clear" w:color="auto" w:fill="D5DCE4"/>
          </w:tcPr>
          <w:p>
            <w:pPr>
              <w:spacing w:after="0"/>
              <w:rPr>
                <w:sz w:val="23"/>
                <w:szCs w:val="23"/>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r>
      <w:tr>
        <w:trPr>
          <w:trHeight w:val="20"/>
        </w:trPr>
        <w:tc>
          <w:tcPr>
            <w:tcW w:w="74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148,382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126,142</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19,923</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17,240</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168,305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143,382</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53,279</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43,638</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3,614</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45,473</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34,367</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8,329</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(2,284)</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(4,221)</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274,255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223,900</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(68,564)</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(55,975)</w:t>
            </w:r>
          </w:p>
        </w:tc>
      </w:tr>
      <w:tr>
        <w:trPr>
          <w:trHeight w:val="236"/>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167,925</w:t>
            </w:r>
          </w:p>
        </w:tc>
      </w:tr>
      <w:tr>
        <w:trPr>
          <w:trHeight w:val="20"/>
        </w:trPr>
        <w:tc>
          <w:tcPr>
            <w:tcW w:w="74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2"/>
        </w:trPr>
        <w:tc>
          <w:tcPr>
            <w:tcW w:w="7540" w:type="dxa"/>
            <w:vAlign w:val="bottom"/>
            <w:tcBorders>
              <w:bottom w:val="single" w:sz="8" w:color="D5DCE4"/>
            </w:tcBorders>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74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6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73" w:right="339" w:bottom="1440" w:gutter="0" w:footer="0" w:header="0"/>
          <w:type w:val="continuous"/>
        </w:sectPr>
      </w:pPr>
    </w:p>
    <w:bookmarkStart w:id="8" w:name="page9"/>
    <w:bookmarkEnd w:id="8"/>
    <w:p>
      <w:pPr>
        <w:ind w:left="440" w:right="2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440" w:right="26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440" w:right="38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180" w:hanging="414"/>
        <w:spacing w:after="0" w:line="26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2025, this adjustment also includes $0.6 million of non-cash stock-based compensation expense and related payroll taxes associated with RSAs and RSUs issued to help retain key ICD employees during the integration of ICD.</w:t>
      </w:r>
    </w:p>
    <w:p>
      <w:pPr>
        <w:spacing w:after="0" w:line="30" w:lineRule="exact"/>
        <w:rPr>
          <w:rFonts w:ascii="Arial" w:cs="Arial" w:eastAsia="Arial" w:hAnsi="Arial"/>
          <w:sz w:val="12"/>
          <w:szCs w:val="12"/>
          <w:color w:val="auto"/>
        </w:rPr>
      </w:pPr>
    </w:p>
    <w:p>
      <w:pPr>
        <w:ind w:left="440" w:right="16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52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spacing w:after="0" w:line="11" w:lineRule="exact"/>
        <w:rPr>
          <w:rFonts w:ascii="Arial" w:cs="Arial" w:eastAsia="Arial" w:hAnsi="Arial"/>
          <w:sz w:val="12"/>
          <w:szCs w:val="12"/>
          <w:color w:val="auto"/>
        </w:rPr>
      </w:pPr>
    </w:p>
    <w:p>
      <w:pPr>
        <w:ind w:left="440" w:hanging="414"/>
        <w:spacing w:after="0"/>
        <w:tabs>
          <w:tab w:leader="none" w:pos="440" w:val="left"/>
        </w:tabs>
        <w:numPr>
          <w:ilvl w:val="0"/>
          <w:numId w:val="10"/>
        </w:numPr>
        <w:rPr>
          <w:rFonts w:ascii="Arial" w:cs="Arial" w:eastAsia="Arial" w:hAnsi="Arial"/>
          <w:sz w:val="24"/>
          <w:szCs w:val="24"/>
          <w:color w:val="auto"/>
          <w:vertAlign w:val="superscript"/>
        </w:rPr>
      </w:pPr>
      <w:r>
        <w:rPr>
          <w:rFonts w:ascii="Arial" w:cs="Arial" w:eastAsia="Arial" w:hAnsi="Arial"/>
          <w:sz w:val="12"/>
          <w:szCs w:val="12"/>
          <w:color w:val="auto"/>
        </w:rPr>
        <w:t>Represents corporate income taxes at an assumed effective tax rate of 25.0% applied to Adjusted Net Income before income taxes for both the three months ended March 31, 2025 and March 31, 2024</w:t>
      </w:r>
      <w:r>
        <w:rPr>
          <w:rFonts w:ascii="Arial" w:cs="Arial" w:eastAsia="Arial" w:hAnsi="Arial"/>
          <w:sz w:val="14"/>
          <w:szCs w:val="14"/>
          <w:color w:val="auto"/>
        </w:rPr>
        <w:t>.</w:t>
      </w:r>
    </w:p>
    <w:p>
      <w:pPr>
        <w:spacing w:after="0" w:line="47" w:lineRule="exact"/>
        <w:rPr>
          <w:rFonts w:ascii="Arial" w:cs="Arial" w:eastAsia="Arial" w:hAnsi="Arial"/>
          <w:sz w:val="24"/>
          <w:szCs w:val="24"/>
          <w:color w:val="auto"/>
          <w:vertAlign w:val="superscript"/>
        </w:rPr>
      </w:pPr>
    </w:p>
    <w:p>
      <w:pPr>
        <w:ind w:left="440" w:right="100" w:hanging="414"/>
        <w:spacing w:after="0" w:line="250"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64"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Three Months Ended</w:t>
      </w:r>
    </w:p>
    <w:p>
      <w:pPr>
        <w:sectPr>
          <w:pgSz w:w="11900" w:h="16838" w:orient="portrait"/>
          <w:cols w:equalWidth="0" w:num="1">
            <w:col w:w="11240"/>
          </w:cols>
          <w:pgMar w:left="320" w:top="936" w:right="339" w:bottom="1440" w:gutter="0" w:footer="0" w:header="0"/>
        </w:sectPr>
      </w:pPr>
    </w:p>
    <w:p>
      <w:pPr>
        <w:spacing w:after="0" w:line="113" w:lineRule="exact"/>
        <w:rPr>
          <w:sz w:val="20"/>
          <w:szCs w:val="20"/>
          <w:color w:val="auto"/>
        </w:rPr>
      </w:pPr>
    </w:p>
    <w:p>
      <w:pPr>
        <w:ind w:left="20" w:right="280"/>
        <w:spacing w:after="0" w:line="296"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29210</wp:posOffset>
            </wp:positionV>
            <wp:extent cx="2348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3"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73"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6"/>
          <w:szCs w:val="16"/>
          <w:color w:val="auto"/>
        </w:rPr>
        <w:t>214,895,418</w:t>
      </w:r>
      <w:r>
        <w:rPr>
          <w:sz w:val="20"/>
          <w:szCs w:val="20"/>
          <w:color w:val="auto"/>
        </w:rPr>
        <w:tab/>
      </w:r>
      <w:r>
        <w:rPr>
          <w:rFonts w:ascii="Arial" w:cs="Arial" w:eastAsia="Arial" w:hAnsi="Arial"/>
          <w:sz w:val="16"/>
          <w:szCs w:val="16"/>
          <w:color w:val="auto"/>
        </w:rPr>
        <w:t>214,660,853</w:t>
      </w:r>
    </w:p>
    <w:p>
      <w:pPr>
        <w:spacing w:after="0" w:line="59" w:lineRule="exact"/>
        <w:rPr>
          <w:sz w:val="20"/>
          <w:szCs w:val="20"/>
          <w:color w:val="auto"/>
        </w:rPr>
      </w:pPr>
    </w:p>
    <w:p>
      <w:pPr>
        <w:jc w:val="both"/>
        <w:ind w:left="440"/>
        <w:spacing w:after="0"/>
        <w:tabs>
          <w:tab w:leader="none" w:pos="2300" w:val="left"/>
        </w:tabs>
        <w:rPr>
          <w:sz w:val="20"/>
          <w:szCs w:val="20"/>
          <w:color w:val="auto"/>
        </w:rPr>
      </w:pPr>
      <w:r>
        <w:rPr>
          <w:rFonts w:ascii="Arial" w:cs="Arial" w:eastAsia="Arial" w:hAnsi="Arial"/>
          <w:sz w:val="16"/>
          <w:szCs w:val="16"/>
          <w:color w:val="auto"/>
        </w:rPr>
        <w:t>185,309</w:t>
      </w:r>
      <w:r>
        <w:rPr>
          <w:sz w:val="20"/>
          <w:szCs w:val="20"/>
          <w:color w:val="auto"/>
        </w:rPr>
        <w:tab/>
      </w:r>
      <w:r>
        <w:rPr>
          <w:rFonts w:ascii="Arial" w:cs="Arial" w:eastAsia="Arial" w:hAnsi="Arial"/>
          <w:sz w:val="16"/>
          <w:szCs w:val="16"/>
          <w:color w:val="auto"/>
        </w:rPr>
        <w:t>159,957</w:t>
      </w:r>
    </w:p>
    <w:p>
      <w:pPr>
        <w:spacing w:after="0" w:line="59" w:lineRule="exact"/>
        <w:rPr>
          <w:sz w:val="20"/>
          <w:szCs w:val="20"/>
          <w:color w:val="auto"/>
        </w:rPr>
      </w:pPr>
    </w:p>
    <w:p>
      <w:pPr>
        <w:ind w:left="200"/>
        <w:spacing w:after="0"/>
        <w:tabs>
          <w:tab w:leader="none" w:pos="2080" w:val="left"/>
        </w:tabs>
        <w:rPr>
          <w:sz w:val="20"/>
          <w:szCs w:val="20"/>
          <w:color w:val="auto"/>
        </w:rPr>
      </w:pPr>
      <w:r>
        <w:rPr>
          <w:rFonts w:ascii="Arial" w:cs="Arial" w:eastAsia="Arial" w:hAnsi="Arial"/>
          <w:sz w:val="15"/>
          <w:szCs w:val="15"/>
          <w:color w:val="auto"/>
        </w:rPr>
        <w:t>23,070,027</w:t>
      </w:r>
      <w:r>
        <w:rPr>
          <w:sz w:val="20"/>
          <w:szCs w:val="20"/>
          <w:color w:val="auto"/>
        </w:rPr>
        <w:tab/>
      </w:r>
      <w:r>
        <w:rPr>
          <w:rFonts w:ascii="Arial" w:cs="Arial" w:eastAsia="Arial" w:hAnsi="Arial"/>
          <w:sz w:val="15"/>
          <w:szCs w:val="15"/>
          <w:color w:val="auto"/>
        </w:rPr>
        <w:t>23,077,973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36830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540" w:space="720"/>
            <w:col w:w="298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238,150,754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237,898,783</w:t>
            </w:r>
          </w:p>
        </w:tc>
      </w:tr>
      <w:tr>
        <w:trPr>
          <w:trHeight w:val="20"/>
        </w:trPr>
        <w:tc>
          <w:tcPr>
            <w:tcW w:w="754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2"/>
        </w:trPr>
        <w:tc>
          <w:tcPr>
            <w:tcW w:w="75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205,691</w:t>
            </w:r>
          </w:p>
        </w:tc>
        <w:tc>
          <w:tcPr>
            <w:tcW w:w="10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167,925</w:t>
            </w:r>
          </w:p>
        </w:tc>
      </w:tr>
      <w:tr>
        <w:trPr>
          <w:trHeight w:val="20"/>
        </w:trPr>
        <w:tc>
          <w:tcPr>
            <w:tcW w:w="754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7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the weighted average of unvested stock awards and unsettled vested stock awards issued to certain retired or terminated employees that are entitled to non-forfeitable dividend equivalent</w:t>
      </w:r>
    </w:p>
    <w:p>
      <w:pPr>
        <w:spacing w:after="0" w:line="1" w:lineRule="exact"/>
        <w:rPr>
          <w:sz w:val="20"/>
          <w:szCs w:val="20"/>
          <w:color w:val="auto"/>
        </w:rPr>
      </w:pPr>
    </w:p>
    <w:p>
      <w:pPr>
        <w:ind w:left="440" w:right="22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260" w:hanging="414"/>
        <w:spacing w:after="0" w:line="186" w:lineRule="auto"/>
        <w:tabs>
          <w:tab w:leader="none" w:pos="440" w:val="left"/>
        </w:tabs>
        <w:numPr>
          <w:ilvl w:val="0"/>
          <w:numId w:val="11"/>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r>
      <w:tr>
        <w:trPr>
          <w:trHeight w:val="244"/>
        </w:trPr>
        <w:tc>
          <w:tcPr>
            <w:tcW w:w="7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3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420" w:type="dxa"/>
            <w:vAlign w:val="bottom"/>
          </w:tcPr>
          <w:p>
            <w:pPr>
              <w:spacing w:after="0"/>
              <w:rPr>
                <w:sz w:val="20"/>
                <w:szCs w:val="20"/>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37"/>
        </w:trPr>
        <w:tc>
          <w:tcPr>
            <w:tcW w:w="7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4"/>
          </w:tcPr>
          <w:p>
            <w:pPr>
              <w:jc w:val="center"/>
              <w:ind w:right="31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305,576</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241,061</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(3,614)</w:t>
            </w:r>
          </w:p>
        </w:tc>
      </w:tr>
      <w:tr>
        <w:trPr>
          <w:trHeight w:val="243"/>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420" w:type="dxa"/>
            <w:vAlign w:val="bottom"/>
            <w:shd w:val="clear" w:color="auto" w:fill="D5DCE4"/>
          </w:tcPr>
          <w:p>
            <w:pPr>
              <w:spacing w:after="0"/>
              <w:rPr>
                <w:sz w:val="21"/>
                <w:szCs w:val="21"/>
                <w:color w:val="auto"/>
              </w:rPr>
            </w:pP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(45,473)</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(34,367)</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43"/>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420" w:type="dxa"/>
            <w:vAlign w:val="bottom"/>
            <w:tcBorders>
              <w:bottom w:val="single" w:sz="8" w:color="auto"/>
            </w:tcBorders>
            <w:shd w:val="clear" w:color="auto" w:fill="D5DCE4"/>
          </w:tcPr>
          <w:p>
            <w:pPr>
              <w:spacing w:after="0"/>
              <w:rPr>
                <w:sz w:val="21"/>
                <w:szCs w:val="21"/>
                <w:color w:val="auto"/>
              </w:rPr>
            </w:pPr>
          </w:p>
        </w:tc>
        <w:tc>
          <w:tcPr>
            <w:tcW w:w="13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(8,329)</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2,284</w:t>
            </w:r>
          </w:p>
        </w:tc>
      </w:tr>
      <w:tr>
        <w:trPr>
          <w:trHeight w:val="236"/>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248,684</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204,181</w:t>
            </w: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183" w:lineRule="auto"/>
        <w:tabs>
          <w:tab w:leader="none" w:pos="440" w:val="left"/>
        </w:tabs>
        <w:numPr>
          <w:ilvl w:val="0"/>
          <w:numId w:val="12"/>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360" w:hanging="414"/>
        <w:spacing w:after="0" w:line="293"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160" w:hanging="414"/>
        <w:spacing w:after="0" w:line="276"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2025, this adjustment also includes $0.6 million of non-cash stock-based compensation expense and related payroll taxes associated with RSAs and RSUs issued to help retain key ICD employees during the integration of ICD.</w:t>
      </w:r>
    </w:p>
    <w:p>
      <w:pPr>
        <w:spacing w:after="0" w:line="9" w:lineRule="exact"/>
        <w:rPr>
          <w:rFonts w:ascii="Arial" w:cs="Arial" w:eastAsia="Arial" w:hAnsi="Arial"/>
          <w:sz w:val="12"/>
          <w:szCs w:val="12"/>
          <w:color w:val="auto"/>
        </w:rPr>
      </w:pPr>
    </w:p>
    <w:p>
      <w:pPr>
        <w:ind w:left="440" w:right="140" w:hanging="414"/>
        <w:spacing w:after="0" w:line="29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936"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Trailing Twelve Months Ended March 31,</w:t>
            </w:r>
          </w:p>
        </w:tc>
      </w:tr>
      <w:tr>
        <w:trPr>
          <w:trHeight w:val="23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200" w:type="dxa"/>
            <w:vAlign w:val="bottom"/>
          </w:tcPr>
          <w:p>
            <w:pPr>
              <w:spacing w:after="0"/>
              <w:rPr>
                <w:sz w:val="20"/>
                <w:szCs w:val="20"/>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37"/>
        </w:trPr>
        <w:tc>
          <w:tcPr>
            <w:tcW w:w="7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0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920,034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713,163</w:t>
            </w:r>
          </w:p>
        </w:tc>
      </w:tr>
      <w:tr>
        <w:trPr>
          <w:trHeight w:val="23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(50,403)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(44,078)</w:t>
            </w:r>
          </w:p>
        </w:tc>
      </w:tr>
      <w:tr>
        <w:trPr>
          <w:trHeight w:val="244"/>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(36,016)</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3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(18,239)</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833,615</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650,846</w:t>
            </w:r>
          </w:p>
        </w:tc>
      </w:tr>
      <w:tr>
        <w:trPr>
          <w:trHeight w:val="21"/>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200" w:type="dxa"/>
            <w:vAlign w:val="bottom"/>
          </w:tcPr>
          <w:p>
            <w:pPr>
              <w:spacing w:after="0"/>
              <w:rPr>
                <w:sz w:val="20"/>
                <w:szCs w:val="20"/>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100" w:type="dxa"/>
            <w:vAlign w:val="bottom"/>
          </w:tcPr>
          <w:p>
            <w:pPr>
              <w:spacing w:after="0"/>
              <w:rPr>
                <w:sz w:val="17"/>
                <w:szCs w:val="17"/>
                <w:color w:val="auto"/>
              </w:rPr>
            </w:pPr>
          </w:p>
        </w:tc>
        <w:tc>
          <w:tcPr>
            <w:tcW w:w="1800" w:type="dxa"/>
            <w:vAlign w:val="bottom"/>
            <w:tcBorders>
              <w:top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except per share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6700" w:type="dxa"/>
            <w:vAlign w:val="bottom"/>
            <w:tcBorders>
              <w:bottom w:val="single" w:sz="8" w:color="D5DCE4"/>
            </w:tcBorders>
            <w:gridSpan w:val="3"/>
            <w:shd w:val="clear" w:color="auto" w:fill="D5DCE4"/>
          </w:tcPr>
          <w:p>
            <w:pPr>
              <w:spacing w:after="0"/>
              <w:rPr>
                <w:sz w:val="19"/>
                <w:szCs w:val="19"/>
                <w:color w:val="auto"/>
              </w:rPr>
            </w:pPr>
          </w:p>
        </w:tc>
        <w:tc>
          <w:tcPr>
            <w:tcW w:w="200" w:type="dxa"/>
            <w:vAlign w:val="bottom"/>
            <w:tcBorders>
              <w:bottom w:val="single" w:sz="8" w:color="D5DCE4"/>
            </w:tcBorders>
            <w:shd w:val="clear" w:color="auto" w:fill="D5DCE4"/>
          </w:tcPr>
          <w:p>
            <w:pPr>
              <w:spacing w:after="0"/>
              <w:rPr>
                <w:sz w:val="19"/>
                <w:szCs w:val="19"/>
                <w:color w:val="auto"/>
              </w:rPr>
            </w:pPr>
          </w:p>
        </w:tc>
        <w:tc>
          <w:tcPr>
            <w:tcW w:w="1600" w:type="dxa"/>
            <w:vAlign w:val="bottom"/>
            <w:tcBorders>
              <w:bottom w:val="single" w:sz="8" w:color="D5DCE4"/>
            </w:tcBorders>
            <w:shd w:val="clear" w:color="auto" w:fill="D5DCE4"/>
          </w:tcPr>
          <w:p>
            <w:pPr>
              <w:spacing w:after="0"/>
              <w:rPr>
                <w:sz w:val="19"/>
                <w:szCs w:val="19"/>
                <w:color w:val="auto"/>
              </w:rPr>
            </w:pPr>
          </w:p>
        </w:tc>
        <w:tc>
          <w:tcPr>
            <w:tcW w:w="100" w:type="dxa"/>
            <w:vAlign w:val="bottom"/>
            <w:tcBorders>
              <w:bottom w:val="single" w:sz="8" w:color="D5DCE4"/>
            </w:tcBorders>
            <w:shd w:val="clear" w:color="auto" w:fill="D5DCE4"/>
          </w:tcPr>
          <w:p>
            <w:pPr>
              <w:spacing w:after="0"/>
              <w:rPr>
                <w:sz w:val="19"/>
                <w:szCs w:val="19"/>
                <w:color w:val="auto"/>
              </w:rPr>
            </w:pPr>
          </w:p>
        </w:tc>
        <w:tc>
          <w:tcPr>
            <w:tcW w:w="520" w:type="dxa"/>
            <w:vAlign w:val="bottom"/>
            <w:tcBorders>
              <w:bottom w:val="single" w:sz="8" w:color="D5DCE4"/>
            </w:tcBorders>
            <w:shd w:val="clear" w:color="auto" w:fill="D5DCE4"/>
          </w:tcPr>
          <w:p>
            <w:pPr>
              <w:spacing w:after="0"/>
              <w:rPr>
                <w:sz w:val="19"/>
                <w:szCs w:val="19"/>
                <w:color w:val="auto"/>
              </w:rPr>
            </w:pPr>
          </w:p>
        </w:tc>
        <w:tc>
          <w:tcPr>
            <w:tcW w:w="12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148,382</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126,142</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75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Less: Distributed and undistributed earnings allocated to participating securities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 B common stock - Basic and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148,253</w:t>
            </w:r>
          </w:p>
        </w:tc>
        <w:tc>
          <w:tcPr>
            <w:tcW w:w="100" w:type="dxa"/>
            <w:vAlign w:val="bottom"/>
          </w:tcPr>
          <w:p>
            <w:pPr>
              <w:spacing w:after="0"/>
              <w:rPr>
                <w:sz w:val="16"/>
                <w:szCs w:val="16"/>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126,047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4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4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100" w:type="dxa"/>
            <w:vAlign w:val="bottom"/>
            <w:shd w:val="clear" w:color="auto" w:fill="D5DCE4"/>
          </w:tcPr>
          <w:p>
            <w:pPr>
              <w:spacing w:after="0"/>
              <w:rPr>
                <w:sz w:val="19"/>
                <w:szCs w:val="19"/>
                <w:color w:val="auto"/>
              </w:rPr>
            </w:pPr>
          </w:p>
        </w:tc>
        <w:tc>
          <w:tcPr>
            <w:tcW w:w="5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5DCE4"/>
          </w:tcPr>
          <w:p>
            <w:pPr>
              <w:spacing w:after="0"/>
              <w:rPr>
                <w:sz w:val="21"/>
                <w:szCs w:val="21"/>
                <w:color w:val="auto"/>
              </w:rPr>
            </w:pPr>
          </w:p>
        </w:tc>
        <w:tc>
          <w:tcPr>
            <w:tcW w:w="75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213,087,496</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212,709,872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434,441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500,978</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752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289,873</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599,574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553,747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444,066</w:t>
            </w: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752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529,861</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406,363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214,895,418</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214,660,853</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4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4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100" w:type="dxa"/>
            <w:vAlign w:val="bottom"/>
            <w:shd w:val="clear" w:color="auto" w:fill="D5DCE4"/>
          </w:tcPr>
          <w:p>
            <w:pPr>
              <w:spacing w:after="0"/>
              <w:rPr>
                <w:sz w:val="19"/>
                <w:szCs w:val="19"/>
                <w:color w:val="auto"/>
              </w:rPr>
            </w:pPr>
          </w:p>
        </w:tc>
        <w:tc>
          <w:tcPr>
            <w:tcW w:w="5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4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752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64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40" w:right="200" w:hanging="414"/>
        <w:spacing w:after="0" w:line="183" w:lineRule="auto"/>
        <w:tabs>
          <w:tab w:leader="none" w:pos="440" w:val="left"/>
        </w:tabs>
        <w:numPr>
          <w:ilvl w:val="0"/>
          <w:numId w:val="13"/>
        </w:numPr>
        <w:rPr>
          <w:rFonts w:ascii="Arial" w:cs="Arial" w:eastAsia="Arial" w:hAnsi="Arial"/>
          <w:sz w:val="23"/>
          <w:szCs w:val="23"/>
          <w:color w:val="auto"/>
          <w:vertAlign w:val="subscript"/>
        </w:rPr>
      </w:pPr>
      <w:r>
        <w:rPr>
          <w:rFonts w:ascii="Arial" w:cs="Arial" w:eastAsia="Arial" w:hAnsi="Arial"/>
          <w:sz w:val="12"/>
          <w:szCs w:val="12"/>
          <w:color w:val="auto"/>
        </w:rPr>
        <w:t>During the three months ended March 31, 2025 and 2024, there was a total of 185,309 and 159,957, respectively, weighted average unvested or unsettled vested stock awards that were considered a participating security for purposes of calculating earnings per share in accordance with the two-class method.</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2025</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2024</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9"/>
                <w:szCs w:val="19"/>
                <w:color w:val="auto"/>
              </w:rPr>
            </w:pPr>
          </w:p>
        </w:tc>
        <w:tc>
          <w:tcPr>
            <w:tcW w:w="22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Variable</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7"/>
        </w:trPr>
        <w:tc>
          <w:tcPr>
            <w:tcW w:w="1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197,357</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68,075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153,697</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60,396</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43,660</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7,679</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28.4 %</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113,542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10,458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108,028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2,647</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5.1 %</w:t>
            </w:r>
          </w:p>
        </w:tc>
        <w:tc>
          <w:tcPr>
            <w:tcW w:w="920" w:type="dxa"/>
            <w:vAlign w:val="bottom"/>
          </w:tcPr>
          <w:p>
            <w:pPr>
              <w:jc w:val="right"/>
              <w:spacing w:after="0"/>
              <w:rPr>
                <w:sz w:val="20"/>
                <w:szCs w:val="20"/>
                <w:color w:val="auto"/>
              </w:rPr>
            </w:pPr>
            <w:r>
              <w:rPr>
                <w:rFonts w:ascii="Arial" w:cs="Arial" w:eastAsia="Arial" w:hAnsi="Arial"/>
                <w:sz w:val="16"/>
                <w:szCs w:val="16"/>
                <w:color w:val="auto"/>
              </w:rPr>
              <w:t>33.9 %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29,206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2,204</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24,674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2,376</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4,532</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18.4 %</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4,317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213.6 %</w:t>
            </w:r>
          </w:p>
        </w:tc>
        <w:tc>
          <w:tcPr>
            <w:tcW w:w="9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38,596</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28,890</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9,706</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(15.9)%</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33.6 %</w:t>
            </w:r>
          </w:p>
        </w:tc>
      </w:tr>
      <w:tr>
        <w:trPr>
          <w:trHeight w:val="236"/>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6,018</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D5DCE4"/>
            </w:tcBorders>
          </w:tcPr>
          <w:p>
            <w:pPr>
              <w:spacing w:after="0"/>
              <w:rPr>
                <w:sz w:val="20"/>
                <w:szCs w:val="20"/>
                <w:color w:val="auto"/>
              </w:rPr>
            </w:pPr>
          </w:p>
        </w:tc>
        <w:tc>
          <w:tcPr>
            <w:tcW w:w="1300" w:type="dxa"/>
            <w:vAlign w:val="bottom"/>
            <w:tcBorders>
              <w:bottom w:val="single" w:sz="8" w:color="D5DCE4"/>
            </w:tcBorders>
          </w:tcPr>
          <w:p>
            <w:pPr>
              <w:jc w:val="right"/>
              <w:ind w:right="119"/>
              <w:spacing w:after="0"/>
              <w:rPr>
                <w:sz w:val="20"/>
                <w:szCs w:val="20"/>
                <w:color w:val="auto"/>
              </w:rPr>
            </w:pPr>
            <w:r>
              <w:rPr>
                <w:rFonts w:ascii="Arial" w:cs="Arial" w:eastAsia="Arial" w:hAnsi="Arial"/>
                <w:sz w:val="16"/>
                <w:szCs w:val="16"/>
                <w:color w:val="auto"/>
              </w:rPr>
              <w:t>N/M</w:t>
            </w:r>
          </w:p>
        </w:tc>
        <w:tc>
          <w:tcPr>
            <w:tcW w:w="92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1.2 %</w:t>
            </w: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380,009</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129,668</w:t>
            </w:r>
          </w:p>
        </w:tc>
        <w:tc>
          <w:tcPr>
            <w:tcW w:w="14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299,094</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109,645</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80,915</w:t>
            </w:r>
          </w:p>
        </w:tc>
        <w:tc>
          <w:tcPr>
            <w:tcW w:w="80" w:type="dxa"/>
            <w:vAlign w:val="bottom"/>
            <w:shd w:val="clear" w:color="auto" w:fill="D5DCE4"/>
          </w:tcPr>
          <w:p>
            <w:pPr>
              <w:spacing w:after="0"/>
              <w:rPr>
                <w:sz w:val="22"/>
                <w:szCs w:val="22"/>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20,023</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27.1 %</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18.3 %</w:t>
            </w:r>
          </w:p>
        </w:tc>
      </w:tr>
      <w:tr>
        <w:trPr>
          <w:trHeight w:val="20"/>
        </w:trPr>
        <w:tc>
          <w:tcPr>
            <w:tcW w:w="192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300" w:type="dxa"/>
            <w:vAlign w:val="bottom"/>
            <w:tcBorders>
              <w:top w:val="single" w:sz="8" w:color="D5DCE4"/>
            </w:tcBorders>
          </w:tcPr>
          <w:p>
            <w:pPr>
              <w:spacing w:after="0" w:line="20" w:lineRule="exact"/>
              <w:rPr>
                <w:sz w:val="1"/>
                <w:szCs w:val="1"/>
                <w:color w:val="auto"/>
              </w:rPr>
            </w:pPr>
          </w:p>
        </w:tc>
        <w:tc>
          <w:tcPr>
            <w:tcW w:w="920" w:type="dxa"/>
            <w:vAlign w:val="bottom"/>
            <w:tcBorders>
              <w:top w:val="single" w:sz="8" w:color="D5DCE4"/>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620" w:type="dxa"/>
            <w:vAlign w:val="bottom"/>
          </w:tcPr>
          <w:p>
            <w:pPr>
              <w:spacing w:after="0"/>
              <w:rPr>
                <w:sz w:val="19"/>
                <w:szCs w:val="19"/>
                <w:color w:val="auto"/>
              </w:rPr>
            </w:pPr>
          </w:p>
        </w:tc>
      </w:tr>
      <w:tr>
        <w:trPr>
          <w:trHeight w:val="244"/>
        </w:trPr>
        <w:tc>
          <w:tcPr>
            <w:tcW w:w="6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646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2.22</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1.98</w:t>
            </w:r>
          </w:p>
        </w:tc>
        <w:tc>
          <w:tcPr>
            <w:tcW w:w="80" w:type="dxa"/>
            <w:vAlign w:val="bottom"/>
            <w:shd w:val="clear" w:color="auto" w:fill="D5DCE4"/>
          </w:tcPr>
          <w:p>
            <w:pPr>
              <w:spacing w:after="0"/>
              <w:rPr>
                <w:sz w:val="20"/>
                <w:szCs w:val="20"/>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12.3 %</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29.5 %</w:t>
            </w: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41.9 %</w:t>
            </w:r>
          </w:p>
        </w:tc>
      </w:tr>
      <w:tr>
        <w:trPr>
          <w:trHeight w:val="251"/>
        </w:trPr>
        <w:tc>
          <w:tcPr>
            <w:tcW w:w="64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9.9 %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37.96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50.39</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(24.7)%</w:t>
            </w:r>
          </w:p>
        </w:tc>
      </w:tr>
      <w:tr>
        <w:trPr>
          <w:trHeight w:val="243"/>
        </w:trPr>
        <w:tc>
          <w:tcPr>
            <w:tcW w:w="64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134.28</w:t>
            </w:r>
          </w:p>
        </w:tc>
        <w:tc>
          <w:tcPr>
            <w:tcW w:w="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150.84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43"/>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18.16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14.68</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23.7 %</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30.39</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25.95</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43.6 %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0.55</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53.8 %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2.31</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(9.9)%</w:t>
            </w:r>
          </w:p>
        </w:tc>
      </w:tr>
      <w:tr>
        <w:trPr>
          <w:trHeight w:val="302"/>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8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(11.5)%</w:t>
            </w:r>
          </w:p>
        </w:tc>
      </w:tr>
    </w:tbl>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blended fees per million across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2025 Q1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2024 Q1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Asset Class</w:t>
            </w:r>
          </w:p>
        </w:tc>
        <w:tc>
          <w:tcPr>
            <w:tcW w:w="2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8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558,883</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34,192,846</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465,682</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28,267,435</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244,269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14,900,433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200,323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11,981,691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59,757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3,764,712</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50,267</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3,166,836</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18.88 %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243,352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14,844,482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204,085</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12,449,165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11,504</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683,219</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11,007</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669,744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884,151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54,575,779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800,001</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49,421,649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10.52 %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511,006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31,417,062</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502,364</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31,037,681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365,224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22,651,641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288,504</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17,892,088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7,921</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507,075</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9,134</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491,880</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1,443,034</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88,768,625</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1,265,684</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77,689,084</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18,264</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1,110,471</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17,419</w:t>
            </w:r>
          </w:p>
        </w:tc>
        <w:tc>
          <w:tcPr>
            <w:tcW w:w="40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1,061,745</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ind w:left="50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7,655</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466,957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6,714</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409,570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3,474</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211,901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3,413</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208,203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45,641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322</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19,655</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324</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19,771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176,415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2,519</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158,725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414</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25,238</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323</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19,701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182,602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18,168</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282</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17,531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30,427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1,880,661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17,502</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1,082,282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73.85 %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30,427</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1,880,661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17,502</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1,082,282</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73.85 %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48,692</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2,991,132</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34,921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2,144,027</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12,448</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757,820</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12,613</w:t>
            </w:r>
          </w:p>
        </w:tc>
        <w:tc>
          <w:tcPr>
            <w:tcW w:w="40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775,073</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8,807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9,771</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596,056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3,641</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229,391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2,842</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179,017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14,101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850,072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14,838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906,368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10,637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641,758</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10,364</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633,167</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208,314</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4,474</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273,201</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26,550</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1,607,892</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27,451</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1,681,441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60" w:type="dxa"/>
            <w:vAlign w:val="bottom"/>
          </w:tcPr>
          <w:p>
            <w:pPr>
              <w:spacing w:after="0"/>
              <w:rPr>
                <w:sz w:val="15"/>
                <w:szCs w:val="15"/>
                <w:color w:val="auto"/>
              </w:rPr>
            </w:pPr>
          </w:p>
        </w:tc>
        <w:tc>
          <w:tcPr>
            <w:tcW w:w="2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1,029,045</w:t>
            </w: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71,157,465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576,573</w:t>
            </w:r>
          </w:p>
        </w:tc>
        <w:tc>
          <w:tcPr>
            <w:tcW w:w="4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35,371,612</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78.48 %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6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729,646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44,825,803</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557,392</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34,198,898</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30.90 %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299,399</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26,331,662</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19,180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1,172,715</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1460.97 %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40" w:type="dxa"/>
            <w:vAlign w:val="bottom"/>
            <w:shd w:val="clear" w:color="auto" w:fill="D5DCE4"/>
          </w:tcPr>
          <w:p>
            <w:pPr>
              <w:spacing w:after="0"/>
              <w:rPr>
                <w:sz w:val="20"/>
                <w:szCs w:val="20"/>
                <w:color w:val="auto"/>
              </w:rPr>
            </w:pP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1,029,045</w:t>
            </w:r>
          </w:p>
        </w:tc>
        <w:tc>
          <w:tcPr>
            <w:tcW w:w="4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71,157,465</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576,573</w:t>
            </w:r>
          </w:p>
        </w:tc>
        <w:tc>
          <w:tcPr>
            <w:tcW w:w="40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35,371,612</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78.48 %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40" w:type="dxa"/>
            <w:vAlign w:val="bottom"/>
            <w:tcBorders>
              <w:bottom w:val="single" w:sz="8" w:color="D5DCE4"/>
            </w:tcBorders>
          </w:tcPr>
          <w:p>
            <w:pPr>
              <w:spacing w:after="0"/>
              <w:rPr>
                <w:sz w:val="17"/>
                <w:szCs w:val="17"/>
                <w:color w:val="auto"/>
              </w:rPr>
            </w:pPr>
          </w:p>
        </w:tc>
        <w:tc>
          <w:tcPr>
            <w:tcW w:w="260" w:type="dxa"/>
            <w:vAlign w:val="bottom"/>
            <w:tcBorders>
              <w:bottom w:val="single" w:sz="8" w:color="D5DCE4"/>
            </w:tcBorders>
          </w:tcPr>
          <w:p>
            <w:pPr>
              <w:spacing w:after="0"/>
              <w:rPr>
                <w:sz w:val="17"/>
                <w:szCs w:val="17"/>
                <w:color w:val="auto"/>
              </w:rPr>
            </w:pPr>
          </w:p>
        </w:tc>
        <w:tc>
          <w:tcPr>
            <w:tcW w:w="286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0" w:type="dxa"/>
            <w:vAlign w:val="bottom"/>
            <w:shd w:val="clear" w:color="auto" w:fill="D5DCE4"/>
          </w:tcPr>
          <w:p>
            <w:pPr>
              <w:spacing w:after="0"/>
              <w:rPr>
                <w:sz w:val="20"/>
                <w:szCs w:val="20"/>
                <w:color w:val="auto"/>
              </w:rPr>
            </w:pPr>
          </w:p>
        </w:tc>
        <w:tc>
          <w:tcPr>
            <w:tcW w:w="260" w:type="dxa"/>
            <w:vAlign w:val="bottom"/>
            <w:tcBorders>
              <w:right w:val="single" w:sz="8" w:color="D5DCE4"/>
            </w:tcBorders>
            <w:shd w:val="clear" w:color="auto" w:fill="D5DCE4"/>
          </w:tcPr>
          <w:p>
            <w:pPr>
              <w:spacing w:after="0"/>
              <w:rPr>
                <w:sz w:val="20"/>
                <w:szCs w:val="20"/>
                <w:color w:val="auto"/>
              </w:rPr>
            </w:pPr>
          </w:p>
        </w:tc>
        <w:tc>
          <w:tcPr>
            <w:tcW w:w="286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8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spacing w:after="0"/>
              <w:rPr>
                <w:sz w:val="20"/>
                <w:szCs w:val="20"/>
                <w:color w:val="auto"/>
              </w:rPr>
            </w:pPr>
            <w:r>
              <w:rPr>
                <w:rFonts w:ascii="Arial" w:cs="Arial" w:eastAsia="Arial" w:hAnsi="Arial"/>
                <w:sz w:val="16"/>
                <w:szCs w:val="16"/>
                <w:b w:val="1"/>
                <w:bCs w:val="1"/>
                <w:color w:val="auto"/>
              </w:rPr>
              <w:t>Volume (USD 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2,547,321</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164,525,114</w:t>
            </w:r>
          </w:p>
        </w:tc>
        <w:tc>
          <w:tcPr>
            <w:tcW w:w="10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1,904,628</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116,886,163</w:t>
            </w: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440" w:right="140" w:hanging="414"/>
        <w:spacing w:after="0" w:line="276"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acquired r8fin and ICD on January 19, 2024 and August 1, 2024, respectively. Total volume reported includes volumes from each acquired business subsequent to the closing date of the applicable acquisition. For average daily volume derived from acquisitions, the denominator is the number of trading days within the reporting period that have elapsed from the acquisition date to the end date of the reporting period.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interim financial results presented herein for the three months ended March 31, 2025 and 2024 are unaudited. Operating results for interim periods are not necessarily indicative of the results that may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2025 guidance and full-year 2025 revenue guidance related to the LSEG market data license agreement, pending and completed acquisitions, future performance, the industry and markets in which we operate, our expectations, beliefs, plans, strategies, objectives, prospects and assumptions and future events are forward-looking statements.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6"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7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18"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10</w:t>
      </w:r>
    </w:p>
    <w:p>
      <w:pPr>
        <w:sectPr>
          <w:pgSz w:w="11900" w:h="16838" w:orient="portrait"/>
          <w:cols w:equalWidth="0" w:num="1">
            <w:col w:w="11240"/>
          </w:cols>
          <w:pgMar w:left="320" w:top="989" w:right="339" w:bottom="1440" w:gutter="0" w:footer="0" w:header="0"/>
          <w:type w:val="continuous"/>
        </w:sectPr>
      </w:pPr>
    </w:p>
    <w:bookmarkStart w:id="13" w:name="page14"/>
    <w:bookmarkEnd w:id="13"/>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2025-04-30T06:07:43Z</dcterms:created>
  <dcterms:modified xsi:type="dcterms:W3CDTF">2025-04-30T06:07:43Z</dcterms:modified>
</cp:coreProperties>
</file>