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5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0"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67"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3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-1544320</wp:posOffset>
            </wp:positionH>
            <wp:positionV relativeFrom="paragraph">
              <wp:posOffset>32385</wp:posOffset>
            </wp:positionV>
            <wp:extent cx="6964045" cy="1802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131127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63436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7"/>
        </w:trPr>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r>
      <w:tr>
        <w:trPr>
          <w:trHeight w:val="44"/>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3" w:lineRule="exact"/>
        <w:rPr>
          <w:sz w:val="24"/>
          <w:szCs w:val="24"/>
          <w:color w:val="auto"/>
        </w:rPr>
      </w:pPr>
    </w:p>
    <w:p>
      <w:pPr>
        <w:sectPr>
          <w:pgSz w:w="11900" w:h="16838" w:orient="portrait"/>
          <w:cols w:equalWidth="0" w:num="3">
            <w:col w:w="2200" w:space="240"/>
            <w:col w:w="6240" w:space="180"/>
            <w:col w:w="22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345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76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04/27/2020</w:t>
            </w:r>
          </w:p>
        </w:tc>
        <w:tc>
          <w:tcPr>
            <w:tcW w:w="740" w:type="dxa"/>
            <w:vAlign w:val="bottom"/>
          </w:tcPr>
          <w:p>
            <w:pPr>
              <w:spacing w:after="0"/>
              <w:rPr>
                <w:sz w:val="16"/>
                <w:szCs w:val="16"/>
                <w:color w:val="auto"/>
              </w:rPr>
            </w:pPr>
          </w:p>
        </w:tc>
        <w:tc>
          <w:tcPr>
            <w:tcW w:w="800" w:type="dxa"/>
            <w:vAlign w:val="bottom"/>
            <w:vMerge w:val="restart"/>
          </w:tcPr>
          <w:p>
            <w:pPr>
              <w:ind w:left="220"/>
              <w:spacing w:after="0"/>
              <w:rPr>
                <w:sz w:val="20"/>
                <w:szCs w:val="20"/>
                <w:color w:val="auto"/>
              </w:rPr>
            </w:pPr>
            <w:r>
              <w:rPr>
                <w:rFonts w:ascii="Arial" w:cs="Arial" w:eastAsia="Arial" w:hAnsi="Arial"/>
                <w:sz w:val="13"/>
                <w:szCs w:val="13"/>
                <w:color w:val="0000FF"/>
              </w:rPr>
              <w:t>D</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rPr>
              <w:t>168,331</w:t>
            </w:r>
          </w:p>
        </w:tc>
        <w:tc>
          <w:tcPr>
            <w:tcW w:w="68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260" w:type="dxa"/>
            <w:vAlign w:val="bottom"/>
          </w:tcPr>
          <w:p>
            <w:pPr>
              <w:jc w:val="center"/>
              <w:ind w:left="8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380" w:type="dxa"/>
            <w:vAlign w:val="bottom"/>
            <w:gridSpan w:val="2"/>
            <w:vMerge w:val="restart"/>
          </w:tcPr>
          <w:p>
            <w:pPr>
              <w:jc w:val="right"/>
              <w:ind w:right="420"/>
              <w:spacing w:after="0"/>
              <w:rPr>
                <w:sz w:val="20"/>
                <w:szCs w:val="20"/>
                <w:color w:val="auto"/>
              </w:rPr>
            </w:pPr>
            <w:r>
              <w:rPr>
                <w:rFonts w:ascii="Arial" w:cs="Arial" w:eastAsia="Arial" w:hAnsi="Arial"/>
                <w:sz w:val="17"/>
                <w:szCs w:val="17"/>
                <w:color w:val="0000FF"/>
              </w:rPr>
              <w:t xml:space="preserve">477,375 </w:t>
            </w:r>
            <w:r>
              <w:rPr>
                <w:rFonts w:ascii="Arial" w:cs="Arial" w:eastAsia="Arial" w:hAnsi="Arial"/>
                <w:sz w:val="22"/>
                <w:szCs w:val="22"/>
                <w:color w:val="008000"/>
                <w:vertAlign w:val="superscript"/>
              </w:rPr>
              <w:t>(2)</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7"/>
                <w:szCs w:val="17"/>
                <w:color w:val="0000FF"/>
                <w:w w:val="89"/>
              </w:rPr>
              <w:t>48.79</w:t>
            </w:r>
          </w:p>
        </w:tc>
        <w:tc>
          <w:tcPr>
            <w:tcW w:w="13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1"/>
                <w:szCs w:val="11"/>
                <w:color w:val="008000"/>
              </w:rPr>
              <w:t>(1)</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32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0"/>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0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$50.25 per-share price at which shares of the issuer's Class A common stock (the "Class A Common Stock") were sold in a public offering of the Class A Common Stock, less the underwriters' discount of $1.46 per share.</w:t>
      </w:r>
    </w:p>
    <w:p>
      <w:pPr>
        <w:spacing w:after="0" w:line="15" w:lineRule="exact"/>
        <w:rPr>
          <w:rFonts w:ascii="Arial" w:cs="Arial" w:eastAsia="Arial" w:hAnsi="Arial"/>
          <w:sz w:val="13"/>
          <w:szCs w:val="13"/>
          <w:color w:val="008000"/>
        </w:rPr>
      </w:pPr>
    </w:p>
    <w:p>
      <w:pPr>
        <w:ind w:left="40" w:right="2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173,181 unvested restricted stock units ("RSUs") in respect of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04/28/2020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amp;CIK=0001771194" TargetMode="External"/><Relationship Id="rId12" Type="http://schemas.openxmlformats.org/officeDocument/2006/relationships/hyperlink" Target="http://www.sec.gov/cgi-bin/browse-edgar?action=getcompany&amp;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2020-04-28T18:27:55Z</dcterms:created>
  <dcterms:modified xsi:type="dcterms:W3CDTF">2020-04-28T18:27:55Z</dcterms:modified>
</cp:coreProperties>
</file>