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12/22/2022</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12/22/2022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88,201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12/22/2022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13,730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62.0647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74,471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12/22/2022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11,270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62.8823</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63,201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25,000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12/22/2022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25,000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43,550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22, 2022.</w:t>
      </w:r>
    </w:p>
    <w:p>
      <w:pPr>
        <w:spacing w:after="0" w:line="44" w:lineRule="exact"/>
        <w:rPr>
          <w:rFonts w:ascii="Times New Roman" w:cs="Times New Roman" w:eastAsia="Times New Roman" w:hAnsi="Times New Roman"/>
          <w:sz w:val="13"/>
          <w:szCs w:val="13"/>
          <w:color w:val="008000"/>
        </w:rPr>
      </w:pPr>
    </w:p>
    <w:p>
      <w:pPr>
        <w:ind w:left="40" w:right="2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restricted stock units ("RSUs") in respect of the issuer's Class A common stock ("Class A Common Stock") which are scheduled to vest on March 17, 2023, (ii) 25,726 RSUs in respect of Class A Common Stock which are scheduled to vest on January 1, 2023, (iii) 6,742 RSUs in respect of Class A Common Stock which are scheduled to vest in equal installments on each of March 15, 2023 and March 15, 2024, (iv) 14,832 RSUs in respect of Class A Common Stock which are scheduled to vest on January 1, 2024, and (v) 9,613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3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$61.5200 to $62.5199,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$62.5200 to $63.5199,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12/27/2022</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2022-12-27T16:57:24Z</dcterms:created>
  <dcterms:modified xsi:type="dcterms:W3CDTF">2022-12-27T16:57:24Z</dcterms:modified>
</cp:coreProperties>
</file>