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14"/>
          <w:szCs w:val="14"/>
          <w:b w:val="1"/>
          <w:bCs w:val="1"/>
          <w:color w:val="auto"/>
        </w:rPr>
        <w:t>As filed with the Securities and Exchange Commission on October 17, 2019</w:t>
      </w:r>
    </w:p>
    <w:p>
      <w:pPr>
        <w:spacing w:after="0" w:line="28" w:lineRule="exact"/>
        <w:rPr>
          <w:sz w:val="24"/>
          <w:szCs w:val="24"/>
          <w:color w:val="auto"/>
        </w:rPr>
      </w:pPr>
    </w:p>
    <w:p>
      <w:pPr>
        <w:ind w:left="7886"/>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618299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37" w:lineRule="exact"/>
        <w:rPr>
          <w:sz w:val="24"/>
          <w:szCs w:val="24"/>
          <w:color w:val="auto"/>
        </w:rPr>
      </w:pPr>
    </w:p>
    <w:p>
      <w:pPr>
        <w:jc w:val="center"/>
        <w:ind w:right="54"/>
        <w:spacing w:after="0"/>
        <w:rPr>
          <w:sz w:val="20"/>
          <w:szCs w:val="20"/>
          <w:color w:val="auto"/>
        </w:rPr>
      </w:pPr>
      <w:r>
        <w:rPr>
          <w:rFonts w:ascii="Arial" w:cs="Arial" w:eastAsia="Arial" w:hAnsi="Arial"/>
          <w:sz w:val="25"/>
          <w:szCs w:val="25"/>
          <w:b w:val="1"/>
          <w:bCs w:val="1"/>
          <w:color w:val="auto"/>
        </w:rPr>
        <w:t>UNITED STATES</w:t>
      </w:r>
    </w:p>
    <w:p>
      <w:pPr>
        <w:spacing w:after="0" w:line="8"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90805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94" w:lineRule="exact"/>
        <w:rPr>
          <w:sz w:val="24"/>
          <w:szCs w:val="24"/>
          <w:color w:val="auto"/>
        </w:rPr>
      </w:pPr>
    </w:p>
    <w:p>
      <w:pPr>
        <w:jc w:val="center"/>
        <w:ind w:right="34"/>
        <w:spacing w:after="0"/>
        <w:rPr>
          <w:sz w:val="20"/>
          <w:szCs w:val="20"/>
          <w:color w:val="auto"/>
        </w:rPr>
      </w:pPr>
      <w:r>
        <w:rPr>
          <w:rFonts w:ascii="Arial" w:cs="Arial" w:eastAsia="Arial" w:hAnsi="Arial"/>
          <w:sz w:val="25"/>
          <w:szCs w:val="25"/>
          <w:b w:val="1"/>
          <w:bCs w:val="1"/>
          <w:color w:val="auto"/>
        </w:rPr>
        <w:t>FORM S-1</w:t>
      </w:r>
    </w:p>
    <w:p>
      <w:pPr>
        <w:spacing w:after="0" w:line="26" w:lineRule="exact"/>
        <w:rPr>
          <w:sz w:val="24"/>
          <w:szCs w:val="24"/>
          <w:color w:val="auto"/>
        </w:rPr>
      </w:pPr>
    </w:p>
    <w:p>
      <w:pPr>
        <w:ind w:left="3846"/>
        <w:spacing w:after="0"/>
        <w:rPr>
          <w:sz w:val="20"/>
          <w:szCs w:val="20"/>
          <w:color w:val="auto"/>
        </w:rPr>
      </w:pPr>
      <w:r>
        <w:rPr>
          <w:rFonts w:ascii="Arial" w:cs="Arial" w:eastAsia="Arial" w:hAnsi="Arial"/>
          <w:sz w:val="14"/>
          <w:szCs w:val="14"/>
          <w:b w:val="1"/>
          <w:bCs w:val="1"/>
          <w:color w:val="auto"/>
        </w:rPr>
        <w:t>REGISTRATION STATEMENT</w:t>
      </w:r>
    </w:p>
    <w:p>
      <w:pPr>
        <w:spacing w:after="0" w:line="12" w:lineRule="exact"/>
        <w:rPr>
          <w:sz w:val="24"/>
          <w:szCs w:val="24"/>
          <w:color w:val="auto"/>
        </w:rPr>
      </w:pPr>
    </w:p>
    <w:p>
      <w:pPr>
        <w:ind w:left="4606"/>
        <w:spacing w:after="0"/>
        <w:rPr>
          <w:sz w:val="20"/>
          <w:szCs w:val="20"/>
          <w:color w:val="auto"/>
        </w:rPr>
      </w:pPr>
      <w:r>
        <w:rPr>
          <w:rFonts w:ascii="Arial" w:cs="Arial" w:eastAsia="Arial" w:hAnsi="Arial"/>
          <w:sz w:val="14"/>
          <w:szCs w:val="14"/>
          <w:b w:val="1"/>
          <w:bCs w:val="1"/>
          <w:color w:val="auto"/>
        </w:rPr>
        <w:t>UNDER</w:t>
      </w:r>
    </w:p>
    <w:p>
      <w:pPr>
        <w:spacing w:after="0" w:line="25"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102870</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40"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Tradeweb Markets Inc.</w:t>
      </w:r>
    </w:p>
    <w:p>
      <w:pPr>
        <w:spacing w:after="0" w:line="59" w:lineRule="exact"/>
        <w:rPr>
          <w:sz w:val="24"/>
          <w:szCs w:val="24"/>
          <w:color w:val="auto"/>
        </w:rPr>
      </w:pPr>
    </w:p>
    <w:p>
      <w:pPr>
        <w:jc w:val="center"/>
        <w:ind w:right="-5"/>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85725</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96" w:lineRule="exact"/>
        <w:rPr>
          <w:sz w:val="24"/>
          <w:szCs w:val="24"/>
          <w:color w:val="auto"/>
        </w:rPr>
      </w:pPr>
    </w:p>
    <w:tbl>
      <w:tblPr>
        <w:tblLayout w:type="fixed"/>
        <w:tblInd w:w="806" w:type="dxa"/>
        <w:tblCellMar>
          <w:top w:w="0" w:type="dxa"/>
          <w:left w:w="0" w:type="dxa"/>
          <w:bottom w:w="0" w:type="dxa"/>
          <w:right w:w="0" w:type="dxa"/>
        </w:tblCellMar>
      </w:tblPr>
      <w:tr>
        <w:trPr>
          <w:trHeight w:val="161"/>
        </w:trPr>
        <w:tc>
          <w:tcPr>
            <w:tcW w:w="2340" w:type="dxa"/>
            <w:vAlign w:val="bottom"/>
          </w:tcPr>
          <w:p>
            <w:pPr>
              <w:jc w:val="center"/>
              <w:ind w:right="734"/>
              <w:spacing w:after="0"/>
              <w:rPr>
                <w:sz w:val="20"/>
                <w:szCs w:val="20"/>
                <w:color w:val="auto"/>
              </w:rPr>
            </w:pPr>
            <w:r>
              <w:rPr>
                <w:rFonts w:ascii="Arial" w:cs="Arial" w:eastAsia="Arial" w:hAnsi="Arial"/>
                <w:sz w:val="14"/>
                <w:szCs w:val="14"/>
                <w:b w:val="1"/>
                <w:bCs w:val="1"/>
                <w:color w:val="auto"/>
                <w:w w:val="94"/>
              </w:rPr>
              <w:t>Delaware</w:t>
            </w:r>
          </w:p>
        </w:tc>
        <w:tc>
          <w:tcPr>
            <w:tcW w:w="356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6200</w:t>
            </w:r>
          </w:p>
        </w:tc>
        <w:tc>
          <w:tcPr>
            <w:tcW w:w="1920" w:type="dxa"/>
            <w:vAlign w:val="bottom"/>
          </w:tcPr>
          <w:p>
            <w:pPr>
              <w:jc w:val="center"/>
              <w:ind w:left="914"/>
              <w:spacing w:after="0"/>
              <w:rPr>
                <w:sz w:val="20"/>
                <w:szCs w:val="20"/>
                <w:color w:val="auto"/>
              </w:rPr>
            </w:pPr>
            <w:r>
              <w:rPr>
                <w:rFonts w:ascii="Arial" w:cs="Arial" w:eastAsia="Arial" w:hAnsi="Arial"/>
                <w:sz w:val="14"/>
                <w:szCs w:val="14"/>
                <w:b w:val="1"/>
                <w:bCs w:val="1"/>
                <w:color w:val="auto"/>
                <w:w w:val="93"/>
              </w:rPr>
              <w:t>83-2456358</w:t>
            </w:r>
          </w:p>
        </w:tc>
      </w:tr>
      <w:tr>
        <w:trPr>
          <w:trHeight w:val="122"/>
        </w:trPr>
        <w:tc>
          <w:tcPr>
            <w:tcW w:w="2340" w:type="dxa"/>
            <w:vAlign w:val="bottom"/>
          </w:tcPr>
          <w:p>
            <w:pPr>
              <w:jc w:val="center"/>
              <w:ind w:right="774"/>
              <w:spacing w:after="0" w:line="123" w:lineRule="exact"/>
              <w:rPr>
                <w:sz w:val="20"/>
                <w:szCs w:val="20"/>
                <w:color w:val="auto"/>
              </w:rPr>
            </w:pPr>
            <w:r>
              <w:rPr>
                <w:rFonts w:ascii="Arial" w:cs="Arial" w:eastAsia="Arial" w:hAnsi="Arial"/>
                <w:sz w:val="13"/>
                <w:szCs w:val="13"/>
                <w:color w:val="auto"/>
                <w:w w:val="89"/>
              </w:rPr>
              <w:t>(State or other jurisdiction of</w:t>
            </w:r>
          </w:p>
        </w:tc>
        <w:tc>
          <w:tcPr>
            <w:tcW w:w="3560" w:type="dxa"/>
            <w:vAlign w:val="bottom"/>
          </w:tcPr>
          <w:p>
            <w:pPr>
              <w:jc w:val="center"/>
              <w:ind w:right="91"/>
              <w:spacing w:after="0" w:line="123" w:lineRule="exact"/>
              <w:rPr>
                <w:sz w:val="20"/>
                <w:szCs w:val="20"/>
                <w:color w:val="auto"/>
              </w:rPr>
            </w:pPr>
            <w:r>
              <w:rPr>
                <w:rFonts w:ascii="Arial" w:cs="Arial" w:eastAsia="Arial" w:hAnsi="Arial"/>
                <w:sz w:val="13"/>
                <w:szCs w:val="13"/>
                <w:color w:val="auto"/>
                <w:w w:val="88"/>
              </w:rPr>
              <w:t>(Primary Standard Industrial</w:t>
            </w:r>
          </w:p>
        </w:tc>
        <w:tc>
          <w:tcPr>
            <w:tcW w:w="1920" w:type="dxa"/>
            <w:vAlign w:val="bottom"/>
          </w:tcPr>
          <w:p>
            <w:pPr>
              <w:jc w:val="center"/>
              <w:ind w:left="874"/>
              <w:spacing w:after="0" w:line="123" w:lineRule="exact"/>
              <w:rPr>
                <w:sz w:val="20"/>
                <w:szCs w:val="20"/>
                <w:color w:val="auto"/>
              </w:rPr>
            </w:pPr>
            <w:r>
              <w:rPr>
                <w:rFonts w:ascii="Arial" w:cs="Arial" w:eastAsia="Arial" w:hAnsi="Arial"/>
                <w:sz w:val="13"/>
                <w:szCs w:val="13"/>
                <w:color w:val="auto"/>
                <w:w w:val="90"/>
              </w:rPr>
              <w:t>(I.R.S. Employer</w:t>
            </w:r>
          </w:p>
        </w:tc>
      </w:tr>
      <w:tr>
        <w:trPr>
          <w:trHeight w:val="160"/>
        </w:trPr>
        <w:tc>
          <w:tcPr>
            <w:tcW w:w="2340" w:type="dxa"/>
            <w:vAlign w:val="bottom"/>
          </w:tcPr>
          <w:p>
            <w:pPr>
              <w:jc w:val="center"/>
              <w:ind w:right="754"/>
              <w:spacing w:after="0"/>
              <w:rPr>
                <w:sz w:val="20"/>
                <w:szCs w:val="20"/>
                <w:color w:val="auto"/>
              </w:rPr>
            </w:pPr>
            <w:r>
              <w:rPr>
                <w:rFonts w:ascii="Arial" w:cs="Arial" w:eastAsia="Arial" w:hAnsi="Arial"/>
                <w:sz w:val="13"/>
                <w:szCs w:val="13"/>
                <w:color w:val="auto"/>
                <w:w w:val="89"/>
              </w:rPr>
              <w:t>incorporation or organization)</w:t>
            </w:r>
          </w:p>
        </w:tc>
        <w:tc>
          <w:tcPr>
            <w:tcW w:w="3560" w:type="dxa"/>
            <w:vAlign w:val="bottom"/>
          </w:tcPr>
          <w:p>
            <w:pPr>
              <w:jc w:val="center"/>
              <w:ind w:right="51"/>
              <w:spacing w:after="0"/>
              <w:rPr>
                <w:sz w:val="20"/>
                <w:szCs w:val="20"/>
                <w:color w:val="auto"/>
              </w:rPr>
            </w:pPr>
            <w:r>
              <w:rPr>
                <w:rFonts w:ascii="Arial" w:cs="Arial" w:eastAsia="Arial" w:hAnsi="Arial"/>
                <w:sz w:val="13"/>
                <w:szCs w:val="13"/>
                <w:color w:val="auto"/>
                <w:w w:val="89"/>
              </w:rPr>
              <w:t>Classification Code Number)</w:t>
            </w:r>
          </w:p>
        </w:tc>
        <w:tc>
          <w:tcPr>
            <w:tcW w:w="1920" w:type="dxa"/>
            <w:vAlign w:val="bottom"/>
          </w:tcPr>
          <w:p>
            <w:pPr>
              <w:jc w:val="center"/>
              <w:ind w:left="914"/>
              <w:spacing w:after="0"/>
              <w:rPr>
                <w:sz w:val="20"/>
                <w:szCs w:val="20"/>
                <w:color w:val="auto"/>
              </w:rPr>
            </w:pPr>
            <w:r>
              <w:rPr>
                <w:rFonts w:ascii="Arial" w:cs="Arial" w:eastAsia="Arial" w:hAnsi="Arial"/>
                <w:sz w:val="13"/>
                <w:szCs w:val="13"/>
                <w:color w:val="auto"/>
                <w:w w:val="92"/>
              </w:rPr>
              <w:t>Identification No.)</w:t>
            </w:r>
          </w:p>
        </w:tc>
      </w:tr>
      <w:tr>
        <w:trPr>
          <w:trHeight w:val="195"/>
        </w:trPr>
        <w:tc>
          <w:tcPr>
            <w:tcW w:w="2340" w:type="dxa"/>
            <w:vAlign w:val="bottom"/>
          </w:tcPr>
          <w:p>
            <w:pPr>
              <w:spacing w:after="0"/>
              <w:rPr>
                <w:sz w:val="16"/>
                <w:szCs w:val="16"/>
                <w:color w:val="auto"/>
              </w:rPr>
            </w:pPr>
          </w:p>
        </w:tc>
        <w:tc>
          <w:tcPr>
            <w:tcW w:w="3560" w:type="dxa"/>
            <w:vAlign w:val="bottom"/>
          </w:tcPr>
          <w:p>
            <w:pPr>
              <w:jc w:val="center"/>
              <w:ind w:right="71"/>
              <w:spacing w:after="0"/>
              <w:rPr>
                <w:sz w:val="20"/>
                <w:szCs w:val="20"/>
                <w:color w:val="auto"/>
              </w:rPr>
            </w:pPr>
            <w:r>
              <w:rPr>
                <w:rFonts w:ascii="Arial" w:cs="Arial" w:eastAsia="Arial" w:hAnsi="Arial"/>
                <w:sz w:val="14"/>
                <w:szCs w:val="14"/>
                <w:b w:val="1"/>
                <w:bCs w:val="1"/>
                <w:color w:val="auto"/>
                <w:w w:val="91"/>
              </w:rPr>
              <w:t>1177 Avenue of the Americas</w:t>
            </w:r>
          </w:p>
        </w:tc>
        <w:tc>
          <w:tcPr>
            <w:tcW w:w="1920" w:type="dxa"/>
            <w:vAlign w:val="bottom"/>
          </w:tcPr>
          <w:p>
            <w:pPr>
              <w:spacing w:after="0"/>
              <w:rPr>
                <w:sz w:val="16"/>
                <w:szCs w:val="16"/>
                <w:color w:val="auto"/>
              </w:rPr>
            </w:pPr>
          </w:p>
        </w:tc>
      </w:tr>
      <w:tr>
        <w:trPr>
          <w:trHeight w:val="176"/>
        </w:trPr>
        <w:tc>
          <w:tcPr>
            <w:tcW w:w="2340" w:type="dxa"/>
            <w:vAlign w:val="bottom"/>
          </w:tcPr>
          <w:p>
            <w:pPr>
              <w:spacing w:after="0"/>
              <w:rPr>
                <w:sz w:val="15"/>
                <w:szCs w:val="15"/>
                <w:color w:val="auto"/>
              </w:rPr>
            </w:pPr>
          </w:p>
        </w:tc>
        <w:tc>
          <w:tcPr>
            <w:tcW w:w="3560" w:type="dxa"/>
            <w:vAlign w:val="bottom"/>
          </w:tcPr>
          <w:p>
            <w:pPr>
              <w:jc w:val="center"/>
              <w:ind w:right="71"/>
              <w:spacing w:after="0"/>
              <w:rPr>
                <w:sz w:val="20"/>
                <w:szCs w:val="20"/>
                <w:color w:val="auto"/>
              </w:rPr>
            </w:pPr>
            <w:r>
              <w:rPr>
                <w:rFonts w:ascii="Arial" w:cs="Arial" w:eastAsia="Arial" w:hAnsi="Arial"/>
                <w:sz w:val="14"/>
                <w:szCs w:val="14"/>
                <w:b w:val="1"/>
                <w:bCs w:val="1"/>
                <w:color w:val="auto"/>
                <w:w w:val="95"/>
              </w:rPr>
              <w:t>New York, New York 10036</w:t>
            </w:r>
          </w:p>
        </w:tc>
        <w:tc>
          <w:tcPr>
            <w:tcW w:w="1920" w:type="dxa"/>
            <w:vAlign w:val="bottom"/>
          </w:tcPr>
          <w:p>
            <w:pPr>
              <w:spacing w:after="0"/>
              <w:rPr>
                <w:sz w:val="15"/>
                <w:szCs w:val="15"/>
                <w:color w:val="auto"/>
              </w:rPr>
            </w:pPr>
          </w:p>
        </w:tc>
      </w:tr>
      <w:tr>
        <w:trPr>
          <w:trHeight w:val="186"/>
        </w:trPr>
        <w:tc>
          <w:tcPr>
            <w:tcW w:w="2340" w:type="dxa"/>
            <w:vAlign w:val="bottom"/>
          </w:tcPr>
          <w:p>
            <w:pPr>
              <w:spacing w:after="0"/>
              <w:rPr>
                <w:sz w:val="16"/>
                <w:szCs w:val="16"/>
                <w:color w:val="auto"/>
              </w:rPr>
            </w:pPr>
          </w:p>
        </w:tc>
        <w:tc>
          <w:tcPr>
            <w:tcW w:w="3560" w:type="dxa"/>
            <w:vAlign w:val="bottom"/>
          </w:tcPr>
          <w:p>
            <w:pPr>
              <w:jc w:val="right"/>
              <w:ind w:right="1311"/>
              <w:spacing w:after="0"/>
              <w:rPr>
                <w:sz w:val="20"/>
                <w:szCs w:val="20"/>
                <w:color w:val="auto"/>
              </w:rPr>
            </w:pPr>
            <w:r>
              <w:rPr>
                <w:rFonts w:ascii="Arial" w:cs="Arial" w:eastAsia="Arial" w:hAnsi="Arial"/>
                <w:sz w:val="14"/>
                <w:szCs w:val="14"/>
                <w:b w:val="1"/>
                <w:bCs w:val="1"/>
                <w:color w:val="auto"/>
              </w:rPr>
              <w:t>(646) 430-6000</w:t>
            </w:r>
          </w:p>
        </w:tc>
        <w:tc>
          <w:tcPr>
            <w:tcW w:w="1920" w:type="dxa"/>
            <w:vAlign w:val="bottom"/>
          </w:tcPr>
          <w:p>
            <w:pPr>
              <w:spacing w:after="0"/>
              <w:rPr>
                <w:sz w:val="16"/>
                <w:szCs w:val="16"/>
                <w:color w:val="auto"/>
              </w:rPr>
            </w:pPr>
          </w:p>
        </w:tc>
      </w:tr>
    </w:tbl>
    <w:p>
      <w:pPr>
        <w:spacing w:after="0" w:line="52" w:lineRule="exact"/>
        <w:rPr>
          <w:sz w:val="24"/>
          <w:szCs w:val="24"/>
          <w:color w:val="auto"/>
        </w:rPr>
      </w:pPr>
    </w:p>
    <w:p>
      <w:pPr>
        <w:jc w:val="center"/>
        <w:ind w:right="-5"/>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85725</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27" w:lineRule="exact"/>
        <w:rPr>
          <w:sz w:val="24"/>
          <w:szCs w:val="24"/>
          <w:color w:val="auto"/>
        </w:rPr>
      </w:pPr>
    </w:p>
    <w:p>
      <w:pPr>
        <w:jc w:val="center"/>
        <w:ind w:right="34"/>
        <w:spacing w:after="0"/>
        <w:rPr>
          <w:sz w:val="20"/>
          <w:szCs w:val="20"/>
          <w:color w:val="auto"/>
        </w:rPr>
      </w:pPr>
      <w:r>
        <w:rPr>
          <w:rFonts w:ascii="Arial" w:cs="Arial" w:eastAsia="Arial" w:hAnsi="Arial"/>
          <w:sz w:val="14"/>
          <w:szCs w:val="14"/>
          <w:b w:val="1"/>
          <w:bCs w:val="1"/>
          <w:color w:val="auto"/>
        </w:rPr>
        <w:t>Lee Olesky</w:t>
      </w:r>
    </w:p>
    <w:p>
      <w:pPr>
        <w:spacing w:after="0" w:line="17" w:lineRule="exact"/>
        <w:rPr>
          <w:sz w:val="24"/>
          <w:szCs w:val="24"/>
          <w:color w:val="auto"/>
        </w:rPr>
      </w:pPr>
    </w:p>
    <w:p>
      <w:pPr>
        <w:jc w:val="center"/>
        <w:ind w:right="34"/>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34"/>
        <w:spacing w:after="0"/>
        <w:rPr>
          <w:sz w:val="20"/>
          <w:szCs w:val="20"/>
          <w:color w:val="auto"/>
        </w:rPr>
      </w:pPr>
      <w:r>
        <w:rPr>
          <w:rFonts w:ascii="Arial" w:cs="Arial" w:eastAsia="Arial" w:hAnsi="Arial"/>
          <w:sz w:val="14"/>
          <w:szCs w:val="14"/>
          <w:b w:val="1"/>
          <w:bCs w:val="1"/>
          <w:color w:val="auto"/>
        </w:rPr>
        <w:t>1177 Avenue of the Americas</w:t>
      </w:r>
    </w:p>
    <w:p>
      <w:pPr>
        <w:spacing w:after="0" w:line="1" w:lineRule="exact"/>
        <w:rPr>
          <w:sz w:val="24"/>
          <w:szCs w:val="24"/>
          <w:color w:val="auto"/>
        </w:rPr>
      </w:pPr>
    </w:p>
    <w:p>
      <w:pPr>
        <w:jc w:val="center"/>
        <w:ind w:right="34"/>
        <w:spacing w:after="0"/>
        <w:rPr>
          <w:sz w:val="20"/>
          <w:szCs w:val="20"/>
          <w:color w:val="auto"/>
        </w:rPr>
      </w:pPr>
      <w:r>
        <w:rPr>
          <w:rFonts w:ascii="Arial" w:cs="Arial" w:eastAsia="Arial" w:hAnsi="Arial"/>
          <w:sz w:val="14"/>
          <w:szCs w:val="14"/>
          <w:b w:val="1"/>
          <w:bCs w:val="1"/>
          <w:color w:val="auto"/>
        </w:rPr>
        <w:t>New York, New York 10036</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(646) 430-6000</w:t>
      </w:r>
    </w:p>
    <w:p>
      <w:pPr>
        <w:spacing w:after="0" w:line="61" w:lineRule="exact"/>
        <w:rPr>
          <w:sz w:val="24"/>
          <w:szCs w:val="24"/>
          <w:color w:val="auto"/>
        </w:rPr>
      </w:pPr>
    </w:p>
    <w:p>
      <w:pPr>
        <w:jc w:val="center"/>
        <w:ind w:right="-5"/>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102870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4" w:lineRule="exact"/>
        <w:rPr>
          <w:sz w:val="24"/>
          <w:szCs w:val="24"/>
          <w:color w:val="auto"/>
        </w:rPr>
      </w:pPr>
    </w:p>
    <w:tbl>
      <w:tblPr>
        <w:tblLayout w:type="fixed"/>
        <w:tblInd w:w="926"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4020" w:type="dxa"/>
            <w:vAlign w:val="bottom"/>
          </w:tcPr>
          <w:p>
            <w:pPr>
              <w:ind w:left="380"/>
              <w:spacing w:after="0"/>
              <w:rPr>
                <w:sz w:val="20"/>
                <w:szCs w:val="20"/>
                <w:color w:val="auto"/>
              </w:rPr>
            </w:pPr>
            <w:r>
              <w:rPr>
                <w:rFonts w:ascii="Arial" w:cs="Arial" w:eastAsia="Arial" w:hAnsi="Arial"/>
                <w:sz w:val="14"/>
                <w:szCs w:val="14"/>
                <w:b w:val="1"/>
                <w:bCs w:val="1"/>
                <w:color w:val="auto"/>
              </w:rPr>
              <w:t>Copies to:</w:t>
            </w:r>
          </w:p>
        </w:tc>
      </w:tr>
      <w:tr>
        <w:trPr>
          <w:trHeight w:val="242"/>
        </w:trPr>
        <w:tc>
          <w:tcPr>
            <w:tcW w:w="3260" w:type="dxa"/>
            <w:vAlign w:val="bottom"/>
          </w:tcPr>
          <w:p>
            <w:pPr>
              <w:jc w:val="center"/>
              <w:ind w:right="328"/>
              <w:spacing w:after="0"/>
              <w:rPr>
                <w:sz w:val="20"/>
                <w:szCs w:val="20"/>
                <w:color w:val="auto"/>
              </w:rPr>
            </w:pPr>
            <w:r>
              <w:rPr>
                <w:rFonts w:ascii="Arial" w:cs="Arial" w:eastAsia="Arial" w:hAnsi="Arial"/>
                <w:sz w:val="14"/>
                <w:szCs w:val="14"/>
                <w:b w:val="1"/>
                <w:bCs w:val="1"/>
                <w:color w:val="auto"/>
                <w:w w:val="91"/>
              </w:rPr>
              <w:t>Steven G. Scheinfeld, Esq.</w:t>
            </w:r>
          </w:p>
        </w:tc>
        <w:tc>
          <w:tcPr>
            <w:tcW w:w="4020" w:type="dxa"/>
            <w:vAlign w:val="bottom"/>
          </w:tcPr>
          <w:p>
            <w:pPr>
              <w:jc w:val="center"/>
              <w:ind w:left="2188"/>
              <w:spacing w:after="0"/>
              <w:rPr>
                <w:sz w:val="20"/>
                <w:szCs w:val="20"/>
                <w:color w:val="auto"/>
              </w:rPr>
            </w:pPr>
            <w:r>
              <w:rPr>
                <w:rFonts w:ascii="Arial" w:cs="Arial" w:eastAsia="Arial" w:hAnsi="Arial"/>
                <w:sz w:val="14"/>
                <w:szCs w:val="14"/>
                <w:b w:val="1"/>
                <w:bCs w:val="1"/>
                <w:color w:val="auto"/>
                <w:w w:val="94"/>
              </w:rPr>
              <w:t>Michael Kaplan, Esq.</w:t>
            </w:r>
          </w:p>
        </w:tc>
      </w:tr>
      <w:tr>
        <w:trPr>
          <w:trHeight w:val="135"/>
        </w:trPr>
        <w:tc>
          <w:tcPr>
            <w:tcW w:w="3260" w:type="dxa"/>
            <w:vAlign w:val="bottom"/>
          </w:tcPr>
          <w:p>
            <w:pPr>
              <w:jc w:val="center"/>
              <w:ind w:right="328"/>
              <w:spacing w:after="0" w:line="135" w:lineRule="exact"/>
              <w:rPr>
                <w:sz w:val="20"/>
                <w:szCs w:val="20"/>
                <w:color w:val="auto"/>
              </w:rPr>
            </w:pPr>
            <w:r>
              <w:rPr>
                <w:rFonts w:ascii="Arial" w:cs="Arial" w:eastAsia="Arial" w:hAnsi="Arial"/>
                <w:sz w:val="14"/>
                <w:szCs w:val="14"/>
                <w:b w:val="1"/>
                <w:bCs w:val="1"/>
                <w:color w:val="auto"/>
                <w:w w:val="94"/>
              </w:rPr>
              <w:t>Andrew B. Barkan, Esq.</w:t>
            </w:r>
          </w:p>
        </w:tc>
        <w:tc>
          <w:tcPr>
            <w:tcW w:w="4020" w:type="dxa"/>
            <w:vAlign w:val="bottom"/>
          </w:tcPr>
          <w:p>
            <w:pPr>
              <w:jc w:val="center"/>
              <w:ind w:left="2188"/>
              <w:spacing w:after="0" w:line="135" w:lineRule="exact"/>
              <w:rPr>
                <w:sz w:val="20"/>
                <w:szCs w:val="20"/>
                <w:color w:val="auto"/>
              </w:rPr>
            </w:pPr>
            <w:r>
              <w:rPr>
                <w:rFonts w:ascii="Arial" w:cs="Arial" w:eastAsia="Arial" w:hAnsi="Arial"/>
                <w:sz w:val="14"/>
                <w:szCs w:val="14"/>
                <w:b w:val="1"/>
                <w:bCs w:val="1"/>
                <w:color w:val="auto"/>
                <w:w w:val="92"/>
              </w:rPr>
              <w:t>Shane Tintle, Esq.</w:t>
            </w:r>
          </w:p>
        </w:tc>
      </w:tr>
      <w:tr>
        <w:trPr>
          <w:trHeight w:val="135"/>
        </w:trPr>
        <w:tc>
          <w:tcPr>
            <w:tcW w:w="3260" w:type="dxa"/>
            <w:vAlign w:val="bottom"/>
          </w:tcPr>
          <w:p>
            <w:pPr>
              <w:jc w:val="center"/>
              <w:ind w:right="308"/>
              <w:spacing w:after="0" w:line="135" w:lineRule="exact"/>
              <w:rPr>
                <w:sz w:val="20"/>
                <w:szCs w:val="20"/>
                <w:color w:val="auto"/>
              </w:rPr>
            </w:pPr>
            <w:r>
              <w:rPr>
                <w:rFonts w:ascii="Arial" w:cs="Arial" w:eastAsia="Arial" w:hAnsi="Arial"/>
                <w:sz w:val="14"/>
                <w:szCs w:val="14"/>
                <w:b w:val="1"/>
                <w:bCs w:val="1"/>
                <w:color w:val="auto"/>
                <w:w w:val="96"/>
              </w:rPr>
              <w:t>Fried, Frank, Harris, Shriver &amp; Jacobson LLP</w:t>
            </w:r>
          </w:p>
        </w:tc>
        <w:tc>
          <w:tcPr>
            <w:tcW w:w="4020" w:type="dxa"/>
            <w:vAlign w:val="bottom"/>
          </w:tcPr>
          <w:p>
            <w:pPr>
              <w:jc w:val="center"/>
              <w:ind w:left="2188"/>
              <w:spacing w:after="0" w:line="135"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35"/>
        </w:trPr>
        <w:tc>
          <w:tcPr>
            <w:tcW w:w="3260" w:type="dxa"/>
            <w:vAlign w:val="bottom"/>
          </w:tcPr>
          <w:p>
            <w:pPr>
              <w:jc w:val="center"/>
              <w:ind w:right="308"/>
              <w:spacing w:after="0" w:line="135" w:lineRule="exact"/>
              <w:rPr>
                <w:sz w:val="20"/>
                <w:szCs w:val="20"/>
                <w:color w:val="auto"/>
              </w:rPr>
            </w:pPr>
            <w:r>
              <w:rPr>
                <w:rFonts w:ascii="Arial" w:cs="Arial" w:eastAsia="Arial" w:hAnsi="Arial"/>
                <w:sz w:val="14"/>
                <w:szCs w:val="14"/>
                <w:b w:val="1"/>
                <w:bCs w:val="1"/>
                <w:color w:val="auto"/>
                <w:w w:val="95"/>
              </w:rPr>
              <w:t>One New York Plaza</w:t>
            </w:r>
          </w:p>
        </w:tc>
        <w:tc>
          <w:tcPr>
            <w:tcW w:w="4020" w:type="dxa"/>
            <w:vAlign w:val="bottom"/>
          </w:tcPr>
          <w:p>
            <w:pPr>
              <w:jc w:val="center"/>
              <w:ind w:left="2188"/>
              <w:spacing w:after="0" w:line="135" w:lineRule="exact"/>
              <w:rPr>
                <w:sz w:val="20"/>
                <w:szCs w:val="20"/>
                <w:color w:val="auto"/>
              </w:rPr>
            </w:pPr>
            <w:r>
              <w:rPr>
                <w:rFonts w:ascii="Arial" w:cs="Arial" w:eastAsia="Arial" w:hAnsi="Arial"/>
                <w:sz w:val="14"/>
                <w:szCs w:val="14"/>
                <w:b w:val="1"/>
                <w:bCs w:val="1"/>
                <w:color w:val="auto"/>
                <w:w w:val="91"/>
              </w:rPr>
              <w:t>450 Lexington Avenue</w:t>
            </w:r>
          </w:p>
        </w:tc>
      </w:tr>
      <w:tr>
        <w:trPr>
          <w:trHeight w:val="135"/>
        </w:trPr>
        <w:tc>
          <w:tcPr>
            <w:tcW w:w="3260" w:type="dxa"/>
            <w:vAlign w:val="bottom"/>
          </w:tcPr>
          <w:p>
            <w:pPr>
              <w:jc w:val="center"/>
              <w:ind w:right="328"/>
              <w:spacing w:after="0" w:line="135" w:lineRule="exact"/>
              <w:rPr>
                <w:sz w:val="20"/>
                <w:szCs w:val="20"/>
                <w:color w:val="auto"/>
              </w:rPr>
            </w:pPr>
            <w:r>
              <w:rPr>
                <w:rFonts w:ascii="Arial" w:cs="Arial" w:eastAsia="Arial" w:hAnsi="Arial"/>
                <w:sz w:val="14"/>
                <w:szCs w:val="14"/>
                <w:b w:val="1"/>
                <w:bCs w:val="1"/>
                <w:color w:val="auto"/>
                <w:w w:val="95"/>
              </w:rPr>
              <w:t>New York, New York 10004</w:t>
            </w:r>
          </w:p>
        </w:tc>
        <w:tc>
          <w:tcPr>
            <w:tcW w:w="4020" w:type="dxa"/>
            <w:vAlign w:val="bottom"/>
          </w:tcPr>
          <w:p>
            <w:pPr>
              <w:jc w:val="center"/>
              <w:ind w:left="2188"/>
              <w:spacing w:after="0" w:line="135" w:lineRule="exact"/>
              <w:rPr>
                <w:sz w:val="20"/>
                <w:szCs w:val="20"/>
                <w:color w:val="auto"/>
              </w:rPr>
            </w:pPr>
            <w:r>
              <w:rPr>
                <w:rFonts w:ascii="Arial" w:cs="Arial" w:eastAsia="Arial" w:hAnsi="Arial"/>
                <w:sz w:val="14"/>
                <w:szCs w:val="14"/>
                <w:b w:val="1"/>
                <w:bCs w:val="1"/>
                <w:color w:val="auto"/>
                <w:w w:val="94"/>
              </w:rPr>
              <w:t>New York, New York 10017</w:t>
            </w:r>
          </w:p>
        </w:tc>
      </w:tr>
      <w:tr>
        <w:trPr>
          <w:trHeight w:val="186"/>
        </w:trPr>
        <w:tc>
          <w:tcPr>
            <w:tcW w:w="3260" w:type="dxa"/>
            <w:vAlign w:val="bottom"/>
          </w:tcPr>
          <w:p>
            <w:pPr>
              <w:jc w:val="center"/>
              <w:ind w:right="288"/>
              <w:spacing w:after="0"/>
              <w:rPr>
                <w:sz w:val="20"/>
                <w:szCs w:val="20"/>
                <w:color w:val="auto"/>
              </w:rPr>
            </w:pPr>
            <w:r>
              <w:rPr>
                <w:rFonts w:ascii="Arial" w:cs="Arial" w:eastAsia="Arial" w:hAnsi="Arial"/>
                <w:sz w:val="14"/>
                <w:szCs w:val="14"/>
                <w:b w:val="1"/>
                <w:bCs w:val="1"/>
                <w:color w:val="auto"/>
                <w:w w:val="93"/>
              </w:rPr>
              <w:t>(212) 859-8000</w:t>
            </w:r>
          </w:p>
        </w:tc>
        <w:tc>
          <w:tcPr>
            <w:tcW w:w="4020" w:type="dxa"/>
            <w:vAlign w:val="bottom"/>
          </w:tcPr>
          <w:p>
            <w:pPr>
              <w:jc w:val="center"/>
              <w:ind w:left="2248"/>
              <w:spacing w:after="0"/>
              <w:rPr>
                <w:sz w:val="20"/>
                <w:szCs w:val="20"/>
                <w:color w:val="auto"/>
              </w:rPr>
            </w:pPr>
            <w:r>
              <w:rPr>
                <w:rFonts w:ascii="Arial" w:cs="Arial" w:eastAsia="Arial" w:hAnsi="Arial"/>
                <w:sz w:val="14"/>
                <w:szCs w:val="14"/>
                <w:b w:val="1"/>
                <w:bCs w:val="1"/>
                <w:color w:val="auto"/>
                <w:w w:val="93"/>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95885</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75" w:lineRule="exact"/>
        <w:rPr>
          <w:sz w:val="24"/>
          <w:szCs w:val="24"/>
          <w:color w:val="auto"/>
        </w:rPr>
      </w:pPr>
    </w:p>
    <w:p>
      <w:pPr>
        <w:ind w:left="366"/>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13" w:lineRule="exact"/>
        <w:rPr>
          <w:sz w:val="24"/>
          <w:szCs w:val="24"/>
          <w:color w:val="auto"/>
        </w:rPr>
      </w:pPr>
    </w:p>
    <w:p>
      <w:pPr>
        <w:ind w:left="6" w:right="300" w:firstLine="360"/>
        <w:spacing w:after="0" w:line="14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6" w:right="180" w:firstLine="360"/>
        <w:spacing w:after="0" w:line="149"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r>
        <w:rPr>
          <w:rFonts w:ascii="Arial" w:cs="Arial" w:eastAsia="Arial" w:hAnsi="Arial"/>
          <w:sz w:val="13"/>
          <w:szCs w:val="13"/>
          <w:color w:val="auto"/>
        </w:rPr>
        <w:t xml:space="preserve"> File No. 333-234209</w:t>
      </w:r>
    </w:p>
    <w:p>
      <w:pPr>
        <w:spacing w:after="0" w:line="1" w:lineRule="exact"/>
        <w:rPr>
          <w:sz w:val="24"/>
          <w:szCs w:val="24"/>
          <w:color w:val="auto"/>
        </w:rPr>
      </w:pPr>
    </w:p>
    <w:p>
      <w:pPr>
        <w:ind w:left="6" w:right="140" w:firstLine="360"/>
        <w:spacing w:after="0" w:line="14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6" w:right="140" w:firstLine="360"/>
        <w:spacing w:after="0" w:line="14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 w:right="2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6" w:type="dxa"/>
        <w:tblCellMar>
          <w:top w:w="0" w:type="dxa"/>
          <w:left w:w="0" w:type="dxa"/>
          <w:bottom w:w="0" w:type="dxa"/>
          <w:right w:w="0" w:type="dxa"/>
        </w:tblCellMar>
      </w:tblPr>
      <w:tr>
        <w:trPr>
          <w:trHeight w:val="143"/>
        </w:trPr>
        <w:tc>
          <w:tcPr>
            <w:tcW w:w="1720" w:type="dxa"/>
            <w:vAlign w:val="bottom"/>
          </w:tcPr>
          <w:p>
            <w:pPr>
              <w:ind w:left="360"/>
              <w:spacing w:after="0" w:line="143" w:lineRule="exact"/>
              <w:rPr>
                <w:sz w:val="20"/>
                <w:szCs w:val="20"/>
                <w:color w:val="auto"/>
              </w:rPr>
            </w:pPr>
            <w:r>
              <w:rPr>
                <w:rFonts w:ascii="Arial" w:cs="Arial" w:eastAsia="Arial" w:hAnsi="Arial"/>
                <w:sz w:val="14"/>
                <w:szCs w:val="14"/>
                <w:color w:val="auto"/>
                <w:w w:val="96"/>
              </w:rPr>
              <w:t>Large accelerated filer</w:t>
            </w:r>
          </w:p>
        </w:tc>
        <w:tc>
          <w:tcPr>
            <w:tcW w:w="15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8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Accelerated filer</w:t>
            </w:r>
          </w:p>
        </w:tc>
        <w:tc>
          <w:tcPr>
            <w:tcW w:w="17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spacing w:after="0"/>
              <w:rPr>
                <w:sz w:val="12"/>
                <w:szCs w:val="12"/>
                <w:color w:val="auto"/>
              </w:rPr>
            </w:pPr>
          </w:p>
        </w:tc>
      </w:tr>
      <w:tr>
        <w:trPr>
          <w:trHeight w:val="189"/>
        </w:trPr>
        <w:tc>
          <w:tcPr>
            <w:tcW w:w="1720" w:type="dxa"/>
            <w:vAlign w:val="bottom"/>
          </w:tcPr>
          <w:p>
            <w:pPr>
              <w:ind w:left="360"/>
              <w:spacing w:after="0"/>
              <w:rPr>
                <w:sz w:val="20"/>
                <w:szCs w:val="20"/>
                <w:color w:val="auto"/>
              </w:rPr>
            </w:pPr>
            <w:r>
              <w:rPr>
                <w:rFonts w:ascii="Arial" w:cs="Arial" w:eastAsia="Arial" w:hAnsi="Arial"/>
                <w:sz w:val="14"/>
                <w:szCs w:val="14"/>
                <w:color w:val="auto"/>
              </w:rPr>
              <w:t>Non-accelerated filer</w:t>
            </w:r>
          </w:p>
        </w:tc>
        <w:tc>
          <w:tcPr>
            <w:tcW w:w="15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color w:val="auto"/>
                <w:w w:val="94"/>
              </w:rPr>
              <w:t>Smaller reporting company</w:t>
            </w:r>
          </w:p>
        </w:tc>
        <w:tc>
          <w:tcPr>
            <w:tcW w:w="17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spacing w:after="0"/>
              <w:rPr>
                <w:sz w:val="16"/>
                <w:szCs w:val="16"/>
                <w:color w:val="auto"/>
              </w:rPr>
            </w:pPr>
          </w:p>
        </w:tc>
      </w:tr>
      <w:tr>
        <w:trPr>
          <w:trHeight w:val="226"/>
        </w:trPr>
        <w:tc>
          <w:tcPr>
            <w:tcW w:w="1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color w:val="auto"/>
                <w:w w:val="93"/>
              </w:rPr>
              <w:t>Emerging growth company</w:t>
            </w:r>
          </w:p>
        </w:tc>
        <w:tc>
          <w:tcPr>
            <w:tcW w:w="17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spacing w:after="0"/>
              <w:rPr>
                <w:sz w:val="19"/>
                <w:szCs w:val="19"/>
                <w:color w:val="auto"/>
              </w:rPr>
            </w:pPr>
          </w:p>
        </w:tc>
      </w:tr>
      <w:tr>
        <w:trPr>
          <w:trHeight w:val="199"/>
        </w:trPr>
        <w:tc>
          <w:tcPr>
            <w:tcW w:w="9740" w:type="dxa"/>
            <w:vAlign w:val="bottom"/>
            <w:gridSpan w:val="8"/>
          </w:tcPr>
          <w:p>
            <w:pPr>
              <w:ind w:left="360"/>
              <w:spacing w:after="0"/>
              <w:rPr>
                <w:sz w:val="20"/>
                <w:szCs w:val="20"/>
                <w:color w:val="auto"/>
              </w:rPr>
            </w:pPr>
            <w:r>
              <w:rPr>
                <w:rFonts w:ascii="Arial" w:cs="Arial" w:eastAsia="Arial" w:hAnsi="Arial"/>
                <w:sz w:val="14"/>
                <w:szCs w:val="14"/>
                <w:color w:val="auto"/>
                <w:w w:val="97"/>
              </w:rPr>
              <w:t>If an emerging growth company, indicate by check mark if the registrant has not elected to use the extended transition period for complying with any new or</w:t>
            </w:r>
          </w:p>
        </w:tc>
      </w:tr>
      <w:tr>
        <w:trPr>
          <w:trHeight w:val="226"/>
        </w:trPr>
        <w:tc>
          <w:tcPr>
            <w:tcW w:w="6880" w:type="dxa"/>
            <w:vAlign w:val="bottom"/>
            <w:gridSpan w:val="6"/>
          </w:tcPr>
          <w:p>
            <w:pPr>
              <w:spacing w:after="0" w:line="161" w:lineRule="exact"/>
              <w:rPr>
                <w:sz w:val="20"/>
                <w:szCs w:val="20"/>
                <w:color w:val="auto"/>
              </w:rPr>
            </w:pPr>
            <w:r>
              <w:rPr>
                <w:rFonts w:ascii="Arial" w:cs="Arial" w:eastAsia="Arial" w:hAnsi="Arial"/>
                <w:sz w:val="14"/>
                <w:szCs w:val="14"/>
                <w:color w:val="auto"/>
              </w:rPr>
              <w:t xml:space="preserve">revised financial accounting standards provided pursuant to Section 7(a)(2)(B) of the Securities Act. </w:t>
            </w:r>
            <w:r>
              <w:rPr>
                <w:rFonts w:ascii="MS PGothic" w:cs="MS PGothic" w:eastAsia="MS PGothic" w:hAnsi="MS PGothic"/>
                <w:sz w:val="14"/>
                <w:szCs w:val="14"/>
                <w:color w:val="auto"/>
              </w:rPr>
              <w:t>☒</w:t>
            </w:r>
          </w:p>
        </w:tc>
        <w:tc>
          <w:tcPr>
            <w:tcW w:w="17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80"/>
        </w:trPr>
        <w:tc>
          <w:tcPr>
            <w:tcW w:w="1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tcBorders>
              <w:bottom w:val="single" w:sz="8" w:color="auto"/>
            </w:tcBorders>
            <w:gridSpan w:val="2"/>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79"/>
        </w:trPr>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20" w:type="dxa"/>
            <w:vAlign w:val="bottom"/>
            <w:gridSpan w:val="4"/>
          </w:tcPr>
          <w:p>
            <w:pPr>
              <w:ind w:left="220"/>
              <w:spacing w:after="0"/>
              <w:rPr>
                <w:sz w:val="20"/>
                <w:szCs w:val="20"/>
                <w:color w:val="auto"/>
              </w:rPr>
            </w:pPr>
            <w:r>
              <w:rPr>
                <w:rFonts w:ascii="Arial" w:cs="Arial" w:eastAsia="Arial" w:hAnsi="Arial"/>
                <w:sz w:val="14"/>
                <w:szCs w:val="14"/>
                <w:b w:val="1"/>
                <w:bCs w:val="1"/>
                <w:color w:val="auto"/>
              </w:rPr>
              <w:t>CALCULATION OF REGISTRATION FEE</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1"/>
        </w:trPr>
        <w:tc>
          <w:tcPr>
            <w:tcW w:w="17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3"/>
        </w:trPr>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jc w:val="center"/>
              <w:ind w:left="168"/>
              <w:spacing w:after="0" w:line="143" w:lineRule="exact"/>
              <w:rPr>
                <w:sz w:val="20"/>
                <w:szCs w:val="20"/>
                <w:color w:val="auto"/>
              </w:rPr>
            </w:pPr>
            <w:r>
              <w:rPr>
                <w:rFonts w:ascii="Arial" w:cs="Arial" w:eastAsia="Arial" w:hAnsi="Arial"/>
                <w:sz w:val="14"/>
                <w:szCs w:val="14"/>
                <w:b w:val="1"/>
                <w:bCs w:val="1"/>
                <w:color w:val="auto"/>
                <w:w w:val="93"/>
              </w:rPr>
              <w:t>Amount to be</w:t>
            </w:r>
          </w:p>
        </w:tc>
        <w:tc>
          <w:tcPr>
            <w:tcW w:w="17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4"/>
              </w:rPr>
              <w:t>Proposed Maximum</w:t>
            </w:r>
          </w:p>
        </w:tc>
        <w:tc>
          <w:tcPr>
            <w:tcW w:w="1780" w:type="dxa"/>
            <w:vAlign w:val="bottom"/>
          </w:tcPr>
          <w:p>
            <w:pPr>
              <w:ind w:left="260"/>
              <w:spacing w:after="0" w:line="143" w:lineRule="exact"/>
              <w:rPr>
                <w:sz w:val="20"/>
                <w:szCs w:val="20"/>
                <w:color w:val="auto"/>
              </w:rPr>
            </w:pPr>
            <w:r>
              <w:rPr>
                <w:rFonts w:ascii="Arial" w:cs="Arial" w:eastAsia="Arial" w:hAnsi="Arial"/>
                <w:sz w:val="14"/>
                <w:szCs w:val="14"/>
                <w:b w:val="1"/>
                <w:bCs w:val="1"/>
                <w:color w:val="auto"/>
              </w:rPr>
              <w:t>Proposed Maximum</w:t>
            </w:r>
          </w:p>
        </w:tc>
        <w:tc>
          <w:tcPr>
            <w:tcW w:w="10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Amount of</w:t>
            </w:r>
          </w:p>
        </w:tc>
      </w:tr>
      <w:tr>
        <w:trPr>
          <w:trHeight w:val="230"/>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Title of Each Class of Securities to be Registered</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188"/>
              <w:spacing w:after="0" w:line="230" w:lineRule="exact"/>
              <w:rPr>
                <w:sz w:val="20"/>
                <w:szCs w:val="20"/>
                <w:color w:val="auto"/>
              </w:rPr>
            </w:pPr>
            <w:r>
              <w:rPr>
                <w:rFonts w:ascii="Arial" w:cs="Arial" w:eastAsia="Arial" w:hAnsi="Arial"/>
                <w:sz w:val="14"/>
                <w:szCs w:val="14"/>
                <w:b w:val="1"/>
                <w:bCs w:val="1"/>
                <w:color w:val="auto"/>
                <w:w w:val="87"/>
              </w:rPr>
              <w:t>Registered</w:t>
            </w:r>
            <w:r>
              <w:rPr>
                <w:rFonts w:ascii="Arial" w:cs="Arial" w:eastAsia="Arial" w:hAnsi="Arial"/>
                <w:sz w:val="21"/>
                <w:szCs w:val="21"/>
                <w:b w:val="1"/>
                <w:bCs w:val="1"/>
                <w:color w:val="auto"/>
                <w:w w:val="87"/>
                <w:vertAlign w:val="superscript"/>
              </w:rPr>
              <w:t>(1)</w:t>
            </w:r>
          </w:p>
        </w:tc>
        <w:tc>
          <w:tcPr>
            <w:tcW w:w="178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4"/>
                <w:szCs w:val="14"/>
                <w:b w:val="1"/>
                <w:bCs w:val="1"/>
                <w:color w:val="auto"/>
                <w:w w:val="92"/>
              </w:rPr>
              <w:t>Offering Price per Share</w:t>
            </w:r>
            <w:r>
              <w:rPr>
                <w:rFonts w:ascii="Arial" w:cs="Arial" w:eastAsia="Arial" w:hAnsi="Arial"/>
                <w:sz w:val="21"/>
                <w:szCs w:val="21"/>
                <w:b w:val="1"/>
                <w:bCs w:val="1"/>
                <w:color w:val="auto"/>
                <w:w w:val="92"/>
                <w:vertAlign w:val="superscript"/>
              </w:rPr>
              <w:t>(2)</w:t>
            </w:r>
          </w:p>
        </w:tc>
        <w:tc>
          <w:tcPr>
            <w:tcW w:w="1780" w:type="dxa"/>
            <w:vAlign w:val="bottom"/>
            <w:tcBorders>
              <w:bottom w:val="single" w:sz="8" w:color="auto"/>
            </w:tcBorders>
          </w:tcPr>
          <w:p>
            <w:pPr>
              <w:ind w:left="60"/>
              <w:spacing w:after="0" w:line="230" w:lineRule="exact"/>
              <w:rPr>
                <w:sz w:val="20"/>
                <w:szCs w:val="20"/>
                <w:color w:val="auto"/>
              </w:rPr>
            </w:pPr>
            <w:r>
              <w:rPr>
                <w:rFonts w:ascii="Arial" w:cs="Arial" w:eastAsia="Arial" w:hAnsi="Arial"/>
                <w:sz w:val="14"/>
                <w:szCs w:val="14"/>
                <w:b w:val="1"/>
                <w:bCs w:val="1"/>
                <w:color w:val="auto"/>
                <w:w w:val="92"/>
              </w:rPr>
              <w:t>Aggregate Offering Price</w:t>
            </w:r>
            <w:r>
              <w:rPr>
                <w:rFonts w:ascii="Arial" w:cs="Arial" w:eastAsia="Arial" w:hAnsi="Arial"/>
                <w:sz w:val="21"/>
                <w:szCs w:val="21"/>
                <w:b w:val="1"/>
                <w:bCs w:val="1"/>
                <w:color w:val="auto"/>
                <w:w w:val="92"/>
                <w:vertAlign w:val="superscript"/>
              </w:rPr>
              <w:t>(2)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r>
      <w:tr>
        <w:trPr>
          <w:trHeight w:val="228"/>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7"/>
              </w:rPr>
              <w:t>Class A common stock, par value $0.00001 per share</w:t>
            </w:r>
          </w:p>
        </w:tc>
        <w:tc>
          <w:tcPr>
            <w:tcW w:w="18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2,861,059</w:t>
            </w:r>
          </w:p>
        </w:tc>
        <w:tc>
          <w:tcPr>
            <w:tcW w:w="17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3"/>
              </w:rPr>
              <w:t>$42.00</w:t>
            </w:r>
          </w:p>
        </w:tc>
        <w:tc>
          <w:tcPr>
            <w:tcW w:w="1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$120,164,478</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$ 15,597.35</w:t>
            </w: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4"/>
          <w:szCs w:val="24"/>
          <w:color w:val="auto"/>
        </w:rPr>
      </w:pPr>
    </w:p>
    <w:p>
      <w:pPr>
        <w:ind w:left="366" w:hanging="366"/>
        <w:spacing w:after="0"/>
        <w:tabs>
          <w:tab w:leader="none" w:pos="36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amount is in addition to the 17,020,000 shares of Class A common stock registered under the registration statement originally declared effective on</w:t>
      </w:r>
    </w:p>
    <w:p>
      <w:pPr>
        <w:spacing w:after="0" w:line="32" w:lineRule="exact"/>
        <w:rPr>
          <w:rFonts w:ascii="Arial" w:cs="Arial" w:eastAsia="Arial" w:hAnsi="Arial"/>
          <w:sz w:val="13"/>
          <w:szCs w:val="13"/>
          <w:color w:val="auto"/>
        </w:rPr>
      </w:pPr>
    </w:p>
    <w:p>
      <w:pPr>
        <w:ind w:left="366" w:right="20"/>
        <w:spacing w:after="0" w:line="283" w:lineRule="auto"/>
        <w:rPr>
          <w:rFonts w:ascii="Arial" w:cs="Arial" w:eastAsia="Arial" w:hAnsi="Arial"/>
          <w:sz w:val="13"/>
          <w:szCs w:val="13"/>
          <w:color w:val="auto"/>
        </w:rPr>
      </w:pPr>
      <w:r>
        <w:rPr>
          <w:rFonts w:ascii="Arial" w:cs="Arial" w:eastAsia="Arial" w:hAnsi="Arial"/>
          <w:sz w:val="14"/>
          <w:szCs w:val="14"/>
          <w:color w:val="auto"/>
        </w:rPr>
        <w:t>October 17, 2019 (File No. 333-234209), and includes shares of Class A common stock that may be purchased by the underwriters upon exercise of their option to purchase additional shares of Class A common stock.</w:t>
      </w:r>
    </w:p>
    <w:p>
      <w:pPr>
        <w:spacing w:after="0" w:line="5" w:lineRule="exact"/>
        <w:rPr>
          <w:rFonts w:ascii="Arial" w:cs="Arial" w:eastAsia="Arial" w:hAnsi="Arial"/>
          <w:sz w:val="13"/>
          <w:szCs w:val="13"/>
          <w:color w:val="auto"/>
        </w:rPr>
      </w:pPr>
    </w:p>
    <w:p>
      <w:pPr>
        <w:ind w:left="366" w:right="100" w:hanging="366"/>
        <w:spacing w:after="0" w:line="258" w:lineRule="auto"/>
        <w:tabs>
          <w:tab w:leader="none" w:pos="36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amount represents the proposed maximum aggregate offering price of the securities registered hereunder. Estimated solely for the purpose of calculating the amount of the registration fee pursuant to Rule 457(a) under the Securities Act of 1933, as amended.</w:t>
      </w:r>
    </w:p>
    <w:p>
      <w:pPr>
        <w:ind w:left="366"/>
        <w:spacing w:after="0"/>
        <w:rPr>
          <w:rFonts w:ascii="Arial" w:cs="Arial" w:eastAsia="Arial" w:hAnsi="Arial"/>
          <w:sz w:val="14"/>
          <w:szCs w:val="14"/>
          <w:color w:val="auto"/>
        </w:rPr>
      </w:pPr>
      <w:r>
        <w:rPr>
          <w:rFonts w:ascii="Arial" w:cs="Arial" w:eastAsia="Arial" w:hAnsi="Arial"/>
          <w:sz w:val="14"/>
          <w:szCs w:val="14"/>
          <w:b w:val="1"/>
          <w:bCs w:val="1"/>
          <w:color w:val="auto"/>
        </w:rPr>
        <w:t>This Registration Statement shall become effective upon filing in accordance with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182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66675</wp:posOffset>
            </wp:positionV>
            <wp:extent cx="618299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328295</wp:posOffset>
            </wp:positionV>
            <wp:extent cx="68345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746"/>
          </w:cols>
          <w:pgMar w:left="734" w:top="697" w:right="1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08" w:lineRule="exact"/>
        <w:rPr>
          <w:sz w:val="20"/>
          <w:szCs w:val="20"/>
          <w:color w:val="auto"/>
        </w:rPr>
      </w:pPr>
    </w:p>
    <w:p>
      <w:pPr>
        <w:ind w:right="299" w:firstLine="360"/>
        <w:spacing w:after="0" w:line="276" w:lineRule="auto"/>
        <w:rPr>
          <w:sz w:val="20"/>
          <w:szCs w:val="20"/>
          <w:color w:val="auto"/>
        </w:rPr>
      </w:pPr>
      <w:r>
        <w:rPr>
          <w:rFonts w:ascii="Arial" w:cs="Arial" w:eastAsia="Arial" w:hAnsi="Arial"/>
          <w:sz w:val="17"/>
          <w:szCs w:val="17"/>
          <w:color w:val="auto"/>
        </w:rPr>
        <w:t>This Registration Statement is being filed by Tradeweb Markets Inc. (the “Company”) pursuant to Rule 462(b) under the Securities Act of 1933, as amended, to register an additional number of shares of the Company’s Class A common stock, par value $0.00001 per share. The Company hereby incorporates by reference into this Registration Statement on Form S-1 in its entirety the Registration Statement on Form S-1 (File No. 333-234209), as amended (including the exhibits thereto), declared effective on October 17, 2019 by the U.S. Securities and Exchange Commission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7326630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719"/>
          </w:cols>
          <w:pgMar w:left="740" w:top="580" w:right="1440" w:bottom="1440" w:gutter="0" w:footer="0" w:header="0"/>
        </w:sectPr>
      </w:pPr>
    </w:p>
    <w:bookmarkStart w:id="2" w:name="page3"/>
    <w:bookmarkEnd w:id="2"/>
    <w:p>
      <w:pPr>
        <w:ind w:left="3280"/>
        <w:spacing w:after="0"/>
        <w:rPr>
          <w:sz w:val="20"/>
          <w:szCs w:val="20"/>
          <w:color w:val="auto"/>
        </w:rPr>
      </w:pPr>
      <w:r>
        <w:rPr>
          <w:rFonts w:ascii="Arial" w:cs="Arial" w:eastAsia="Arial" w:hAnsi="Arial"/>
          <w:sz w:val="18"/>
          <w:szCs w:val="18"/>
          <w:b w:val="1"/>
          <w:bCs w:val="1"/>
          <w:color w:val="auto"/>
        </w:rPr>
        <w:t>INDEX TO EXHIBITS</w:t>
      </w:r>
    </w:p>
    <w:p>
      <w:pPr>
        <w:spacing w:after="0" w:line="140" w:lineRule="exact"/>
        <w:rPr>
          <w:sz w:val="20"/>
          <w:szCs w:val="20"/>
          <w:color w:val="auto"/>
        </w:rPr>
      </w:pPr>
    </w:p>
    <w:p>
      <w:pPr>
        <w:ind w:left="100"/>
        <w:spacing w:after="0"/>
        <w:tabs>
          <w:tab w:leader="none" w:pos="40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32385</wp:posOffset>
            </wp:positionV>
            <wp:extent cx="5205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0" w:lineRule="exact"/>
        <w:rPr>
          <w:sz w:val="20"/>
          <w:szCs w:val="20"/>
          <w:color w:val="auto"/>
        </w:rPr>
      </w:pPr>
    </w:p>
    <w:p>
      <w:pPr>
        <w:ind w:left="260"/>
        <w:spacing w:after="0"/>
        <w:tabs>
          <w:tab w:leader="none" w:pos="1040" w:val="left"/>
        </w:tabs>
        <w:rPr>
          <w:sz w:val="20"/>
          <w:szCs w:val="20"/>
          <w:color w:val="auto"/>
        </w:rPr>
      </w:pPr>
      <w:r>
        <w:rPr>
          <w:rFonts w:ascii="Arial" w:cs="Arial" w:eastAsia="Arial" w:hAnsi="Arial"/>
          <w:sz w:val="18"/>
          <w:szCs w:val="18"/>
          <w:u w:val="single" w:color="auto"/>
          <w:color w:val="0000EE"/>
        </w:rPr>
        <w:t>5.1*</w:t>
      </w:r>
      <w:r>
        <w:rPr>
          <w:sz w:val="20"/>
          <w:szCs w:val="20"/>
          <w:color w:val="auto"/>
        </w:rPr>
        <w:tab/>
      </w:r>
      <w:r>
        <w:rPr>
          <w:rFonts w:ascii="Arial" w:cs="Arial" w:eastAsia="Arial" w:hAnsi="Arial"/>
          <w:sz w:val="16"/>
          <w:szCs w:val="16"/>
          <w:u w:val="single" w:color="auto"/>
          <w:color w:val="0000EE"/>
        </w:rPr>
        <w:t>Opinion of Fried, Frank, Harris, Shriver &amp; Jacobson LLP.</w:t>
      </w:r>
    </w:p>
    <w:p>
      <w:pPr>
        <w:spacing w:after="0" w:line="77"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u w:val="single" w:color="auto"/>
          <w:color w:val="0000EE"/>
        </w:rPr>
        <w:t>Consent of Deloitte &amp; Touche LLP.</w:t>
      </w:r>
    </w:p>
    <w:p>
      <w:pPr>
        <w:spacing w:after="0" w:line="77"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u w:val="single" w:color="auto"/>
          <w:color w:val="0000EE"/>
        </w:rPr>
        <w:t>23.2*</w:t>
      </w:r>
      <w:r>
        <w:rPr>
          <w:sz w:val="20"/>
          <w:szCs w:val="20"/>
          <w:color w:val="auto"/>
        </w:rPr>
        <w:tab/>
      </w:r>
      <w:r>
        <w:rPr>
          <w:rFonts w:ascii="Arial" w:cs="Arial" w:eastAsia="Arial" w:hAnsi="Arial"/>
          <w:sz w:val="16"/>
          <w:szCs w:val="16"/>
          <w:u w:val="single" w:color="auto"/>
          <w:color w:val="0000EE"/>
        </w:rPr>
        <w:t>Consent of Deloitte &amp; Touche LLP.</w:t>
      </w:r>
    </w:p>
    <w:p>
      <w:pPr>
        <w:spacing w:after="0" w:line="90"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u w:val="single" w:color="auto"/>
          <w:color w:val="0000EE"/>
        </w:rPr>
        <w:t>23.3*</w:t>
      </w:r>
      <w:r>
        <w:rPr>
          <w:sz w:val="20"/>
          <w:szCs w:val="20"/>
          <w:color w:val="auto"/>
        </w:rPr>
        <w:tab/>
      </w:r>
      <w:r>
        <w:rPr>
          <w:rFonts w:ascii="Arial" w:cs="Arial" w:eastAsia="Arial" w:hAnsi="Arial"/>
          <w:sz w:val="16"/>
          <w:szCs w:val="16"/>
          <w:u w:val="single" w:color="auto"/>
          <w:color w:val="0000EE"/>
        </w:rPr>
        <w:t>Consent of PricewaterhouseCoopers LLP.</w:t>
      </w:r>
    </w:p>
    <w:p>
      <w:pPr>
        <w:spacing w:after="0" w:line="90"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u w:val="single" w:color="auto"/>
          <w:color w:val="0000EE"/>
        </w:rPr>
        <w:t>23.4*</w:t>
      </w:r>
      <w:r>
        <w:rPr>
          <w:sz w:val="20"/>
          <w:szCs w:val="20"/>
          <w:color w:val="auto"/>
        </w:rPr>
        <w:tab/>
      </w:r>
      <w:r>
        <w:rPr>
          <w:rFonts w:ascii="Arial" w:cs="Arial" w:eastAsia="Arial" w:hAnsi="Arial"/>
          <w:sz w:val="16"/>
          <w:szCs w:val="16"/>
          <w:u w:val="single" w:color="auto"/>
          <w:color w:val="0000EE"/>
        </w:rPr>
        <w:t>Consent of Fried, Frank, Harris, Shriver &amp; Jacobson LLP (included in Exhibit 5.1).</w:t>
      </w:r>
    </w:p>
    <w:p>
      <w:pPr>
        <w:spacing w:after="0" w:line="77" w:lineRule="exact"/>
        <w:rPr>
          <w:sz w:val="20"/>
          <w:szCs w:val="20"/>
          <w:color w:val="auto"/>
        </w:rPr>
      </w:pPr>
    </w:p>
    <w:p>
      <w:pPr>
        <w:ind w:left="1060" w:right="759" w:hanging="832"/>
        <w:spacing w:after="0" w:line="308" w:lineRule="auto"/>
        <w:tabs>
          <w:tab w:leader="none" w:pos="1040" w:val="left"/>
        </w:tabs>
        <w:rPr>
          <w:rFonts w:ascii="Arial" w:cs="Arial" w:eastAsia="Arial" w:hAnsi="Arial"/>
          <w:sz w:val="17"/>
          <w:szCs w:val="17"/>
          <w:u w:val="single" w:color="auto"/>
          <w:color w:val="0000EE"/>
        </w:rPr>
      </w:pPr>
      <w:hyperlink r:id="rId21">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r:id="rId21">
        <w:r>
          <w:rPr>
            <w:rFonts w:ascii="Arial" w:cs="Arial" w:eastAsia="Arial" w:hAnsi="Arial"/>
            <w:sz w:val="17"/>
            <w:szCs w:val="17"/>
            <w:u w:val="single" w:color="auto"/>
            <w:color w:val="0000EE"/>
          </w:rPr>
          <w:t>Power of Attorney (contained on the signature page to the Registration Statement on Form S-1 filed</w:t>
        </w:r>
      </w:hyperlink>
      <w:r>
        <w:rPr>
          <w:rFonts w:ascii="Arial" w:cs="Arial" w:eastAsia="Arial" w:hAnsi="Arial"/>
          <w:sz w:val="17"/>
          <w:szCs w:val="17"/>
          <w:u w:val="single" w:color="auto"/>
          <w:color w:val="0000EE"/>
        </w:rPr>
        <w:t xml:space="preserve"> </w:t>
      </w:r>
      <w:hyperlink r:id="rId21">
        <w:r>
          <w:rPr>
            <w:rFonts w:ascii="Arial" w:cs="Arial" w:eastAsia="Arial" w:hAnsi="Arial"/>
            <w:sz w:val="17"/>
            <w:szCs w:val="17"/>
            <w:u w:val="single" w:color="auto"/>
            <w:color w:val="0000EE"/>
          </w:rPr>
          <w:t>on October 15, 2019 (File No. 333-234209) and incorporated herein by reference).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40640</wp:posOffset>
            </wp:positionH>
            <wp:positionV relativeFrom="paragraph">
              <wp:posOffset>170815</wp:posOffset>
            </wp:positionV>
            <wp:extent cx="1235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ind w:left="420" w:hanging="35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-768985</wp:posOffset>
            </wp:positionH>
            <wp:positionV relativeFrom="paragraph">
              <wp:posOffset>5559425</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60" w:right="779" w:firstLine="360"/>
        <w:spacing w:after="0" w:line="25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this 17</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of October, 2019.</w:t>
      </w:r>
    </w:p>
    <w:p>
      <w:pPr>
        <w:spacing w:after="0" w:line="9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Tradeweb Markets Inc.</w:t>
      </w:r>
    </w:p>
    <w:p>
      <w:pPr>
        <w:spacing w:after="0" w:line="28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48895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Lee Olesky</w:t>
      </w:r>
    </w:p>
    <w:p>
      <w:pPr>
        <w:spacing w:after="0" w:line="1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Executive Officer</w:t>
      </w:r>
    </w:p>
    <w:p>
      <w:pPr>
        <w:spacing w:after="0" w:line="88" w:lineRule="exact"/>
        <w:rPr>
          <w:sz w:val="20"/>
          <w:szCs w:val="20"/>
          <w:color w:val="auto"/>
        </w:rPr>
      </w:pPr>
    </w:p>
    <w:p>
      <w:pPr>
        <w:ind w:left="60" w:right="77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8" w:lineRule="exact"/>
        <w:rPr>
          <w:sz w:val="20"/>
          <w:szCs w:val="20"/>
          <w:color w:val="auto"/>
        </w:rPr>
      </w:pPr>
    </w:p>
    <w:p>
      <w:pPr>
        <w:ind w:left="1220"/>
        <w:spacing w:after="0"/>
        <w:tabs>
          <w:tab w:leader="none" w:pos="4660" w:val="left"/>
          <w:tab w:leader="none" w:pos="7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32385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p>
      <w:pPr>
        <w:spacing w:after="0" w:line="32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Lee Olesky</w:t>
      </w:r>
    </w:p>
    <w:p>
      <w:pPr>
        <w:spacing w:after="0" w:line="320"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63500</wp:posOffset>
            </wp:positionV>
            <wp:extent cx="18522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2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Robert Warshaw</w:t>
      </w:r>
    </w:p>
    <w:p>
      <w:pPr>
        <w:spacing w:after="0" w:line="33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Martin Brand</w:t>
      </w: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John G. Finley</w:t>
      </w: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Scott C. Ganeles</w:t>
      </w: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William Hult</w:t>
      </w: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Paula B. Madoff</w:t>
      </w: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Thomas Pluta</w:t>
      </w: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Debra Walton</w:t>
      </w: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8522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Brian West</w:t>
      </w:r>
    </w:p>
    <w:p>
      <w:pPr>
        <w:spacing w:after="0" w:line="252" w:lineRule="exact"/>
        <w:rPr>
          <w:sz w:val="20"/>
          <w:szCs w:val="20"/>
          <w:color w:val="auto"/>
        </w:rPr>
      </w:pPr>
    </w:p>
    <w:p>
      <w:pPr>
        <w:ind w:left="280" w:right="980" w:hanging="212"/>
        <w:spacing w:after="0" w:line="407" w:lineRule="auto"/>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 Lee Olesky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-257175</wp:posOffset>
            </wp:positionV>
            <wp:extent cx="17151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560" w:type="dxa"/>
            <w:vAlign w:val="bottom"/>
            <w:vMerge w:val="restart"/>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122"/>
        </w:trPr>
        <w:tc>
          <w:tcPr>
            <w:tcW w:w="3340" w:type="dxa"/>
            <w:vAlign w:val="bottom"/>
            <w:vMerge w:val="restart"/>
          </w:tcPr>
          <w:p>
            <w:pPr>
              <w:spacing w:after="0"/>
              <w:rPr>
                <w:sz w:val="20"/>
                <w:szCs w:val="20"/>
                <w:color w:val="auto"/>
              </w:rPr>
            </w:pPr>
            <w:r>
              <w:rPr>
                <w:rFonts w:ascii="Arial" w:cs="Arial" w:eastAsia="Arial" w:hAnsi="Arial"/>
                <w:sz w:val="18"/>
                <w:szCs w:val="18"/>
                <w:color w:val="auto"/>
              </w:rPr>
              <w:t>(Principal Executive Officer) and Director</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6"/>
        </w:trPr>
        <w:tc>
          <w:tcPr>
            <w:tcW w:w="3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797"/>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797"/>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797"/>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797"/>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797"/>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797"/>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r>
        <w:trPr>
          <w:trHeight w:val="797"/>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October 17,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1144905</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2">
            <w:col w:w="2480" w:space="720"/>
            <w:col w:w="5819"/>
          </w:cols>
          <w:pgMar w:left="1440" w:top="1067"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Fried, Frank, Harris, Shriver &amp; Jacobson LLP]</w:t>
      </w:r>
    </w:p>
    <w:p>
      <w:pPr>
        <w:spacing w:after="0" w:line="279"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October 17,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filed under Rule 462(b)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acted as counsel to Tradeweb Markets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Company’s (i) Registration Statement on Form S-1 (Registration No. 333-234209) (the “</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“Securities Act”) and (ii) an additional Registration Statement on Form S-1 filed pursuant to Rule 462(b) under the Securities Act (the “</w:t>
      </w:r>
      <w:r>
        <w:rPr>
          <w:rFonts w:ascii="Arial" w:cs="Arial" w:eastAsia="Arial" w:hAnsi="Arial"/>
          <w:sz w:val="16"/>
          <w:szCs w:val="16"/>
          <w:u w:val="single" w:color="auto"/>
          <w:color w:val="auto"/>
        </w:rPr>
        <w:t>462(b) Registration Statement</w:t>
      </w:r>
      <w:r>
        <w:rPr>
          <w:rFonts w:ascii="Arial" w:cs="Arial" w:eastAsia="Arial" w:hAnsi="Arial"/>
          <w:sz w:val="16"/>
          <w:szCs w:val="16"/>
          <w:color w:val="auto"/>
        </w:rPr>
        <w:t>”). The 462(b) Registration Statement relates to the registration of an additional 2,861,059 shares of the Company’s Class A common stock, par value $0.00001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being offered by the Company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The Additional Shares include shares which may be purchased by the underwriters upon the exercise of the option to purchase additional Class A common stock granted to the underwriters by the Company. The Additional Shares are proposed to be sold pursuant 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to be entered into among the Company and Tradeweb Markets LLC and J.P. Morgan Securities LLC, Barclays Capital Inc., Citigroup Global Markets Inc., Goldman Sachs &amp; Co. LLC and Morgan Stanley &amp; Co. LLC, as representatives of the several underwriters named in Schedule I thereto.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(i) investigated such questions of law, (ii) examined the originals or certified, conformed, facsimile,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facsimile,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10940"/>
        <w:spacing w:after="0"/>
        <w:rPr>
          <w:sz w:val="20"/>
          <w:szCs w:val="20"/>
          <w:color w:val="auto"/>
        </w:rPr>
      </w:pPr>
      <w:r>
        <w:rPr>
          <w:rFonts w:ascii="Arial" w:cs="Arial" w:eastAsia="Arial" w:hAnsi="Arial"/>
          <w:sz w:val="15"/>
          <w:szCs w:val="15"/>
          <w:color w:val="auto"/>
        </w:rPr>
        <w:t>Page 2</w:t>
      </w:r>
    </w:p>
    <w:p>
      <w:pPr>
        <w:spacing w:after="0" w:line="2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upon the foregoing and subject to the limitations, qualifications and assumptions set forth herein, we are of the opinion that the Additional Shares have been duly authorized and, when issued and delivered pursuant to the Underwriting Agreement against payment of the consideration set forth therein, will be validly issued, fully paid and nonassessable.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opinion expressed herein is limited to the applicable provisions of the General Corporation Law of the State of Delaware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We undertake no responsibility to update or supplement this letter after the effectiveness of the 462(b) Registration Statement.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the 462(b) Registration Statement and to the references to this firm under the caption “Legal Matters” in the prospectus included in the Initial Registration Statement, which is incorporated by reference into the 462(b) Registration Statement. In giving this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Fried, Frank, Harris, Shriver &amp; Jacobson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FRIED, FRANK, HARRIS, SHRIVER &amp; JACOBSON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S-1 of Tradeweb Markets Inc. of our report dated March 5, 2019 relating to the financial statement of Tradeweb Markets Inc. included in Registration Statement No. 333-234209 on Form S-1 of Tradeweb Markets Inc., and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on Form S-1 of Tradeweb Markets Inc. of our report dated March 5, 2019 (March 25, 2019 as to the subsequent events described in Note 22, and June 17, 2019 as to the effects of the recapitalization described in Note 2) relating to the consolidated financial statements of Tradeweb Markets LLC (which report expresses an unqualified opinion and includes an emphasis of a matter paragraph relating to the Successor Period financial statements not being comparable to the Predecessor Period financial statements as a result of pushdown accounting) included in Registration Statement No. 333-234209 on Form S-1 of Tradeweb Markets Inc., and to the reference to us under the heading "Experts" in such Registration Statement.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October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December 17, 2018, except for the impacts of the amendment to the LLC agreement discussed in Note 2 to the consolidated financial statements as to which the date is May 20, 2019, relating to the financial statements of Tradeweb Markets LLC, which appears in the Registration Statement on Form S-1 (No. 333-234209) of Tradeweb Markets Inc. We also consent to the reference to us under the heading “Experts” in the Registration Statement on Form S-1 (No. 333-234209) incorporated by reference in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21" Type="http://schemas.openxmlformats.org/officeDocument/2006/relationships/hyperlink" Target="http://www.sec.gov/Archives/edgar/data/1758730/000110465919054160/tv529956-s1.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2019-12-04T22:57:49Z</dcterms:created>
  <dcterms:modified xsi:type="dcterms:W3CDTF">2019-12-04T22:57:49Z</dcterms:modified>
</cp:coreProperties>
</file>