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Hult William</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11/02/2020</w:t>
      </w:r>
    </w:p>
    <w:p>
      <w:pPr>
        <w:spacing w:after="0" w:line="20" w:lineRule="exact"/>
        <w:rPr>
          <w:sz w:val="24"/>
          <w:szCs w:val="24"/>
          <w:color w:val="auto"/>
        </w:rPr>
      </w:pPr>
      <w:r>
        <w:rPr>
          <w:sz w:val="24"/>
          <w:szCs w:val="24"/>
          <w:color w:val="auto"/>
        </w:rPr>
        <w:br w:type="column"/>
      </w:r>
    </w:p>
    <w:p>
      <w:pPr>
        <w:ind w:left="-2" w:right="620" w:firstLine="2"/>
        <w:spacing w:after="0" w:line="262"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3"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733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733550"/>
                    </a:xfrm>
                    <a:prstGeom prst="rect">
                      <a:avLst/>
                    </a:prstGeom>
                    <a:noFill/>
                  </pic:spPr>
                </pic:pic>
              </a:graphicData>
            </a:graphic>
          </wp:anchor>
        </w:drawing>
      </w:r>
    </w:p>
    <w:p>
      <w:pPr>
        <w:spacing w:after="0" w:line="347"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527,375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30,925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54.7583</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496,450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10,820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55.8616</w:t>
            </w:r>
            <w:r>
              <w:rPr>
                <w:rFonts w:ascii="Times New Roman" w:cs="Times New Roman" w:eastAsia="Times New Roman" w:hAnsi="Times New Roman"/>
                <w:sz w:val="21"/>
                <w:szCs w:val="21"/>
                <w:color w:val="008000"/>
                <w:w w:val="96"/>
                <w:vertAlign w:val="superscript"/>
              </w:rPr>
              <w:t>(4)</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485,630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Times New Roman" w:cs="Times New Roman" w:eastAsia="Times New Roman" w:hAnsi="Times New Roman"/>
                <w:sz w:val="17"/>
                <w:szCs w:val="17"/>
                <w:color w:val="0000FF"/>
                <w:w w:val="98"/>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8,255</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56.2818</w:t>
            </w:r>
            <w:r>
              <w:rPr>
                <w:rFonts w:ascii="Times New Roman" w:cs="Times New Roman" w:eastAsia="Times New Roman" w:hAnsi="Times New Roman"/>
                <w:sz w:val="21"/>
                <w:szCs w:val="21"/>
                <w:color w:val="008000"/>
                <w:w w:val="96"/>
                <w:vertAlign w:val="superscript"/>
              </w:rPr>
              <w:t>(5)</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477,375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11/02/2020</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3" w:lineRule="exact"/>
              <w:rPr>
                <w:sz w:val="20"/>
                <w:szCs w:val="20"/>
                <w:color w:val="auto"/>
              </w:rPr>
            </w:pPr>
            <w:r>
              <w:rPr>
                <w:rFonts w:ascii="Times New Roman" w:cs="Times New Roman" w:eastAsia="Times New Roman" w:hAnsi="Times New Roman"/>
                <w:sz w:val="13"/>
                <w:szCs w:val="13"/>
                <w:color w:val="0000FF"/>
              </w:rPr>
              <w:t>1,059,890</w:t>
            </w: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-2061210</wp:posOffset>
            </wp:positionV>
            <wp:extent cx="7033260" cy="2103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375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13, 2019.</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173,181 unvested restricted stock units ("RSUs") in respect of the issuer's Class A common stock ("Class A Common Stock") which are scheduled to vest on January 1, 2021, (ii) 249,102 unvested RSUs in respect of Class A Common Stock which are scheduled to vest on January 1, 2022, and (iii) 43,092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jc w:val="both"/>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$54.15 to $55.12,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$55.22 to $56.21,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$56.22 to $56.37,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11/03/2020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 for William Hult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2020-11-03T15:38:30Z</dcterms:created>
  <dcterms:modified xsi:type="dcterms:W3CDTF">2020-11-03T15:38:30Z</dcterms:modified>
</cp:coreProperties>
</file>