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60" w:type="dxa"/>
            <w:vAlign w:val="bottom"/>
          </w:tcPr>
          <w:p>
            <w:pPr>
              <w:jc w:val="center"/>
              <w:ind w:right="2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55"/>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6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-633095</wp:posOffset>
            </wp:positionV>
            <wp:extent cx="58420" cy="646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17145</wp:posOffset>
            </wp:positionV>
            <wp:extent cx="7325360" cy="4677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467741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80" w:space="460"/>
            <w:col w:w="878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Hult William</w:t>
        </w:r>
      </w:hyperlink>
    </w:p>
    <w:p>
      <w:pPr>
        <w:spacing w:after="0" w:line="30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10/26/2018</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6" w:right="740" w:hanging="6"/>
        <w:spacing w:after="0"/>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06"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1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40" w:type="dxa"/>
            <w:vAlign w:val="bottom"/>
          </w:tcPr>
          <w:p>
            <w:pPr>
              <w:spacing w:after="0"/>
              <w:rPr>
                <w:sz w:val="21"/>
                <w:szCs w:val="21"/>
                <w:color w:val="auto"/>
              </w:rPr>
            </w:pPr>
          </w:p>
        </w:tc>
        <w:tc>
          <w:tcPr>
            <w:tcW w:w="1640" w:type="dxa"/>
            <w:vAlign w:val="bottom"/>
          </w:tcPr>
          <w:p>
            <w:pPr>
              <w:ind w:left="90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71" w:lineRule="exact"/>
        <w:rPr>
          <w:sz w:val="24"/>
          <w:szCs w:val="24"/>
          <w:color w:val="auto"/>
        </w:rPr>
      </w:pPr>
    </w:p>
    <w:p>
      <w:pPr>
        <w:sectPr>
          <w:pgSz w:w="11900" w:h="16838" w:orient="portrait"/>
          <w:cols w:equalWidth="0" w:num="3">
            <w:col w:w="3340" w:space="720"/>
            <w:col w:w="3254" w:space="720"/>
            <w:col w:w="3486"/>
          </w:cols>
          <w:pgMar w:left="240" w:top="222" w:right="139" w:bottom="144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3720" w:type="dxa"/>
            <w:vAlign w:val="bottom"/>
            <w:gridSpan w:val="8"/>
            <w:vMerge w:val="restart"/>
          </w:tcPr>
          <w:p>
            <w:pPr>
              <w:jc w:val="center"/>
              <w:ind w:right="33"/>
              <w:spacing w:after="0"/>
              <w:rPr>
                <w:sz w:val="20"/>
                <w:szCs w:val="20"/>
                <w:color w:val="auto"/>
              </w:rPr>
            </w:pPr>
            <w:r>
              <w:rPr>
                <w:rFonts w:ascii="Arial" w:cs="Arial" w:eastAsia="Arial" w:hAnsi="Arial"/>
                <w:sz w:val="13"/>
                <w:szCs w:val="13"/>
                <w:color w:val="auto"/>
                <w:w w:val="99"/>
              </w:rPr>
              <w:t>4. If Amendment, Date of Original Filed (Month/Day/Year)</w:t>
            </w:r>
          </w:p>
        </w:tc>
        <w:tc>
          <w:tcPr>
            <w:tcW w:w="240" w:type="dxa"/>
            <w:vAlign w:val="bottom"/>
          </w:tcPr>
          <w:p>
            <w:pPr>
              <w:spacing w:after="0"/>
              <w:rPr>
                <w:sz w:val="2"/>
                <w:szCs w:val="2"/>
                <w:color w:val="auto"/>
              </w:rPr>
            </w:pPr>
          </w:p>
        </w:tc>
        <w:tc>
          <w:tcPr>
            <w:tcW w:w="366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720" w:type="dxa"/>
            <w:vAlign w:val="bottom"/>
            <w:gridSpan w:val="8"/>
            <w:vMerge w:val="continue"/>
          </w:tcPr>
          <w:p>
            <w:pPr>
              <w:spacing w:after="0"/>
              <w:rPr>
                <w:sz w:val="11"/>
                <w:szCs w:val="11"/>
                <w:color w:val="auto"/>
              </w:rPr>
            </w:pPr>
          </w:p>
        </w:tc>
        <w:tc>
          <w:tcPr>
            <w:tcW w:w="240" w:type="dxa"/>
            <w:vAlign w:val="bottom"/>
          </w:tcPr>
          <w:p>
            <w:pPr>
              <w:spacing w:after="0"/>
              <w:rPr>
                <w:sz w:val="11"/>
                <w:szCs w:val="11"/>
                <w:color w:val="auto"/>
              </w:rPr>
            </w:pPr>
          </w:p>
        </w:tc>
        <w:tc>
          <w:tcPr>
            <w:tcW w:w="36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gridSpan w:val="2"/>
          </w:tcPr>
          <w:p>
            <w:pPr>
              <w:ind w:left="18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60"/>
              <w:spacing w:after="0"/>
              <w:rPr>
                <w:sz w:val="20"/>
                <w:szCs w:val="20"/>
                <w:color w:val="auto"/>
              </w:rPr>
            </w:pPr>
            <w:r>
              <w:rPr>
                <w:rFonts w:ascii="Arial" w:cs="Arial" w:eastAsia="Arial" w:hAnsi="Arial"/>
                <w:sz w:val="17"/>
                <w:szCs w:val="17"/>
                <w:color w:val="0000FF"/>
              </w:rPr>
              <w:t>10036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2"/>
          </w:tcPr>
          <w:p>
            <w:pPr>
              <w:ind w:left="380"/>
              <w:spacing w:after="0"/>
              <w:rPr>
                <w:sz w:val="20"/>
                <w:szCs w:val="20"/>
                <w:color w:val="auto"/>
              </w:rPr>
            </w:pPr>
            <w:r>
              <w:rPr>
                <w:rFonts w:ascii="Arial" w:cs="Arial" w:eastAsia="Arial" w:hAnsi="Arial"/>
                <w:sz w:val="17"/>
                <w:szCs w:val="17"/>
                <w:color w:val="0000FF"/>
              </w:rPr>
              <w:t>X</w:t>
            </w:r>
          </w:p>
        </w:tc>
        <w:tc>
          <w:tcPr>
            <w:tcW w:w="2240" w:type="dxa"/>
            <w:vAlign w:val="bottom"/>
            <w:gridSpan w:val="4"/>
          </w:tcPr>
          <w:p>
            <w:pPr>
              <w:ind w:left="16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6"/>
          </w:tcPr>
          <w:p>
            <w:pPr>
              <w:jc w:val="center"/>
              <w:ind w:left="71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9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6"/>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00"/>
              <w:spacing w:after="0" w:line="128" w:lineRule="exact"/>
              <w:rPr>
                <w:sz w:val="20"/>
                <w:szCs w:val="20"/>
                <w:color w:val="auto"/>
              </w:rPr>
            </w:pPr>
            <w:r>
              <w:rPr>
                <w:rFonts w:ascii="Arial" w:cs="Arial" w:eastAsia="Arial" w:hAnsi="Arial"/>
                <w:sz w:val="12"/>
                <w:szCs w:val="12"/>
                <w:b w:val="1"/>
                <w:bCs w:val="1"/>
                <w:color w:val="auto"/>
                <w:w w:val="92"/>
              </w:rPr>
              <w:t>Date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82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 5)</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90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54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72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4"/>
          </w:tcPr>
          <w:p>
            <w:pPr>
              <w:ind w:left="1000"/>
              <w:spacing w:after="0"/>
              <w:rPr>
                <w:sz w:val="20"/>
                <w:szCs w:val="20"/>
                <w:color w:val="auto"/>
              </w:rPr>
            </w:pPr>
            <w:r>
              <w:rPr>
                <w:rFonts w:ascii="Arial" w:cs="Arial" w:eastAsia="Arial" w:hAnsi="Arial"/>
                <w:sz w:val="17"/>
                <w:szCs w:val="17"/>
                <w:color w:val="0000FF"/>
              </w:rPr>
              <w:t>04/08/2019</w:t>
            </w:r>
          </w:p>
        </w:tc>
        <w:tc>
          <w:tcPr>
            <w:tcW w:w="6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8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w w:val="83"/>
              </w:rPr>
              <w:t>12,000</w:t>
            </w:r>
            <w:r>
              <w:rPr>
                <w:rFonts w:ascii="Arial" w:cs="Arial" w:eastAsia="Arial" w:hAnsi="Arial"/>
                <w:sz w:val="21"/>
                <w:szCs w:val="21"/>
                <w:color w:val="008000"/>
                <w:w w:val="83"/>
                <w:vertAlign w:val="superscript"/>
              </w:rPr>
              <w:t>(1)</w:t>
            </w:r>
          </w:p>
        </w:tc>
        <w:tc>
          <w:tcPr>
            <w:tcW w:w="4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ind w:right="4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344,543</w:t>
            </w:r>
            <w:r>
              <w:rPr>
                <w:rFonts w:ascii="Arial" w:cs="Arial" w:eastAsia="Arial" w:hAnsi="Arial"/>
                <w:sz w:val="21"/>
                <w:szCs w:val="21"/>
                <w:color w:val="008000"/>
                <w:vertAlign w:val="superscript"/>
              </w:rPr>
              <w:t>(2)</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60" w:type="dxa"/>
            <w:vAlign w:val="bottom"/>
            <w:tcBorders>
              <w:top w:val="single" w:sz="8" w:color="2C2C2C"/>
            </w:tcBorders>
            <w:gridSpan w:val="15"/>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40" w:type="dxa"/>
            <w:vAlign w:val="bottom"/>
            <w:gridSpan w:val="14"/>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15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derivative</w:t>
            </w:r>
          </w:p>
        </w:tc>
        <w:tc>
          <w:tcPr>
            <w:tcW w:w="32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15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5"/>
              </w:rPr>
              <w:t>(Instr. 3 and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Disposed 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 (Instr.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Following</w:t>
            </w:r>
          </w:p>
        </w:tc>
        <w:tc>
          <w:tcPr>
            <w:tcW w:w="32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2,264,493</w:t>
            </w: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40" w:type="dxa"/>
            <w:vAlign w:val="bottom"/>
          </w:tcPr>
          <w:p>
            <w:pPr>
              <w:spacing w:after="0"/>
              <w:rPr>
                <w:sz w:val="6"/>
                <w:szCs w:val="6"/>
                <w:color w:val="auto"/>
              </w:rPr>
            </w:pPr>
          </w:p>
        </w:tc>
        <w:tc>
          <w:tcPr>
            <w:tcW w:w="1100" w:type="dxa"/>
            <w:vAlign w:val="bottom"/>
            <w:vMerge w:val="restart"/>
          </w:tcPr>
          <w:p>
            <w:pPr>
              <w:jc w:val="right"/>
              <w:ind w:right="195"/>
              <w:spacing w:after="0" w:line="144" w:lineRule="exact"/>
              <w:rPr>
                <w:sz w:val="20"/>
                <w:szCs w:val="20"/>
                <w:color w:val="auto"/>
              </w:rPr>
            </w:pPr>
            <w:r>
              <w:rPr>
                <w:rFonts w:ascii="Arial" w:cs="Arial" w:eastAsia="Arial" w:hAnsi="Arial"/>
                <w:sz w:val="13"/>
                <w:szCs w:val="13"/>
                <w:color w:val="0000FF"/>
              </w:rPr>
              <w:t>10/26/2018</w:t>
            </w: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restart"/>
          </w:tcPr>
          <w:p>
            <w:pPr>
              <w:ind w:left="100"/>
              <w:spacing w:after="0" w:line="144" w:lineRule="exact"/>
              <w:rPr>
                <w:sz w:val="20"/>
                <w:szCs w:val="20"/>
                <w:color w:val="auto"/>
              </w:rPr>
            </w:pPr>
            <w:r>
              <w:rPr>
                <w:rFonts w:ascii="Arial" w:cs="Arial" w:eastAsia="Arial" w:hAnsi="Arial"/>
                <w:sz w:val="13"/>
                <w:szCs w:val="13"/>
                <w:color w:val="0000FF"/>
              </w:rPr>
              <w:t>A</w:t>
            </w:r>
          </w:p>
        </w:tc>
        <w:tc>
          <w:tcPr>
            <w:tcW w:w="66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2,264,493</w:t>
            </w:r>
          </w:p>
        </w:tc>
        <w:tc>
          <w:tcPr>
            <w:tcW w:w="3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10/26/2028</w:t>
            </w:r>
          </w:p>
        </w:tc>
        <w:tc>
          <w:tcPr>
            <w:tcW w:w="6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common</w:t>
            </w:r>
          </w:p>
        </w:tc>
        <w:tc>
          <w:tcPr>
            <w:tcW w:w="7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vMerge w:val="restart"/>
          </w:tcPr>
          <w:p>
            <w:pPr>
              <w:ind w:left="140"/>
              <w:spacing w:after="0" w:line="144" w:lineRule="exact"/>
              <w:rPr>
                <w:sz w:val="20"/>
                <w:szCs w:val="20"/>
                <w:color w:val="auto"/>
              </w:rPr>
            </w:pPr>
            <w:r>
              <w:rPr>
                <w:rFonts w:ascii="Arial" w:cs="Arial" w:eastAsia="Arial" w:hAnsi="Arial"/>
                <w:sz w:val="13"/>
                <w:szCs w:val="13"/>
                <w:color w:val="0000FF"/>
              </w:rPr>
              <w:t>2,264,493</w:t>
            </w:r>
          </w:p>
        </w:tc>
        <w:tc>
          <w:tcPr>
            <w:tcW w:w="66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vMerge w:val="restart"/>
          </w:tcPr>
          <w:p>
            <w:pPr>
              <w:jc w:val="center"/>
              <w:ind w:right="133"/>
              <w:spacing w:after="0"/>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18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purchased these shares in connection with the closing of the initial public offering of the issuer (the "IPO") at the IPO price of $27.00 per share pursuant to the directed share program described in the issuer's registration statement. The shares are subject to a lock-up provision for a period of 180 days, as required under a lock-up agreement with the underwriters of the IPO.</w:t>
      </w:r>
    </w:p>
    <w:p>
      <w:pPr>
        <w:ind w:left="40" w:right="480" w:firstLine="3"/>
        <w:spacing w:after="0" w:line="321"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332,543 unvested restricted stock units in respect of the issuer's Class A common stock ("Class A Common Stock"). Subject to the reporting person's continued employment through each vesting date, these restricted stock units are scheduled to vest as follows: (i) 159,362 restricted stock units will vest on January 1, 2020, and (ii) 173,181 restricted stock units will vest on January 1, 2021.</w:t>
      </w:r>
    </w:p>
    <w:p>
      <w:pPr>
        <w:ind w:left="40" w:right="30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26, 2018, the reporting person was granted an option to purchase 2,264,493 shares of Class A Common Stock, which option is vested as to 1,811,595 of the shares subject thereto as of the date hereof. The remainder of the option will vest on January 1, 2020, subject to the reporting person's continued employment on such date.</w:t>
      </w:r>
    </w:p>
    <w:p>
      <w:pPr>
        <w:spacing w:after="0" w:line="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4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04/08/2019</w:t>
            </w:r>
          </w:p>
        </w:tc>
        <w:tc>
          <w:tcPr>
            <w:tcW w:w="0" w:type="dxa"/>
            <w:vAlign w:val="bottom"/>
          </w:tcPr>
          <w:p>
            <w:pPr>
              <w:spacing w:after="0"/>
              <w:rPr>
                <w:sz w:val="1"/>
                <w:szCs w:val="1"/>
                <w:color w:val="auto"/>
              </w:rPr>
            </w:pPr>
          </w:p>
        </w:tc>
      </w:tr>
      <w:tr>
        <w:trPr>
          <w:trHeight w:val="84"/>
        </w:trPr>
        <w:tc>
          <w:tcPr>
            <w:tcW w:w="214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 for William Hult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6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2019-12-24T08:19:38Z</dcterms:created>
  <dcterms:modified xsi:type="dcterms:W3CDTF">2019-12-24T08:19:38Z</dcterms:modified>
</cp:coreProperties>
</file>