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Maisey Simon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65.45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65,675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15, 2021.</w:t>
      </w:r>
    </w:p>
    <w:p>
      <w:pPr>
        <w:spacing w:after="0" w:line="50"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3,430 unvested restricted stock units ("RSUs") in respect of the issuer's Class A common stock ("Class A Common Stock") which are scheduled to vest on March 17, 2023, (ii) 20,580 unvested RSUs in respect of Class A Common Stock which are scheduled to vest on January 1, 2023, (iii) 3,883 unvested RSUs in respect of Class A Common Stock which are scheduled to vest in equal installments on each of March 15, 2023 and March 15, 2024, (iv) 11,650 unvested RSUs in respect of Class A Common Stock which are scheduled to vest on January 1, 2024, and (v) 5,612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2022-06-15T19:11:59Z</dcterms:created>
  <dcterms:modified xsi:type="dcterms:W3CDTF">2022-06-15T19:11:59Z</dcterms:modified>
</cp:coreProperties>
</file>