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Friedman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01/05/2023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6,406</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63.3092</w:t>
            </w:r>
            <w:r>
              <w:rPr>
                <w:rFonts w:ascii="Times New Roman" w:cs="Times New Roman" w:eastAsia="Times New Roman" w:hAnsi="Times New Roman"/>
                <w:sz w:val="22"/>
                <w:szCs w:val="22"/>
                <w:color w:val="008000"/>
                <w:w w:val="95"/>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31,794</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01/05/2023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4,690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63.9922</w:t>
            </w:r>
            <w:r>
              <w:rPr>
                <w:rFonts w:ascii="Times New Roman" w:cs="Times New Roman" w:eastAsia="Times New Roman" w:hAnsi="Times New Roman"/>
                <w:sz w:val="22"/>
                <w:szCs w:val="22"/>
                <w:color w:val="008000"/>
                <w:w w:val="95"/>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27,104</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01/05/2023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2,306</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63.16</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24,798</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entered into by the reporting person on December 5, 2022.</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$62.58 to $63.57,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2 and 4 of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3,001 unvested restricted stock units ("RSUs") in respect of the issuer's Class A common stock ("Class A Common Stock") which are scheduled to vest on March 17, 2023, (ii) 3,393 unvested RSUs in respect of Class A Common Stock which are scheduled to vest in equal installments on each of March 15, 2023 and March 15, 2024, (iii) 10,180 unvested RSUs in respect of Class A Common Stock which are scheduled to vest on January 1, 2024, and (iv) 5,224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$63.58 to $64.21,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01/09/2023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2023-01-09T19:24:49Z</dcterms:created>
  <dcterms:modified xsi:type="dcterms:W3CDTF">2023-01-09T19:24:49Z</dcterms:modified>
</cp:coreProperties>
</file>