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04/01/2022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9,542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57,319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04/01/2022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16</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57,335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jc w:val="both"/>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16,672 unvested RSUs in respect of Class A Common Stock which are scheduled to vest on March 31, 2023, (ii) 4,948 unvested RSUs in respect of Class A Common Stock which are scheduled to vest on March 31, 2024, (iii) 3,619 unvested RSUs in respect of Class A Common Stock which are scheduled to vest on March 31, 2025, (iv) 8,540 unvested RSUs in respect of Class A Common Stock which are scheduled to vest on January 1, 2024, and (v) 13,732 unvested RSUs in respect of Class A Common Stock which are scheduled to vest in equal installments on each of the first, second and third anniversaries of March 15, 2022,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04/04/2022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Sara Furber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2022-04-04T17:42:20Z</dcterms:created>
  <dcterms:modified xsi:type="dcterms:W3CDTF">2022-04-04T17:42:20Z</dcterms:modified>
</cp:coreProperties>
</file>