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684354382.xml.htm"/>
      <w:bookmarkStart w:id="1" w:name="kswkform4_1684354382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2"/>
        <w:gridCol w:w="2942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Madoff Paula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TRADEWEB MARKETS INC.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1177 AVENUE OF THE AMERICAS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10036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Tradeweb Markets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TW</w:t>
            </w:r>
            <w:r>
              <w:rPr/>
              <w:t xml:space="preserve"> ] </w:t>
            </w:r>
          </w:p>
        </w:tc>
        <w:tc>
          <w:tcPr>
            <w:tcW w:w="294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989"/>
              <w:gridCol w:w="422"/>
              <w:gridCol w:w="989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05/15/2023</w:t>
            </w:r>
            <w:r>
              <w:rPr/>
              <w:t xml:space="preserve"> </w:t>
            </w:r>
          </w:p>
        </w:tc>
        <w:tc>
          <w:tcPr>
            <w:tcW w:w="294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0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7"/>
        <w:gridCol w:w="904"/>
        <w:gridCol w:w="773"/>
        <w:gridCol w:w="601"/>
        <w:gridCol w:w="354"/>
        <w:gridCol w:w="863"/>
        <w:gridCol w:w="468"/>
        <w:gridCol w:w="631"/>
        <w:gridCol w:w="1187"/>
        <w:gridCol w:w="1015"/>
        <w:gridCol w:w="93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6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05/15/2023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3,138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11,867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reported transaction is an award of restricted stock units in respect of the issuer's Class A common stock. Subject to the reporting person's continued service as a director of the issuer through the vesting date, these restricted stock units are scheduled to vest on May 15, 2024 and settle in Class A common stock of the issuer within 30 days thereafter.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This amount includes 3,138 unvested restricted stock units in respect of the issuer's Class A Common Stock as described in footnote 1 to this Form 4.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Scott Zucker, Attorney-in-Fact for Paula Madoff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05/17/2023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737977" TargetMode="External"/><Relationship Id="rId4" Type="http://schemas.openxmlformats.org/officeDocument/2006/relationships/hyperlink" Target="http://www.sec.gov/cgi-bin/browse-edgar?action=getcompany&amp;CIK=0001758730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652</Words>
  <Characters>3491</Characters>
  <CharactersWithSpaces>4082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