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37465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Maisey Simon</w:t>
        </w:r>
      </w:hyperlink>
    </w:p>
    <w:p>
      <w:pPr>
        <w:spacing w:after="0" w:line="29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12/10/2020</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6"/>
        <w:spacing w:after="0"/>
        <w:tabs>
          <w:tab w:leader="none" w:pos="495" w:val="left"/>
          <w:tab w:leader="none" w:pos="2055"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20" w:type="dxa"/>
            <w:vAlign w:val="bottom"/>
            <w:gridSpan w:val="2"/>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0"/>
                <w:szCs w:val="10"/>
                <w:color w:val="auto"/>
              </w:rPr>
            </w:pPr>
          </w:p>
        </w:tc>
        <w:tc>
          <w:tcPr>
            <w:tcW w:w="10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12/10/2020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87,522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12/10/2020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5,939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641,728</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81,583</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12/10/2020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1,561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64.7251</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80,022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12/10/2020</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w w:val="9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9"/>
              </w:rPr>
              <w:t>126,738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-3688715</wp:posOffset>
            </wp:positionV>
            <wp:extent cx="7033260" cy="3731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73189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April 28, 2020.</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24,628 unvested restricted stock units ("RSUs") in respect of the issuer's Class A common stock ("Class A Common Stock") which are scheduled to vest on January 1, 2021, (ii) 39,604 unvested RSUs in respect of Class A Common Stock which are scheduled to vest on January 1, 2022, and (iii) 10,290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jc w:val="both"/>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$63.53 to $64.52,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$64.60 to $64.93,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12/10/2020</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Simon Maisey</w:t>
            </w:r>
          </w:p>
        </w:tc>
        <w:tc>
          <w:tcPr>
            <w:tcW w:w="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2020-12-10T19:28:33Z</dcterms:created>
  <dcterms:modified xsi:type="dcterms:W3CDTF">2020-12-10T19:28:33Z</dcterms:modified>
</cp:coreProperties>
</file>