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Sara Furber as Chief Financial Officer</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August 30, 2021, the Board of Directors of Tradeweb Markets Inc. (the “Company”) appointed Sara Furber, age 46, to serve as Chief Financial Officer of the Company, effective September 7, 2021. Ms. Furber joins Tradeweb from U.S. equity exchange operator IEX Group, where she was CFO since 2018. As Chief Financial Officer of IEX Group, Ms. Furber led the company’s finance function and oversaw its new business portfolio, including technology businesses such as data platform IEX Cloud. Prior to joining IEX in 2016, she was a Managing Director and a member of Morgan Stanley’s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Ms. Furber began her career in investment banking in 1997. She has a B.S. in Mechanical Engineering from Duke University.</w:t>
      </w:r>
    </w:p>
    <w:p>
      <w:pPr>
        <w:spacing w:after="0" w:line="178"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Ms. Furber is party to an offer letter with the Company pursuant to which she is entitled to guaranteed total compensation for the 2021 calendar year in a minimum annualized amount equal to $3,500,000. This amount consists of (A) an annual base salary of $500,000, pro-rated for the partial calendar year, plus (B) a full-year cash bonus of $700,000 (the “Guaranteed Bonus”), subject to her continued employment at the time annual bonuses are paid,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plus (C) an equity-based award with a grant date fair value of $2,300,000, to be awarded in 2022 in the ordinary course (the “2021 Equity Award”). The terms of the 2021 Equity Award will be determined by the Chief Executive Officer of the Company as part of the annual compensation process and subject to a form of award agreement approved by the compensation committee of the Board of Directors of the Company. For 2021, the Company may choose to pay amounts in excess of the Guaranteed Bonus and 2021 Equity Award amounts noted above based on the performance of Ms. Furber and the Company. Ms. Furber will be entitled to bonuses in future years in the discretion of the Company, and is also entitled to standard employee benefits.</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in consideration of Ms. Furber’s forfeiture of certain deferred long-term incentive compensation provided by her current employer (“Existing Awards”), the Company has agreed to provide her with a special equity grant that is intended to be comparable to her Existing Awards. As such, Ms. Furber will receive the following equity awards (the “Special Equity Grants”) following her commencement of employment with the Company: (A) restricted stock units (“RSUs”) with a grant date value of $2,236,608, which will vest on March 31, 2022, (B) RSUs with a grant date value of $1,346,796, which will vest on March 31, 2023, (C) performance-based restricted stock units (“PRSUs”) with a grant date value of $345,000, which will vest on January 1, 2024, (D) RSUs with a grant date value of $399,777, which will vest on March 31, 2024, and (E) RSUs with a grant date value of $292,347, which will vest on March 31, 2025. If Ms. Furber’s current employer decides to vest or pay Ms. Furber for any of her Existing Awards, the award amounts described above will be modified to reflect such vesting or payment. The Special Equity Grants will otherwise be subject to the terms and conditions applicable to RSUs and PRSUs granted under the Tradeweb Markets Inc. 2019 Omnibus Equity Incentive Plan. Ms. Furber will also be required to sign a restrictive covenant agreement that includes covenants of nondisclosure of confidential information, noncompetition and nonsolicitation.</w:t>
      </w:r>
    </w:p>
    <w:p>
      <w:pPr>
        <w:spacing w:after="0" w:line="1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will enter into its standard form of indemnification agreement for directors and officers with Ms. Furber, a copy of which was previously filed as Exhibit 10.16 to the Company’s Registration Statement on Form S-1 (File No. 333-230115) and is incorporated herein by reference.</w:t>
      </w:r>
    </w:p>
    <w:p>
      <w:pPr>
        <w:spacing w:after="0" w:line="12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There are no family relationships, as defined in Item 401 of Regulation S-K, between Ms. Furber and any of the Company’s executive officers or directors or persons nominated or chosen to become a director or executive officer. Ms. Furber has not engaged in any transaction with the Company during the last fiscal year, and she does not propose to engage in any transaction, that would be reportable under Item 404(a) of Regulation S-K.</w:t>
      </w:r>
    </w:p>
    <w:p>
      <w:pPr>
        <w:sectPr>
          <w:pgSz w:w="11900" w:h="16838" w:orient="portrait"/>
          <w:cols w:equalWidth="0" w:num="1">
            <w:col w:w="11020"/>
          </w:cols>
          <w:pgMar w:left="440" w:top="29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Departure of Robert Warshaw as Chief Financial Officer</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August 30, 2021, the Company also announced that Robert Warshaw, currently the Chief Financial Officer of the Company, will be leaving the Company following a period of transition.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press release related to the matters described in Item 5.02 of this Current Report on Form 8-K is furnished herewith as Exhibit 99.1 and hereby incorporated in this Item 7.01 by reference.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Exhibit 99.1 of this Current Report on Form 8-K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gridSpan w:val="2"/>
            <w:vMerge w:val="restart"/>
          </w:tcPr>
          <w:p>
            <w:pPr>
              <w:ind w:left="4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99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of Tradeweb Markets Inc., dated August 30,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Douglas Friedman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171450</wp:posOffset>
            </wp:positionV>
            <wp:extent cx="102870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Appoints Sara Furber as New Chief Financial Officer</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NEW YORK – August 30, 2021 – Tradeweb Markets Inc. (Nasdaq: TW), a leading, global operator of electronic marketplaces for rates, credit, equities and money markets, today announced it has appointed Sara Furber as its Chief Financial Officer, effective September 7, 2021. She succeeds Robert Warshaw, who will leave the company following a period of transition. Ms. Furber will report to CEO Lee Olesky and become a member of the executive leadership team.</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Ms. Furber joins Tradeweb from U.S. equity exchange operator IEX Group, where she was CFO since 2018. She previously spent two decades in senior roles at Morgan Stanley and Bank of America Merrill Lynch.</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Tradeweb CEO Lee Olesky commented: “Sara Furber brings to Tradeweb a wealth of experience including diverse senior roles in financial markets, banking, investor relations, technology and electronic trading. Tradeweb is a growth company at the intersection of finance and technology, and Sara is uniquely suited to lead our finance team and help Tradeweb navigate its next phase of growth and development. I would like to thank Bob Warshaw for his many important contributions to Tradeweb since joining us in 2009, and especially for his vital role in Tradeweb’s 2019 IPO and our early days as a public company.”</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Chief Financial Officer of IEX Group, Ms. Furber led the company’s finance function and also oversaw its new business portfolio, including technology businesses such as data platform IEX Cloud. Prior to joining IEX in 2016, she was a Managing Director and a member of Morgan Stanley’s Management Committee. She held several senior executive positions at Morgan Stanley, including Chief Operating Officer for Wealth Management. Ms. Furber previously served as Chief Operating Officer for Global Corporate and Investment Banking at Bank of America Merrill Lynch, after leading Investor Relations for Merrill Lynch during the global financial crisis and through its merger with Bank of America. She began her career in investment banking in 1997. She has a B.S. in Mechanical Engineering from Duke University.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Reiterates Full-Year 2021 Guidance</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Tradeweb today reiterates its full-year 2021 guidance previously updated on July 29, 2021.</w:t>
      </w:r>
    </w:p>
    <w:p>
      <w:pPr>
        <w:spacing w:after="0" w:line="131"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Expenses: $565—$580 million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 and Refinitiv Transaction related depreciation and amortization expense: $124 million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Assumed non-GAAP tax rate: 22.0%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and capitalization of software development: $49—$53 million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$920 billion in notional value traded per day over the past four quarters. For more information, please go to www.tradeweb.com.</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c>
          <w:tcPr>
            <w:tcW w:w="4400" w:type="dxa"/>
            <w:vAlign w:val="bottom"/>
            <w:gridSpan w:val="3"/>
          </w:tcPr>
          <w:p>
            <w:pPr>
              <w:ind w:left="1300"/>
              <w:spacing w:after="0"/>
              <w:rPr>
                <w:sz w:val="20"/>
                <w:szCs w:val="20"/>
                <w:color w:val="auto"/>
              </w:rPr>
            </w:pPr>
            <w:r>
              <w:rPr>
                <w:rFonts w:ascii="Arial" w:cs="Arial" w:eastAsia="Arial" w:hAnsi="Arial"/>
                <w:sz w:val="18"/>
                <w:szCs w:val="18"/>
                <w:b w:val="1"/>
                <w:bCs w:val="1"/>
                <w:color w:val="auto"/>
              </w:rPr>
              <w:t>Investor contact</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Daniel Noonan, Tradeweb +1 646 767 4677</w:t>
            </w:r>
          </w:p>
        </w:tc>
        <w:tc>
          <w:tcPr>
            <w:tcW w:w="4400" w:type="dxa"/>
            <w:vAlign w:val="bottom"/>
            <w:gridSpan w:val="3"/>
          </w:tcPr>
          <w:p>
            <w:pPr>
              <w:ind w:left="1300"/>
              <w:spacing w:after="0"/>
              <w:rPr>
                <w:sz w:val="20"/>
                <w:szCs w:val="20"/>
                <w:color w:val="auto"/>
              </w:rPr>
            </w:pPr>
            <w:r>
              <w:rPr>
                <w:rFonts w:ascii="Arial" w:cs="Arial" w:eastAsia="Arial" w:hAnsi="Arial"/>
                <w:sz w:val="18"/>
                <w:szCs w:val="18"/>
                <w:color w:val="auto"/>
                <w:w w:val="89"/>
              </w:rPr>
              <w:t>Ashley Serrao, Tradeweb +1 646 430 6027</w:t>
            </w:r>
          </w:p>
        </w:tc>
      </w:tr>
      <w:tr>
        <w:trPr>
          <w:trHeight w:val="190"/>
        </w:trPr>
        <w:tc>
          <w:tcPr>
            <w:tcW w:w="4440" w:type="dxa"/>
            <w:vAlign w:val="bottom"/>
            <w:gridSpan w:val="2"/>
          </w:tcPr>
          <w:p>
            <w:pPr>
              <w:spacing w:after="0" w:line="190" w:lineRule="exact"/>
              <w:rPr>
                <w:sz w:val="20"/>
                <w:szCs w:val="20"/>
                <w:color w:val="auto"/>
              </w:rPr>
            </w:pPr>
            <w:r>
              <w:rPr>
                <w:rFonts w:ascii="Arial" w:cs="Arial" w:eastAsia="Arial" w:hAnsi="Arial"/>
                <w:sz w:val="18"/>
                <w:szCs w:val="18"/>
                <w:color w:val="auto"/>
              </w:rPr>
              <w:t>Daniel.Noonan@Tradeweb.com</w:t>
            </w:r>
          </w:p>
        </w:tc>
        <w:tc>
          <w:tcPr>
            <w:tcW w:w="4400" w:type="dxa"/>
            <w:vAlign w:val="bottom"/>
            <w:gridSpan w:val="3"/>
          </w:tcPr>
          <w:p>
            <w:pPr>
              <w:ind w:left="1300"/>
              <w:spacing w:after="0" w:line="190" w:lineRule="exact"/>
              <w:rPr>
                <w:sz w:val="20"/>
                <w:szCs w:val="20"/>
                <w:color w:val="auto"/>
              </w:rPr>
            </w:pPr>
            <w:r>
              <w:rPr>
                <w:rFonts w:ascii="Arial" w:cs="Arial" w:eastAsia="Arial" w:hAnsi="Arial"/>
                <w:sz w:val="18"/>
                <w:szCs w:val="18"/>
                <w:color w:val="auto"/>
              </w:rPr>
              <w:t>Ashley.Serrao@Tradeweb.com</w:t>
            </w:r>
          </w:p>
        </w:tc>
      </w:tr>
      <w:tr>
        <w:trPr>
          <w:trHeight w:val="20"/>
        </w:trPr>
        <w:tc>
          <w:tcPr>
            <w:tcW w:w="2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6243320</wp:posOffset>
            </wp:positionH>
            <wp:positionV relativeFrom="page">
              <wp:posOffset>182880</wp:posOffset>
            </wp:positionV>
            <wp:extent cx="102870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51155"/>
                    </a:xfrm>
                    <a:prstGeom prst="rect">
                      <a:avLst/>
                    </a:prstGeom>
                    <a:noFill/>
                  </pic:spPr>
                </pic:pic>
              </a:graphicData>
            </a:graphic>
          </wp:anchor>
        </w:drawing>
        <w:t>Forward-Looking Statements</w:t>
      </w:r>
    </w:p>
    <w:p>
      <w:pPr>
        <w:spacing w:after="0" w:line="12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This release contains forward-looking statements within the meaning of the federal securities laws. Statements related to, among other things, our outlook and future performance, including full-year 2021 guidance, the industry and markets in which we operate, our expectations, beliefs, plans, strategies, objectives, prospects and assumptions and future events are forward-looking statements.</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sectPr>
      <w:pgSz w:w="11900" w:h="16838" w:orient="portrait"/>
      <w:cols w:equalWidth="0" w:num="1">
        <w:col w:w="11000"/>
      </w:cols>
      <w:pgMar w:left="440" w:top="9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2021-08-30T16:08:21Z</dcterms:created>
  <dcterms:modified xsi:type="dcterms:W3CDTF">2021-08-30T16:08:21Z</dcterms:modified>
</cp:coreProperties>
</file>