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25, 2024</w:t>
      </w:r>
    </w:p>
    <w:p>
      <w:pPr>
        <w:spacing w:after="0" w:line="30"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325" w:lineRule="exact"/>
        <w:rPr>
          <w:sz w:val="24"/>
          <w:szCs w:val="24"/>
          <w:color w:val="auto"/>
        </w:rPr>
      </w:pPr>
    </w:p>
    <w:tbl>
      <w:tblPr>
        <w:tblLayout w:type="fixed"/>
        <w:tblInd w:w="900" w:type="dxa"/>
        <w:tblCellMar>
          <w:top w:w="0" w:type="dxa"/>
          <w:left w:w="0" w:type="dxa"/>
          <w:bottom w:w="0" w:type="dxa"/>
          <w:right w:w="0" w:type="dxa"/>
        </w:tblCellMar>
      </w:tblPr>
      <w:tr>
        <w:trPr>
          <w:trHeight w:val="261"/>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001-38860</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83-2456358</w:t>
            </w:r>
          </w:p>
        </w:tc>
        <w:tc>
          <w:tcPr>
            <w:tcW w:w="0" w:type="dxa"/>
            <w:vAlign w:val="bottom"/>
          </w:tcPr>
          <w:p>
            <w:pPr>
              <w:spacing w:after="0"/>
              <w:rPr>
                <w:sz w:val="1"/>
                <w:szCs w:val="1"/>
                <w:color w:val="auto"/>
              </w:rPr>
            </w:pPr>
          </w:p>
        </w:tc>
      </w:tr>
      <w:tr>
        <w:trPr>
          <w:trHeight w:val="203"/>
        </w:trPr>
        <w:tc>
          <w:tcPr>
            <w:tcW w:w="4080" w:type="dxa"/>
            <w:vAlign w:val="bottom"/>
          </w:tcPr>
          <w:p>
            <w:pPr>
              <w:jc w:val="center"/>
              <w:ind w:right="205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420" w:type="dxa"/>
            <w:vAlign w:val="bottom"/>
          </w:tcPr>
          <w:p>
            <w:pPr>
              <w:jc w:val="center"/>
              <w:ind w:right="1070"/>
              <w:spacing w:after="0" w:line="202" w:lineRule="exact"/>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190"/>
              <w:spacing w:after="0" w:line="202"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8"/>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4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2420" w:type="dxa"/>
            <w:vAlign w:val="bottom"/>
          </w:tcPr>
          <w:p>
            <w:pPr>
              <w:spacing w:after="0"/>
              <w:rPr>
                <w:sz w:val="21"/>
                <w:szCs w:val="21"/>
                <w:color w:val="auto"/>
              </w:rPr>
            </w:pPr>
          </w:p>
        </w:tc>
        <w:tc>
          <w:tcPr>
            <w:tcW w:w="2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10036</w:t>
            </w:r>
          </w:p>
        </w:tc>
        <w:tc>
          <w:tcPr>
            <w:tcW w:w="0" w:type="dxa"/>
            <w:vAlign w:val="bottom"/>
          </w:tcPr>
          <w:p>
            <w:pPr>
              <w:spacing w:after="0"/>
              <w:rPr>
                <w:sz w:val="1"/>
                <w:szCs w:val="1"/>
                <w:color w:val="auto"/>
              </w:rPr>
            </w:pPr>
          </w:p>
        </w:tc>
      </w:tr>
      <w:tr>
        <w:trPr>
          <w:trHeight w:val="23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430-6000</w:t>
      </w:r>
    </w:p>
    <w:p>
      <w:pPr>
        <w:spacing w:after="0" w:line="3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233"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4560" w:type="dxa"/>
            <w:vAlign w:val="bottom"/>
            <w:gridSpan w:val="2"/>
            <w:vMerge w:val="continue"/>
          </w:tcPr>
          <w:p>
            <w:pPr>
              <w:spacing w:after="0"/>
              <w:rPr>
                <w:sz w:val="20"/>
                <w:szCs w:val="20"/>
                <w:color w:val="auto"/>
              </w:rPr>
            </w:pPr>
          </w:p>
        </w:tc>
        <w:tc>
          <w:tcPr>
            <w:tcW w:w="3260" w:type="dxa"/>
            <w:vAlign w:val="bottom"/>
            <w:gridSpan w:val="2"/>
            <w:vMerge w:val="continue"/>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8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On April 25, 2024, Tradeweb Markets Inc. (the “Company”) issued a press release, a copy of which is furnished as Exhibit 99.1 hereto and incorporated herein by reference, announcing financial results for the quarter ended March 31, 2024.</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9380" w:type="dxa"/>
            <w:vAlign w:val="bottom"/>
            <w:gridSpan w:val="2"/>
            <w:vMerge w:val="restart"/>
          </w:tcPr>
          <w:p>
            <w:pPr>
              <w:ind w:left="400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9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Press Release of Tradeweb Markets Inc., dated April 25, 2024, announcing First Quarter 2024 Financial Results.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2"/>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320"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684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TRADEWEB MARKETS INC.</w:t>
            </w:r>
          </w:p>
        </w:tc>
      </w:tr>
      <w:tr>
        <w:trPr>
          <w:trHeight w:val="50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25, 2024</w:t>
            </w:r>
          </w:p>
        </w:tc>
        <w:tc>
          <w:tcPr>
            <w:tcW w:w="684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By:   /s/ Douglas Friedman</w:t>
            </w:r>
          </w:p>
        </w:tc>
      </w:tr>
      <w:tr>
        <w:trPr>
          <w:trHeight w:val="218"/>
        </w:trPr>
        <w:tc>
          <w:tcPr>
            <w:tcW w:w="4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Douglas Friedman</w:t>
            </w:r>
          </w:p>
        </w:tc>
      </w:tr>
      <w:tr>
        <w:trPr>
          <w:trHeight w:val="234"/>
        </w:trPr>
        <w:tc>
          <w:tcPr>
            <w:tcW w:w="43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General Counsel</w:t>
            </w:r>
          </w:p>
        </w:tc>
      </w:tr>
    </w:tbl>
    <w:p>
      <w:pPr>
        <w:sectPr>
          <w:pgSz w:w="11900" w:h="16838" w:orient="portrait"/>
          <w:cols w:equalWidth="0" w:num="1">
            <w:col w:w="11240"/>
          </w:cols>
          <w:pgMar w:left="320" w:top="1130" w:right="339" w:bottom="1440" w:gutter="0" w:footer="0" w:header="0"/>
        </w:sectPr>
      </w:pPr>
    </w:p>
    <w:bookmarkStart w:id="3" w:name="page4"/>
    <w:bookmarkEnd w:id="3"/>
    <w:p>
      <w:pPr>
        <w:ind w:left="5860"/>
        <w:spacing w:after="0"/>
        <w:tabs>
          <w:tab w:leader="none" w:pos="8180" w:val="left"/>
        </w:tabs>
        <w:rPr>
          <w:sz w:val="20"/>
          <w:szCs w:val="20"/>
          <w:color w:val="auto"/>
        </w:rPr>
      </w:pPr>
      <w:r>
        <w:rPr>
          <w:rFonts w:ascii="Arial" w:cs="Arial" w:eastAsia="Arial" w:hAnsi="Arial"/>
          <w:sz w:val="16"/>
          <w:szCs w:val="16"/>
          <w:b w:val="1"/>
          <w:bCs w:val="1"/>
          <w:color w:val="083566"/>
        </w:rPr>
        <w:drawing>
          <wp:anchor simplePos="0" relativeHeight="251657728" behindDoc="1" locked="0" layoutInCell="0" allowOverlap="1">
            <wp:simplePos x="0" y="0"/>
            <wp:positionH relativeFrom="page">
              <wp:posOffset>216535</wp:posOffset>
            </wp:positionH>
            <wp:positionV relativeFrom="page">
              <wp:posOffset>106045</wp:posOffset>
            </wp:positionV>
            <wp:extent cx="1808480"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08480" cy="600075"/>
                    </a:xfrm>
                    <a:prstGeom prst="rect">
                      <a:avLst/>
                    </a:prstGeom>
                    <a:noFill/>
                  </pic:spPr>
                </pic:pic>
              </a:graphicData>
            </a:graphic>
          </wp:anchor>
        </w:drawing>
        <w:t>Investor Relations</w:t>
      </w:r>
      <w:r>
        <w:rPr>
          <w:sz w:val="20"/>
          <w:szCs w:val="20"/>
          <w:color w:val="auto"/>
        </w:rPr>
        <w:tab/>
      </w:r>
      <w:r>
        <w:rPr>
          <w:rFonts w:ascii="Arial" w:cs="Arial" w:eastAsia="Arial" w:hAnsi="Arial"/>
          <w:sz w:val="16"/>
          <w:szCs w:val="16"/>
          <w:b w:val="1"/>
          <w:bCs w:val="1"/>
          <w:color w:val="083566"/>
        </w:rPr>
        <w:t>Media Relations</w:t>
      </w:r>
    </w:p>
    <w:p>
      <w:pPr>
        <w:spacing w:after="0" w:line="21" w:lineRule="exact"/>
        <w:rPr>
          <w:sz w:val="20"/>
          <w:szCs w:val="20"/>
          <w:color w:val="auto"/>
        </w:rPr>
      </w:pPr>
    </w:p>
    <w:p>
      <w:pPr>
        <w:ind w:left="5860"/>
        <w:spacing w:after="0"/>
        <w:tabs>
          <w:tab w:leader="none" w:pos="8180" w:val="left"/>
        </w:tabs>
        <w:rPr>
          <w:sz w:val="20"/>
          <w:szCs w:val="20"/>
          <w:color w:val="auto"/>
        </w:rPr>
      </w:pPr>
      <w:r>
        <w:rPr>
          <w:rFonts w:ascii="Arial" w:cs="Arial" w:eastAsia="Arial" w:hAnsi="Arial"/>
          <w:sz w:val="16"/>
          <w:szCs w:val="16"/>
          <w:color w:val="auto"/>
        </w:rPr>
        <w:t>Ashley Serrao + 1 646 430</w:t>
      </w:r>
      <w:r>
        <w:rPr>
          <w:sz w:val="20"/>
          <w:szCs w:val="20"/>
          <w:color w:val="auto"/>
        </w:rPr>
        <w:tab/>
      </w:r>
      <w:r>
        <w:rPr>
          <w:rFonts w:ascii="Arial" w:cs="Arial" w:eastAsia="Arial" w:hAnsi="Arial"/>
          <w:sz w:val="16"/>
          <w:szCs w:val="16"/>
          <w:color w:val="auto"/>
        </w:rPr>
        <w:t>Daniel Noonan + 1 646 767</w:t>
      </w:r>
    </w:p>
    <w:p>
      <w:pPr>
        <w:spacing w:after="0" w:line="15" w:lineRule="exact"/>
        <w:rPr>
          <w:sz w:val="20"/>
          <w:szCs w:val="20"/>
          <w:color w:val="auto"/>
        </w:rPr>
      </w:pPr>
    </w:p>
    <w:p>
      <w:pPr>
        <w:ind w:left="5860"/>
        <w:spacing w:after="0"/>
        <w:tabs>
          <w:tab w:leader="none" w:pos="8180" w:val="left"/>
        </w:tabs>
        <w:rPr>
          <w:sz w:val="20"/>
          <w:szCs w:val="20"/>
          <w:color w:val="auto"/>
        </w:rPr>
      </w:pPr>
      <w:r>
        <w:rPr>
          <w:rFonts w:ascii="Arial" w:cs="Arial" w:eastAsia="Arial" w:hAnsi="Arial"/>
          <w:sz w:val="16"/>
          <w:szCs w:val="16"/>
          <w:color w:val="auto"/>
        </w:rPr>
        <w:t>6027</w:t>
      </w:r>
      <w:r>
        <w:rPr>
          <w:sz w:val="20"/>
          <w:szCs w:val="20"/>
          <w:color w:val="auto"/>
        </w:rPr>
        <w:tab/>
      </w:r>
      <w:r>
        <w:rPr>
          <w:rFonts w:ascii="Arial" w:cs="Arial" w:eastAsia="Arial" w:hAnsi="Arial"/>
          <w:sz w:val="16"/>
          <w:szCs w:val="16"/>
          <w:color w:val="auto"/>
        </w:rPr>
        <w:t>4677</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Ashley.Serrao@Tradeweb.com  Daniel.Noonan@Tradeweb.com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ADCB"/>
        </w:rPr>
        <w:t>TRADEWEB REPORTS FIRST QUARTER 2024 FINANCIAL RESULTS</w:t>
      </w:r>
    </w:p>
    <w:p>
      <w:pPr>
        <w:spacing w:after="0" w:line="222" w:lineRule="exact"/>
        <w:rPr>
          <w:sz w:val="20"/>
          <w:szCs w:val="20"/>
          <w:color w:val="auto"/>
        </w:rPr>
      </w:pPr>
    </w:p>
    <w:p>
      <w:pPr>
        <w:ind w:left="20" w:right="140"/>
        <w:spacing w:after="0" w:line="286" w:lineRule="auto"/>
        <w:rPr>
          <w:sz w:val="20"/>
          <w:szCs w:val="20"/>
          <w:color w:val="auto"/>
        </w:rPr>
      </w:pPr>
      <w:r>
        <w:rPr>
          <w:rFonts w:ascii="Arial" w:cs="Arial" w:eastAsia="Arial" w:hAnsi="Arial"/>
          <w:sz w:val="16"/>
          <w:szCs w:val="16"/>
          <w:b w:val="1"/>
          <w:bCs w:val="1"/>
          <w:color w:val="auto"/>
        </w:rPr>
        <w:t xml:space="preserve">New York, April 25, 2024 </w:t>
      </w:r>
      <w:r>
        <w:rPr>
          <w:rFonts w:ascii="Arial" w:cs="Arial" w:eastAsia="Arial" w:hAnsi="Arial"/>
          <w:sz w:val="16"/>
          <w:szCs w:val="16"/>
          <w:color w:val="auto"/>
        </w:rPr>
        <w:t>– Tradeweb Markets Inc. (Nasdaq: TW), a leading, global operator of electronic marketplaces for rates, credit, equities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money markets, today reported financial results for the quarter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64770</wp:posOffset>
            </wp:positionV>
            <wp:extent cx="3094355" cy="270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94355" cy="2700020"/>
                    </a:xfrm>
                    <a:prstGeom prst="rect">
                      <a:avLst/>
                    </a:prstGeom>
                    <a:noFill/>
                  </pic:spPr>
                </pic:pic>
              </a:graphicData>
            </a:graphic>
          </wp:anchor>
        </w:drawing>
      </w:r>
    </w:p>
    <w:p>
      <w:pPr>
        <w:sectPr>
          <w:pgSz w:w="11900" w:h="16838" w:orient="portrait"/>
          <w:cols w:equalWidth="0" w:num="1">
            <w:col w:w="10840"/>
          </w:cols>
          <w:pgMar w:left="320" w:top="274" w:right="739" w:bottom="1440" w:gutter="0" w:footer="0" w:header="0"/>
        </w:sectPr>
      </w:pPr>
    </w:p>
    <w:p>
      <w:pPr>
        <w:spacing w:after="0" w:line="115" w:lineRule="exact"/>
        <w:rPr>
          <w:sz w:val="20"/>
          <w:szCs w:val="20"/>
          <w:color w:val="auto"/>
        </w:rPr>
      </w:pPr>
    </w:p>
    <w:p>
      <w:pPr>
        <w:ind w:left="20" w:right="160"/>
        <w:spacing w:after="0" w:line="286" w:lineRule="auto"/>
        <w:rPr>
          <w:sz w:val="20"/>
          <w:szCs w:val="20"/>
          <w:color w:val="auto"/>
        </w:rPr>
      </w:pPr>
      <w:r>
        <w:rPr>
          <w:rFonts w:ascii="Arial" w:cs="Arial" w:eastAsia="Arial" w:hAnsi="Arial"/>
          <w:sz w:val="16"/>
          <w:szCs w:val="16"/>
          <w:b w:val="1"/>
          <w:bCs w:val="1"/>
          <w:color w:val="auto"/>
        </w:rPr>
        <w:t xml:space="preserve">$408.7 million </w:t>
      </w:r>
      <w:r>
        <w:rPr>
          <w:rFonts w:ascii="Arial" w:cs="Arial" w:eastAsia="Arial" w:hAnsi="Arial"/>
          <w:sz w:val="16"/>
          <w:szCs w:val="16"/>
          <w:color w:val="auto"/>
        </w:rPr>
        <w:t>quarterly revenues, an increase of</w:t>
      </w:r>
      <w:r>
        <w:rPr>
          <w:rFonts w:ascii="Arial" w:cs="Arial" w:eastAsia="Arial" w:hAnsi="Arial"/>
          <w:sz w:val="16"/>
          <w:szCs w:val="16"/>
          <w:b w:val="1"/>
          <w:bCs w:val="1"/>
          <w:color w:val="auto"/>
        </w:rPr>
        <w:t xml:space="preserve"> 24.1% </w:t>
      </w:r>
      <w:r>
        <w:rPr>
          <w:rFonts w:ascii="Arial" w:cs="Arial" w:eastAsia="Arial" w:hAnsi="Arial"/>
          <w:sz w:val="16"/>
          <w:szCs w:val="16"/>
          <w:color w:val="auto"/>
        </w:rPr>
        <w:t>(</w:t>
      </w:r>
      <w:r>
        <w:rPr>
          <w:rFonts w:ascii="Arial" w:cs="Arial" w:eastAsia="Arial" w:hAnsi="Arial"/>
          <w:sz w:val="16"/>
          <w:szCs w:val="16"/>
          <w:b w:val="1"/>
          <w:bCs w:val="1"/>
          <w:color w:val="auto"/>
        </w:rPr>
        <w:t xml:space="preserve">23.8% </w:t>
      </w:r>
      <w:r>
        <w:rPr>
          <w:rFonts w:ascii="Arial" w:cs="Arial" w:eastAsia="Arial" w:hAnsi="Arial"/>
          <w:sz w:val="16"/>
          <w:szCs w:val="16"/>
          <w:color w:val="auto"/>
        </w:rPr>
        <w:t>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compared to prior year period</w:t>
      </w:r>
    </w:p>
    <w:p>
      <w:pPr>
        <w:spacing w:after="0" w:line="61" w:lineRule="exact"/>
        <w:rPr>
          <w:sz w:val="20"/>
          <w:szCs w:val="20"/>
          <w:color w:val="auto"/>
        </w:rPr>
      </w:pPr>
    </w:p>
    <w:p>
      <w:pPr>
        <w:ind w:left="20"/>
        <w:spacing w:after="0" w:line="261" w:lineRule="auto"/>
        <w:rPr>
          <w:sz w:val="20"/>
          <w:szCs w:val="20"/>
          <w:color w:val="auto"/>
        </w:rPr>
      </w:pPr>
      <w:r>
        <w:rPr>
          <w:rFonts w:ascii="Arial" w:cs="Arial" w:eastAsia="Arial" w:hAnsi="Arial"/>
          <w:sz w:val="16"/>
          <w:szCs w:val="16"/>
          <w:b w:val="1"/>
          <w:bCs w:val="1"/>
          <w:color w:val="auto"/>
        </w:rPr>
        <w:t xml:space="preserve">$1.9 trillion </w:t>
      </w:r>
      <w:r>
        <w:rPr>
          <w:rFonts w:ascii="Arial" w:cs="Arial" w:eastAsia="Arial" w:hAnsi="Arial"/>
          <w:sz w:val="16"/>
          <w:szCs w:val="16"/>
          <w:color w:val="auto"/>
        </w:rPr>
        <w:t>average daily volume (“ADV”) for the quarter, an increase of</w:t>
      </w:r>
      <w:r>
        <w:rPr>
          <w:rFonts w:ascii="Arial" w:cs="Arial" w:eastAsia="Arial" w:hAnsi="Arial"/>
          <w:sz w:val="16"/>
          <w:szCs w:val="16"/>
          <w:b w:val="1"/>
          <w:bCs w:val="1"/>
          <w:color w:val="auto"/>
        </w:rPr>
        <w:t xml:space="preserve"> 39.1% </w:t>
      </w:r>
      <w:r>
        <w:rPr>
          <w:rFonts w:ascii="Arial" w:cs="Arial" w:eastAsia="Arial" w:hAnsi="Arial"/>
          <w:sz w:val="16"/>
          <w:szCs w:val="16"/>
          <w:color w:val="auto"/>
        </w:rPr>
        <w:t xml:space="preserve">compared to prior year period; quarterly ADV records in fully electronic U.S. High Grade credit, U.S. government bonds, European government bonds, swaps/swaptions ≥ 1-year, European credit, U.S. ETFs, equity convertibles/swaps/options, global repurchase agreements; record </w:t>
      </w:r>
      <w:r>
        <w:rPr>
          <w:rFonts w:ascii="Arial" w:cs="Arial" w:eastAsia="Arial" w:hAnsi="Arial"/>
          <w:sz w:val="16"/>
          <w:szCs w:val="16"/>
          <w:b w:val="1"/>
          <w:bCs w:val="1"/>
          <w:color w:val="auto"/>
        </w:rPr>
        <w:t>17.6%</w:t>
      </w:r>
      <w:r>
        <w:rPr>
          <w:rFonts w:ascii="Arial" w:cs="Arial" w:eastAsia="Arial" w:hAnsi="Arial"/>
          <w:sz w:val="16"/>
          <w:szCs w:val="16"/>
          <w:color w:val="auto"/>
        </w:rPr>
        <w:t xml:space="preserve"> share of fully electronic U.S. High Grade TRACE</w:t>
      </w:r>
    </w:p>
    <w:p>
      <w:pPr>
        <w:spacing w:after="0" w:line="68" w:lineRule="exact"/>
        <w:rPr>
          <w:sz w:val="20"/>
          <w:szCs w:val="20"/>
          <w:color w:val="auto"/>
        </w:rPr>
      </w:pPr>
    </w:p>
    <w:p>
      <w:pPr>
        <w:ind w:left="20" w:right="480"/>
        <w:spacing w:after="0" w:line="314" w:lineRule="auto"/>
        <w:rPr>
          <w:sz w:val="20"/>
          <w:szCs w:val="20"/>
          <w:color w:val="auto"/>
        </w:rPr>
      </w:pPr>
      <w:r>
        <w:rPr>
          <w:rFonts w:ascii="Arial" w:cs="Arial" w:eastAsia="Arial" w:hAnsi="Arial"/>
          <w:sz w:val="16"/>
          <w:szCs w:val="16"/>
          <w:b w:val="1"/>
          <w:bCs w:val="1"/>
          <w:color w:val="auto"/>
        </w:rPr>
        <w:t xml:space="preserve">$143.4 million </w:t>
      </w:r>
      <w:r>
        <w:rPr>
          <w:rFonts w:ascii="Arial" w:cs="Arial" w:eastAsia="Arial" w:hAnsi="Arial"/>
          <w:sz w:val="16"/>
          <w:szCs w:val="16"/>
          <w:color w:val="auto"/>
        </w:rPr>
        <w:t>net income and</w:t>
      </w:r>
      <w:r>
        <w:rPr>
          <w:rFonts w:ascii="Arial" w:cs="Arial" w:eastAsia="Arial" w:hAnsi="Arial"/>
          <w:sz w:val="16"/>
          <w:szCs w:val="16"/>
          <w:b w:val="1"/>
          <w:bCs w:val="1"/>
          <w:color w:val="auto"/>
        </w:rPr>
        <w:t xml:space="preserve"> $167.9 million </w:t>
      </w:r>
      <w:r>
        <w:rPr>
          <w:rFonts w:ascii="Arial" w:cs="Arial" w:eastAsia="Arial" w:hAnsi="Arial"/>
          <w:sz w:val="16"/>
          <w:szCs w:val="16"/>
          <w:color w:val="auto"/>
        </w:rPr>
        <w:t>adjusted net income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quarter, increases of </w:t>
      </w:r>
      <w:r>
        <w:rPr>
          <w:rFonts w:ascii="Arial" w:cs="Arial" w:eastAsia="Arial" w:hAnsi="Arial"/>
          <w:sz w:val="16"/>
          <w:szCs w:val="16"/>
          <w:b w:val="1"/>
          <w:bCs w:val="1"/>
          <w:color w:val="auto"/>
        </w:rPr>
        <w:t>40.3%</w:t>
      </w:r>
      <w:r>
        <w:rPr>
          <w:rFonts w:ascii="Arial" w:cs="Arial" w:eastAsia="Arial" w:hAnsi="Arial"/>
          <w:sz w:val="16"/>
          <w:szCs w:val="16"/>
          <w:color w:val="auto"/>
        </w:rPr>
        <w:t xml:space="preserve"> and </w:t>
      </w:r>
      <w:r>
        <w:rPr>
          <w:rFonts w:ascii="Arial" w:cs="Arial" w:eastAsia="Arial" w:hAnsi="Arial"/>
          <w:sz w:val="16"/>
          <w:szCs w:val="16"/>
          <w:b w:val="1"/>
          <w:bCs w:val="1"/>
          <w:color w:val="auto"/>
        </w:rPr>
        <w:t>30.1%</w:t>
      </w:r>
      <w:r>
        <w:rPr>
          <w:rFonts w:ascii="Arial" w:cs="Arial" w:eastAsia="Arial" w:hAnsi="Arial"/>
          <w:sz w:val="16"/>
          <w:szCs w:val="16"/>
          <w:color w:val="auto"/>
        </w:rPr>
        <w:t xml:space="preserve"> respectively from prior year period</w:t>
      </w:r>
    </w:p>
    <w:p>
      <w:pPr>
        <w:spacing w:after="0" w:line="18" w:lineRule="exact"/>
        <w:rPr>
          <w:sz w:val="20"/>
          <w:szCs w:val="20"/>
          <w:color w:val="auto"/>
        </w:rPr>
      </w:pPr>
    </w:p>
    <w:p>
      <w:pPr>
        <w:ind w:left="20" w:right="80"/>
        <w:spacing w:after="0" w:line="286" w:lineRule="auto"/>
        <w:rPr>
          <w:sz w:val="20"/>
          <w:szCs w:val="20"/>
          <w:color w:val="auto"/>
        </w:rPr>
      </w:pPr>
      <w:r>
        <w:rPr>
          <w:rFonts w:ascii="Arial" w:cs="Arial" w:eastAsia="Arial" w:hAnsi="Arial"/>
          <w:sz w:val="16"/>
          <w:szCs w:val="16"/>
          <w:b w:val="1"/>
          <w:bCs w:val="1"/>
          <w:color w:val="auto"/>
        </w:rPr>
        <w:t xml:space="preserve">53.7% </w:t>
      </w:r>
      <w:r>
        <w:rPr>
          <w:rFonts w:ascii="Arial" w:cs="Arial" w:eastAsia="Arial" w:hAnsi="Arial"/>
          <w:sz w:val="16"/>
          <w:szCs w:val="16"/>
          <w:color w:val="auto"/>
        </w:rPr>
        <w:t>adjusted EBITDA margin and</w:t>
      </w:r>
      <w:r>
        <w:rPr>
          <w:rFonts w:ascii="Arial" w:cs="Arial" w:eastAsia="Arial" w:hAnsi="Arial"/>
          <w:sz w:val="16"/>
          <w:szCs w:val="16"/>
          <w:b w:val="1"/>
          <w:bCs w:val="1"/>
          <w:color w:val="auto"/>
        </w:rPr>
        <w:t xml:space="preserve"> $219.5 million </w:t>
      </w:r>
      <w:r>
        <w:rPr>
          <w:rFonts w:ascii="Arial" w:cs="Arial" w:eastAsia="Arial" w:hAnsi="Arial"/>
          <w:sz w:val="16"/>
          <w:szCs w:val="16"/>
          <w:color w:val="auto"/>
        </w:rPr>
        <w:t>adjusted EBITDA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compared to 52.3% and $172.2 million respectively for prior year period</w:t>
      </w:r>
    </w:p>
    <w:p>
      <w:pPr>
        <w:spacing w:after="0" w:line="61" w:lineRule="exact"/>
        <w:rPr>
          <w:sz w:val="20"/>
          <w:szCs w:val="20"/>
          <w:color w:val="auto"/>
        </w:rPr>
      </w:pPr>
    </w:p>
    <w:p>
      <w:pPr>
        <w:ind w:left="20" w:right="400"/>
        <w:spacing w:after="0" w:line="286" w:lineRule="auto"/>
        <w:rPr>
          <w:sz w:val="20"/>
          <w:szCs w:val="20"/>
          <w:color w:val="auto"/>
        </w:rPr>
      </w:pPr>
      <w:r>
        <w:rPr>
          <w:rFonts w:ascii="Arial" w:cs="Arial" w:eastAsia="Arial" w:hAnsi="Arial"/>
          <w:sz w:val="16"/>
          <w:szCs w:val="16"/>
          <w:b w:val="1"/>
          <w:bCs w:val="1"/>
          <w:color w:val="auto"/>
        </w:rPr>
        <w:t xml:space="preserve">$0.59 </w:t>
      </w:r>
      <w:r>
        <w:rPr>
          <w:rFonts w:ascii="Arial" w:cs="Arial" w:eastAsia="Arial" w:hAnsi="Arial"/>
          <w:sz w:val="16"/>
          <w:szCs w:val="16"/>
          <w:color w:val="auto"/>
        </w:rPr>
        <w:t>diluted earnings per share (“Diluted EPS”) and</w:t>
      </w:r>
      <w:r>
        <w:rPr>
          <w:rFonts w:ascii="Arial" w:cs="Arial" w:eastAsia="Arial" w:hAnsi="Arial"/>
          <w:sz w:val="16"/>
          <w:szCs w:val="16"/>
          <w:b w:val="1"/>
          <w:bCs w:val="1"/>
          <w:color w:val="auto"/>
        </w:rPr>
        <w:t xml:space="preserve"> $0.71 </w:t>
      </w:r>
      <w:r>
        <w:rPr>
          <w:rFonts w:ascii="Arial" w:cs="Arial" w:eastAsia="Arial" w:hAnsi="Arial"/>
          <w:sz w:val="16"/>
          <w:szCs w:val="16"/>
          <w:color w:val="auto"/>
        </w:rPr>
        <w:t>adjusted diluted</w:t>
      </w:r>
      <w:r>
        <w:rPr>
          <w:rFonts w:ascii="Arial" w:cs="Arial" w:eastAsia="Arial" w:hAnsi="Arial"/>
          <w:sz w:val="16"/>
          <w:szCs w:val="16"/>
          <w:b w:val="1"/>
          <w:bCs w:val="1"/>
          <w:color w:val="auto"/>
        </w:rPr>
        <w:t xml:space="preserve"> </w:t>
      </w:r>
      <w:r>
        <w:rPr>
          <w:rFonts w:ascii="Arial" w:cs="Arial" w:eastAsia="Arial" w:hAnsi="Arial"/>
          <w:sz w:val="16"/>
          <w:szCs w:val="16"/>
          <w:color w:val="auto"/>
        </w:rPr>
        <w:t>earnings per share for the quarter</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$0.10 </w:t>
      </w:r>
      <w:r>
        <w:rPr>
          <w:rFonts w:ascii="Arial" w:cs="Arial" w:eastAsia="Arial" w:hAnsi="Arial"/>
          <w:sz w:val="16"/>
          <w:szCs w:val="16"/>
          <w:color w:val="auto"/>
        </w:rPr>
        <w:t>per share quarterly cash dividend declared</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Billy Hult, CEO of Tradeweb:</w:t>
      </w:r>
    </w:p>
    <w:p>
      <w:pPr>
        <w:spacing w:after="0" w:line="56" w:lineRule="exact"/>
        <w:rPr>
          <w:sz w:val="20"/>
          <w:szCs w:val="20"/>
          <w:color w:val="auto"/>
        </w:rPr>
      </w:pPr>
    </w:p>
    <w:p>
      <w:pPr>
        <w:ind w:right="100"/>
        <w:spacing w:after="0" w:line="231" w:lineRule="auto"/>
        <w:rPr>
          <w:sz w:val="20"/>
          <w:szCs w:val="20"/>
          <w:color w:val="auto"/>
        </w:rPr>
      </w:pPr>
      <w:r>
        <w:rPr>
          <w:rFonts w:ascii="Arial" w:cs="Arial" w:eastAsia="Arial" w:hAnsi="Arial"/>
          <w:sz w:val="15"/>
          <w:szCs w:val="15"/>
          <w:color w:val="auto"/>
        </w:rPr>
        <w:t>“We had a very strong start to 2024, continuing last year’s momentum thanks to broad-based organic growth and a number of important milestones. Our quarterly ADV climbed 39% from the prior year period to a record $ 1.9 trillion, with several more ADV records set across rates, credit, equities and money markets. Tradeweb captured a record 17.6% share of U.S. High Grade TRACE (+420 bps from the</w:t>
      </w:r>
    </w:p>
    <w:p>
      <w:pPr>
        <w:spacing w:after="0" w:line="3" w:lineRule="exact"/>
        <w:rPr>
          <w:sz w:val="20"/>
          <w:szCs w:val="20"/>
          <w:color w:val="auto"/>
        </w:rPr>
      </w:pPr>
    </w:p>
    <w:p>
      <w:pPr>
        <w:ind w:right="100"/>
        <w:spacing w:after="0" w:line="227" w:lineRule="auto"/>
        <w:rPr>
          <w:sz w:val="20"/>
          <w:szCs w:val="20"/>
          <w:color w:val="auto"/>
        </w:rPr>
      </w:pPr>
      <w:r>
        <w:rPr>
          <w:rFonts w:ascii="Arial" w:cs="Arial" w:eastAsia="Arial" w:hAnsi="Arial"/>
          <w:sz w:val="15"/>
          <w:szCs w:val="15"/>
          <w:color w:val="auto"/>
        </w:rPr>
        <w:t>prior year period), reflecting steady growth in an area of strategic focus and investment for us. In January, we finalized our acquisition of r8fin, a technology provider that specializes in algorithmic-based execution for U.S. Treasuries and interest rate futures, and we feel great about how this will strengthen our offering with macro hedge funds. In April, we agreed to acquire ICD, a leading institutional investment technology provider for corporate treasury organizations, which will add Corporates as a new client channel with significant</w:t>
      </w:r>
    </w:p>
    <w:p>
      <w:pPr>
        <w:spacing w:after="0" w:line="4" w:lineRule="exact"/>
        <w:rPr>
          <w:sz w:val="20"/>
          <w:szCs w:val="20"/>
          <w:color w:val="auto"/>
        </w:rPr>
      </w:pPr>
    </w:p>
    <w:p>
      <w:pPr>
        <w:ind w:right="360"/>
        <w:spacing w:after="0" w:line="231" w:lineRule="auto"/>
        <w:rPr>
          <w:sz w:val="20"/>
          <w:szCs w:val="20"/>
          <w:color w:val="auto"/>
        </w:rPr>
      </w:pPr>
      <w:r>
        <w:rPr>
          <w:rFonts w:ascii="Arial" w:cs="Arial" w:eastAsia="Arial" w:hAnsi="Arial"/>
          <w:sz w:val="15"/>
          <w:szCs w:val="15"/>
          <w:color w:val="auto"/>
        </w:rPr>
        <w:t>cross-sell opportunities. We also recently celebrated the five-year anniversary of Tradeweb’s IPO, and we remain laser-focused on keeping continued innovation and collaboration at the heart of Tradeweb’s success. Now more than ever, we believe the future of trading is multi-asset class -- and innovative technology is how markets are going to get there.”</w:t>
      </w:r>
    </w:p>
    <w:p>
      <w:pPr>
        <w:spacing w:after="0" w:line="200" w:lineRule="exact"/>
        <w:rPr>
          <w:sz w:val="20"/>
          <w:szCs w:val="20"/>
          <w:color w:val="auto"/>
        </w:rPr>
      </w:pPr>
    </w:p>
    <w:p>
      <w:pPr>
        <w:sectPr>
          <w:pgSz w:w="11900" w:h="16838" w:orient="portrait"/>
          <w:cols w:equalWidth="0" w:num="2">
            <w:col w:w="5820" w:space="180"/>
            <w:col w:w="4840"/>
          </w:cols>
          <w:pgMar w:left="320" w:top="274" w:right="739" w:bottom="1440" w:gutter="0" w:footer="0" w:header="0"/>
          <w:type w:val="continuous"/>
        </w:sect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40" w:type="dxa"/>
            <w:vAlign w:val="bottom"/>
            <w:shd w:val="clear" w:color="auto" w:fill="083566"/>
          </w:tcPr>
          <w:p>
            <w:pPr>
              <w:spacing w:after="0"/>
              <w:rPr>
                <w:sz w:val="17"/>
                <w:szCs w:val="17"/>
                <w:color w:val="auto"/>
              </w:rPr>
            </w:pPr>
          </w:p>
        </w:tc>
        <w:tc>
          <w:tcPr>
            <w:tcW w:w="26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200" w:type="dxa"/>
            <w:vAlign w:val="bottom"/>
            <w:shd w:val="clear" w:color="auto" w:fill="083566"/>
          </w:tcPr>
          <w:p>
            <w:pPr>
              <w:spacing w:after="0"/>
              <w:rPr>
                <w:sz w:val="17"/>
                <w:szCs w:val="17"/>
                <w:color w:val="auto"/>
              </w:rPr>
            </w:pPr>
          </w:p>
        </w:tc>
        <w:tc>
          <w:tcPr>
            <w:tcW w:w="960" w:type="dxa"/>
            <w:vAlign w:val="bottom"/>
            <w:shd w:val="clear" w:color="auto" w:fill="083566"/>
          </w:tcPr>
          <w:p>
            <w:pPr>
              <w:spacing w:after="0"/>
              <w:rPr>
                <w:sz w:val="17"/>
                <w:szCs w:val="17"/>
                <w:color w:val="auto"/>
              </w:rPr>
            </w:pPr>
          </w:p>
        </w:tc>
        <w:tc>
          <w:tcPr>
            <w:tcW w:w="900" w:type="dxa"/>
            <w:vAlign w:val="bottom"/>
            <w:shd w:val="clear" w:color="auto" w:fill="083566"/>
          </w:tcPr>
          <w:p>
            <w:pPr>
              <w:spacing w:after="0"/>
              <w:rPr>
                <w:sz w:val="17"/>
                <w:szCs w:val="17"/>
                <w:color w:val="auto"/>
              </w:rPr>
            </w:pPr>
          </w:p>
        </w:tc>
        <w:tc>
          <w:tcPr>
            <w:tcW w:w="960" w:type="dxa"/>
            <w:vAlign w:val="bottom"/>
            <w:gridSpan w:val="2"/>
            <w:shd w:val="clear" w:color="auto" w:fill="083566"/>
          </w:tcPr>
          <w:p>
            <w:pPr>
              <w:jc w:val="right"/>
              <w:ind w:right="59"/>
              <w:spacing w:after="0"/>
              <w:rPr>
                <w:sz w:val="20"/>
                <w:szCs w:val="20"/>
                <w:color w:val="auto"/>
              </w:rPr>
            </w:pPr>
            <w:r>
              <w:rPr>
                <w:rFonts w:ascii="Arial" w:cs="Arial" w:eastAsia="Arial" w:hAnsi="Arial"/>
                <w:sz w:val="16"/>
                <w:szCs w:val="16"/>
                <w:b w:val="1"/>
                <w:bCs w:val="1"/>
                <w:color w:val="FFFFFF"/>
              </w:rPr>
              <w:t>Constant</w:t>
            </w:r>
          </w:p>
        </w:tc>
        <w:tc>
          <w:tcPr>
            <w:tcW w:w="80" w:type="dxa"/>
            <w:vAlign w:val="bottom"/>
          </w:tcPr>
          <w:p>
            <w:pPr>
              <w:spacing w:after="0"/>
              <w:rPr>
                <w:sz w:val="17"/>
                <w:szCs w:val="17"/>
                <w:color w:val="auto"/>
              </w:rPr>
            </w:pPr>
          </w:p>
        </w:tc>
        <w:tc>
          <w:tcPr>
            <w:tcW w:w="1160" w:type="dxa"/>
            <w:vAlign w:val="bottom"/>
            <w:shd w:val="clear" w:color="auto" w:fill="083566"/>
          </w:tcPr>
          <w:p>
            <w:pPr>
              <w:spacing w:after="0"/>
              <w:rPr>
                <w:sz w:val="17"/>
                <w:szCs w:val="17"/>
                <w:color w:val="auto"/>
              </w:rPr>
            </w:pPr>
          </w:p>
        </w:tc>
        <w:tc>
          <w:tcPr>
            <w:tcW w:w="1000" w:type="dxa"/>
            <w:vAlign w:val="bottom"/>
            <w:shd w:val="clear" w:color="auto" w:fill="083566"/>
          </w:tcPr>
          <w:p>
            <w:pPr>
              <w:spacing w:after="0"/>
              <w:rPr>
                <w:sz w:val="17"/>
                <w:szCs w:val="17"/>
                <w:color w:val="auto"/>
              </w:rPr>
            </w:pPr>
          </w:p>
        </w:tc>
        <w:tc>
          <w:tcPr>
            <w:tcW w:w="220" w:type="dxa"/>
            <w:vAlign w:val="bottom"/>
            <w:shd w:val="clear" w:color="auto" w:fill="083566"/>
          </w:tcPr>
          <w:p>
            <w:pPr>
              <w:spacing w:after="0"/>
              <w:rPr>
                <w:sz w:val="17"/>
                <w:szCs w:val="17"/>
                <w:color w:val="auto"/>
              </w:rPr>
            </w:pPr>
          </w:p>
        </w:tc>
        <w:tc>
          <w:tcPr>
            <w:tcW w:w="600" w:type="dxa"/>
            <w:vAlign w:val="bottom"/>
            <w:shd w:val="clear" w:color="auto" w:fill="083566"/>
          </w:tcPr>
          <w:p>
            <w:pPr>
              <w:spacing w:after="0"/>
              <w:rPr>
                <w:sz w:val="17"/>
                <w:szCs w:val="17"/>
                <w:color w:val="auto"/>
              </w:rPr>
            </w:pPr>
          </w:p>
        </w:tc>
        <w:tc>
          <w:tcPr>
            <w:tcW w:w="220" w:type="dxa"/>
            <w:vAlign w:val="bottom"/>
            <w:shd w:val="clear" w:color="auto" w:fill="083566"/>
          </w:tcPr>
          <w:p>
            <w:pPr>
              <w:spacing w:after="0"/>
              <w:rPr>
                <w:sz w:val="17"/>
                <w:szCs w:val="17"/>
                <w:color w:val="auto"/>
              </w:rPr>
            </w:pPr>
          </w:p>
        </w:tc>
        <w:tc>
          <w:tcPr>
            <w:tcW w:w="78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SELECT FINANCIAL</w:t>
            </w:r>
          </w:p>
        </w:tc>
        <w:tc>
          <w:tcPr>
            <w:tcW w:w="26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200" w:type="dxa"/>
            <w:vAlign w:val="bottom"/>
            <w:shd w:val="clear" w:color="auto" w:fill="083566"/>
          </w:tcPr>
          <w:p>
            <w:pPr>
              <w:spacing w:after="0"/>
              <w:rPr>
                <w:sz w:val="16"/>
                <w:szCs w:val="16"/>
                <w:color w:val="auto"/>
              </w:rPr>
            </w:pPr>
          </w:p>
        </w:tc>
        <w:tc>
          <w:tcPr>
            <w:tcW w:w="960" w:type="dxa"/>
            <w:vAlign w:val="bottom"/>
            <w:shd w:val="clear" w:color="auto" w:fill="083566"/>
          </w:tcPr>
          <w:p>
            <w:pPr>
              <w:spacing w:after="0"/>
              <w:rPr>
                <w:sz w:val="16"/>
                <w:szCs w:val="16"/>
                <w:color w:val="auto"/>
              </w:rPr>
            </w:pPr>
          </w:p>
        </w:tc>
        <w:tc>
          <w:tcPr>
            <w:tcW w:w="900" w:type="dxa"/>
            <w:vAlign w:val="bottom"/>
            <w:shd w:val="clear" w:color="auto" w:fill="083566"/>
          </w:tcPr>
          <w:p>
            <w:pPr>
              <w:spacing w:after="0"/>
              <w:rPr>
                <w:sz w:val="16"/>
                <w:szCs w:val="16"/>
                <w:color w:val="auto"/>
              </w:rPr>
            </w:pPr>
          </w:p>
        </w:tc>
        <w:tc>
          <w:tcPr>
            <w:tcW w:w="960" w:type="dxa"/>
            <w:vAlign w:val="bottom"/>
            <w:gridSpan w:val="2"/>
            <w:shd w:val="clear" w:color="auto" w:fill="083566"/>
          </w:tcPr>
          <w:p>
            <w:pPr>
              <w:jc w:val="right"/>
              <w:ind w:right="59"/>
              <w:spacing w:after="0"/>
              <w:rPr>
                <w:sz w:val="20"/>
                <w:szCs w:val="20"/>
                <w:color w:val="auto"/>
              </w:rPr>
            </w:pPr>
            <w:r>
              <w:rPr>
                <w:rFonts w:ascii="Arial" w:cs="Arial" w:eastAsia="Arial" w:hAnsi="Arial"/>
                <w:sz w:val="16"/>
                <w:szCs w:val="16"/>
                <w:b w:val="1"/>
                <w:bCs w:val="1"/>
                <w:color w:val="FFFFFF"/>
              </w:rPr>
              <w:t>Currency</w:t>
            </w:r>
          </w:p>
        </w:tc>
        <w:tc>
          <w:tcPr>
            <w:tcW w:w="80" w:type="dxa"/>
            <w:vAlign w:val="bottom"/>
          </w:tcPr>
          <w:p>
            <w:pPr>
              <w:spacing w:after="0"/>
              <w:rPr>
                <w:sz w:val="16"/>
                <w:szCs w:val="16"/>
                <w:color w:val="auto"/>
              </w:rPr>
            </w:pPr>
          </w:p>
        </w:tc>
        <w:tc>
          <w:tcPr>
            <w:tcW w:w="116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 xml:space="preserve">ADV </w:t>
            </w:r>
            <w:r>
              <w:rPr>
                <w:rFonts w:ascii="Arial" w:cs="Arial" w:eastAsia="Arial" w:hAnsi="Arial"/>
                <w:sz w:val="16"/>
                <w:szCs w:val="16"/>
                <w:color w:val="FFFFFF"/>
              </w:rPr>
              <w:t>(US $bn)</w:t>
            </w:r>
          </w:p>
        </w:tc>
        <w:tc>
          <w:tcPr>
            <w:tcW w:w="1000" w:type="dxa"/>
            <w:vAlign w:val="bottom"/>
            <w:shd w:val="clear" w:color="auto" w:fill="083566"/>
          </w:tcPr>
          <w:p>
            <w:pPr>
              <w:spacing w:after="0"/>
              <w:rPr>
                <w:sz w:val="16"/>
                <w:szCs w:val="16"/>
                <w:color w:val="auto"/>
              </w:rPr>
            </w:pPr>
          </w:p>
        </w:tc>
        <w:tc>
          <w:tcPr>
            <w:tcW w:w="220" w:type="dxa"/>
            <w:vAlign w:val="bottom"/>
            <w:shd w:val="clear" w:color="auto" w:fill="083566"/>
          </w:tcPr>
          <w:p>
            <w:pPr>
              <w:spacing w:after="0"/>
              <w:rPr>
                <w:sz w:val="16"/>
                <w:szCs w:val="16"/>
                <w:color w:val="auto"/>
              </w:rPr>
            </w:pPr>
          </w:p>
        </w:tc>
        <w:tc>
          <w:tcPr>
            <w:tcW w:w="600" w:type="dxa"/>
            <w:vAlign w:val="bottom"/>
            <w:shd w:val="clear" w:color="auto" w:fill="083566"/>
          </w:tcPr>
          <w:p>
            <w:pPr>
              <w:spacing w:after="0"/>
              <w:rPr>
                <w:sz w:val="16"/>
                <w:szCs w:val="16"/>
                <w:color w:val="auto"/>
              </w:rPr>
            </w:pPr>
          </w:p>
        </w:tc>
        <w:tc>
          <w:tcPr>
            <w:tcW w:w="220" w:type="dxa"/>
            <w:vAlign w:val="bottom"/>
            <w:shd w:val="clear" w:color="auto" w:fill="083566"/>
          </w:tcPr>
          <w:p>
            <w:pPr>
              <w:spacing w:after="0"/>
              <w:rPr>
                <w:sz w:val="16"/>
                <w:szCs w:val="16"/>
                <w:color w:val="auto"/>
              </w:rPr>
            </w:pPr>
          </w:p>
        </w:tc>
        <w:tc>
          <w:tcPr>
            <w:tcW w:w="78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74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RESULTS</w:t>
            </w:r>
          </w:p>
        </w:tc>
        <w:tc>
          <w:tcPr>
            <w:tcW w:w="260" w:type="dxa"/>
            <w:vAlign w:val="bottom"/>
            <w:shd w:val="clear" w:color="auto" w:fill="083566"/>
          </w:tcPr>
          <w:p>
            <w:pPr>
              <w:spacing w:after="0"/>
              <w:rPr>
                <w:sz w:val="22"/>
                <w:szCs w:val="22"/>
                <w:color w:val="auto"/>
              </w:rPr>
            </w:pPr>
          </w:p>
        </w:tc>
        <w:tc>
          <w:tcPr>
            <w:tcW w:w="880" w:type="dxa"/>
            <w:vAlign w:val="bottom"/>
            <w:shd w:val="clear" w:color="auto" w:fill="083566"/>
          </w:tcPr>
          <w:p>
            <w:pPr>
              <w:jc w:val="right"/>
              <w:ind w:right="279"/>
              <w:spacing w:after="0"/>
              <w:rPr>
                <w:sz w:val="20"/>
                <w:szCs w:val="20"/>
                <w:color w:val="auto"/>
              </w:rPr>
            </w:pPr>
            <w:r>
              <w:rPr>
                <w:rFonts w:ascii="Arial" w:cs="Arial" w:eastAsia="Arial" w:hAnsi="Arial"/>
                <w:sz w:val="16"/>
                <w:szCs w:val="16"/>
                <w:b w:val="1"/>
                <w:bCs w:val="1"/>
                <w:color w:val="FFFFFF"/>
              </w:rPr>
              <w:t>1Q24</w:t>
            </w:r>
          </w:p>
        </w:tc>
        <w:tc>
          <w:tcPr>
            <w:tcW w:w="200" w:type="dxa"/>
            <w:vAlign w:val="bottom"/>
            <w:shd w:val="clear" w:color="auto" w:fill="083566"/>
          </w:tcPr>
          <w:p>
            <w:pPr>
              <w:spacing w:after="0"/>
              <w:rPr>
                <w:sz w:val="22"/>
                <w:szCs w:val="22"/>
                <w:color w:val="auto"/>
              </w:rPr>
            </w:pPr>
          </w:p>
        </w:tc>
        <w:tc>
          <w:tcPr>
            <w:tcW w:w="960" w:type="dxa"/>
            <w:vAlign w:val="bottom"/>
            <w:shd w:val="clear" w:color="auto" w:fill="083566"/>
          </w:tcPr>
          <w:p>
            <w:pPr>
              <w:jc w:val="right"/>
              <w:ind w:right="339"/>
              <w:spacing w:after="0"/>
              <w:rPr>
                <w:sz w:val="20"/>
                <w:szCs w:val="20"/>
                <w:color w:val="auto"/>
              </w:rPr>
            </w:pPr>
            <w:r>
              <w:rPr>
                <w:rFonts w:ascii="Arial" w:cs="Arial" w:eastAsia="Arial" w:hAnsi="Arial"/>
                <w:sz w:val="16"/>
                <w:szCs w:val="16"/>
                <w:b w:val="1"/>
                <w:bCs w:val="1"/>
                <w:color w:val="FFFFFF"/>
              </w:rPr>
              <w:t>1Q23</w:t>
            </w:r>
          </w:p>
        </w:tc>
        <w:tc>
          <w:tcPr>
            <w:tcW w:w="900" w:type="dxa"/>
            <w:vAlign w:val="bottom"/>
            <w:shd w:val="clear" w:color="auto" w:fill="083566"/>
          </w:tcPr>
          <w:p>
            <w:pPr>
              <w:jc w:val="right"/>
              <w:ind w:right="119"/>
              <w:spacing w:after="0"/>
              <w:rPr>
                <w:sz w:val="20"/>
                <w:szCs w:val="20"/>
                <w:color w:val="auto"/>
              </w:rPr>
            </w:pPr>
            <w:r>
              <w:rPr>
                <w:rFonts w:ascii="Arial" w:cs="Arial" w:eastAsia="Arial" w:hAnsi="Arial"/>
                <w:sz w:val="16"/>
                <w:szCs w:val="16"/>
                <w:b w:val="1"/>
                <w:bCs w:val="1"/>
                <w:color w:val="FFFFFF"/>
              </w:rPr>
              <w:t>Change</w:t>
            </w:r>
          </w:p>
        </w:tc>
        <w:tc>
          <w:tcPr>
            <w:tcW w:w="960" w:type="dxa"/>
            <w:vAlign w:val="bottom"/>
            <w:gridSpan w:val="2"/>
            <w:shd w:val="clear" w:color="auto" w:fill="083566"/>
          </w:tcPr>
          <w:p>
            <w:pPr>
              <w:jc w:val="right"/>
              <w:ind w:right="59"/>
              <w:spacing w:after="0"/>
              <w:rPr>
                <w:sz w:val="20"/>
                <w:szCs w:val="20"/>
                <w:color w:val="auto"/>
              </w:rPr>
            </w:pPr>
            <w:r>
              <w:rPr>
                <w:rFonts w:ascii="Arial" w:cs="Arial" w:eastAsia="Arial" w:hAnsi="Arial"/>
                <w:sz w:val="16"/>
                <w:szCs w:val="16"/>
                <w:b w:val="1"/>
                <w:bCs w:val="1"/>
                <w:color w:val="FFFFFF"/>
              </w:rPr>
              <w:t>Change</w:t>
            </w:r>
            <w:r>
              <w:rPr>
                <w:rFonts w:ascii="Arial" w:cs="Arial" w:eastAsia="Arial" w:hAnsi="Arial"/>
                <w:sz w:val="21"/>
                <w:szCs w:val="21"/>
                <w:b w:val="1"/>
                <w:bCs w:val="1"/>
                <w:color w:val="FFFFFF"/>
                <w:vertAlign w:val="superscript"/>
              </w:rPr>
              <w:t>(1)</w:t>
            </w:r>
          </w:p>
        </w:tc>
        <w:tc>
          <w:tcPr>
            <w:tcW w:w="80" w:type="dxa"/>
            <w:vAlign w:val="bottom"/>
          </w:tcPr>
          <w:p>
            <w:pPr>
              <w:spacing w:after="0"/>
              <w:rPr>
                <w:sz w:val="22"/>
                <w:szCs w:val="22"/>
                <w:color w:val="auto"/>
              </w:rPr>
            </w:pPr>
          </w:p>
        </w:tc>
        <w:tc>
          <w:tcPr>
            <w:tcW w:w="1160" w:type="dxa"/>
            <w:vAlign w:val="bottom"/>
            <w:shd w:val="clear" w:color="auto" w:fill="083566"/>
          </w:tcPr>
          <w:p>
            <w:pPr>
              <w:ind w:left="20"/>
              <w:spacing w:after="0"/>
              <w:rPr>
                <w:sz w:val="20"/>
                <w:szCs w:val="20"/>
                <w:color w:val="auto"/>
              </w:rPr>
            </w:pPr>
            <w:r>
              <w:rPr>
                <w:rFonts w:ascii="Arial" w:cs="Arial" w:eastAsia="Arial" w:hAnsi="Arial"/>
                <w:sz w:val="16"/>
                <w:szCs w:val="16"/>
                <w:color w:val="FFFFFF"/>
              </w:rPr>
              <w:t>(Unaudited)</w:t>
            </w:r>
          </w:p>
        </w:tc>
        <w:tc>
          <w:tcPr>
            <w:tcW w:w="1000" w:type="dxa"/>
            <w:vAlign w:val="bottom"/>
            <w:shd w:val="clear" w:color="auto" w:fill="083566"/>
          </w:tcPr>
          <w:p>
            <w:pPr>
              <w:spacing w:after="0"/>
              <w:rPr>
                <w:sz w:val="22"/>
                <w:szCs w:val="22"/>
                <w:color w:val="auto"/>
              </w:rPr>
            </w:pPr>
          </w:p>
        </w:tc>
        <w:tc>
          <w:tcPr>
            <w:tcW w:w="220" w:type="dxa"/>
            <w:vAlign w:val="bottom"/>
            <w:shd w:val="clear" w:color="auto" w:fill="083566"/>
          </w:tcPr>
          <w:p>
            <w:pPr>
              <w:spacing w:after="0"/>
              <w:rPr>
                <w:sz w:val="22"/>
                <w:szCs w:val="22"/>
                <w:color w:val="auto"/>
              </w:rPr>
            </w:pPr>
          </w:p>
        </w:tc>
        <w:tc>
          <w:tcPr>
            <w:tcW w:w="600" w:type="dxa"/>
            <w:vAlign w:val="bottom"/>
            <w:shd w:val="clear" w:color="auto" w:fill="083566"/>
          </w:tcPr>
          <w:p>
            <w:pPr>
              <w:spacing w:after="0"/>
              <w:rPr>
                <w:sz w:val="22"/>
                <w:szCs w:val="22"/>
                <w:color w:val="auto"/>
              </w:rPr>
            </w:pPr>
          </w:p>
        </w:tc>
        <w:tc>
          <w:tcPr>
            <w:tcW w:w="220" w:type="dxa"/>
            <w:vAlign w:val="bottom"/>
            <w:shd w:val="clear" w:color="auto" w:fill="083566"/>
          </w:tcPr>
          <w:p>
            <w:pPr>
              <w:spacing w:after="0"/>
              <w:rPr>
                <w:sz w:val="22"/>
                <w:szCs w:val="22"/>
                <w:color w:val="auto"/>
              </w:rPr>
            </w:pPr>
          </w:p>
        </w:tc>
        <w:tc>
          <w:tcPr>
            <w:tcW w:w="780" w:type="dxa"/>
            <w:vAlign w:val="bottom"/>
            <w:shd w:val="clear" w:color="auto" w:fill="083566"/>
          </w:tcPr>
          <w:p>
            <w:pPr>
              <w:spacing w:after="0"/>
              <w:rPr>
                <w:sz w:val="22"/>
                <w:szCs w:val="22"/>
                <w:color w:val="auto"/>
              </w:rPr>
            </w:pPr>
          </w:p>
        </w:tc>
        <w:tc>
          <w:tcPr>
            <w:tcW w:w="880" w:type="dxa"/>
            <w:vAlign w:val="bottom"/>
            <w:shd w:val="clear" w:color="auto" w:fill="083566"/>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40" w:type="dxa"/>
            <w:vAlign w:val="bottom"/>
            <w:gridSpan w:val="6"/>
            <w:shd w:val="clear" w:color="auto" w:fill="083566"/>
          </w:tcPr>
          <w:p>
            <w:pPr>
              <w:ind w:left="20"/>
              <w:spacing w:after="0"/>
              <w:rPr>
                <w:sz w:val="20"/>
                <w:szCs w:val="20"/>
                <w:color w:val="auto"/>
              </w:rPr>
            </w:pPr>
            <w:r>
              <w:rPr>
                <w:rFonts w:ascii="Arial" w:cs="Arial" w:eastAsia="Arial" w:hAnsi="Arial"/>
                <w:sz w:val="16"/>
                <w:szCs w:val="16"/>
                <w:color w:val="FFFFFF"/>
              </w:rPr>
              <w:t>(dollars in thousands except per share amounts)(Unaudited)</w:t>
            </w:r>
          </w:p>
        </w:tc>
        <w:tc>
          <w:tcPr>
            <w:tcW w:w="560" w:type="dxa"/>
            <w:vAlign w:val="bottom"/>
            <w:shd w:val="clear" w:color="auto" w:fill="083566"/>
          </w:tcPr>
          <w:p>
            <w:pPr>
              <w:spacing w:after="0"/>
              <w:rPr>
                <w:sz w:val="20"/>
                <w:szCs w:val="20"/>
                <w:color w:val="auto"/>
              </w:rPr>
            </w:pPr>
          </w:p>
        </w:tc>
        <w:tc>
          <w:tcPr>
            <w:tcW w:w="400" w:type="dxa"/>
            <w:vAlign w:val="bottom"/>
            <w:shd w:val="clear" w:color="auto" w:fill="083566"/>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Asset Class</w:t>
            </w:r>
          </w:p>
        </w:tc>
        <w:tc>
          <w:tcPr>
            <w:tcW w:w="10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Product</w:t>
            </w:r>
          </w:p>
        </w:tc>
        <w:tc>
          <w:tcPr>
            <w:tcW w:w="220" w:type="dxa"/>
            <w:vAlign w:val="bottom"/>
            <w:shd w:val="clear" w:color="auto" w:fill="083566"/>
          </w:tcPr>
          <w:p>
            <w:pPr>
              <w:spacing w:after="0"/>
              <w:rPr>
                <w:sz w:val="20"/>
                <w:szCs w:val="20"/>
                <w:color w:val="auto"/>
              </w:rPr>
            </w:pPr>
          </w:p>
        </w:tc>
        <w:tc>
          <w:tcPr>
            <w:tcW w:w="600" w:type="dxa"/>
            <w:vAlign w:val="bottom"/>
            <w:shd w:val="clear" w:color="auto" w:fill="083566"/>
          </w:tcPr>
          <w:p>
            <w:pPr>
              <w:jc w:val="right"/>
              <w:spacing w:after="0"/>
              <w:rPr>
                <w:sz w:val="20"/>
                <w:szCs w:val="20"/>
                <w:color w:val="auto"/>
              </w:rPr>
            </w:pPr>
            <w:r>
              <w:rPr>
                <w:rFonts w:ascii="Arial" w:cs="Arial" w:eastAsia="Arial" w:hAnsi="Arial"/>
                <w:sz w:val="16"/>
                <w:szCs w:val="16"/>
                <w:b w:val="1"/>
                <w:bCs w:val="1"/>
                <w:color w:val="FFFFFF"/>
              </w:rPr>
              <w:t>1Q24</w:t>
            </w:r>
          </w:p>
        </w:tc>
        <w:tc>
          <w:tcPr>
            <w:tcW w:w="220" w:type="dxa"/>
            <w:vAlign w:val="bottom"/>
            <w:shd w:val="clear" w:color="auto" w:fill="083566"/>
          </w:tcPr>
          <w:p>
            <w:pPr>
              <w:spacing w:after="0"/>
              <w:rPr>
                <w:sz w:val="20"/>
                <w:szCs w:val="20"/>
                <w:color w:val="auto"/>
              </w:rPr>
            </w:pPr>
          </w:p>
        </w:tc>
        <w:tc>
          <w:tcPr>
            <w:tcW w:w="780" w:type="dxa"/>
            <w:vAlign w:val="bottom"/>
            <w:shd w:val="clear" w:color="auto" w:fill="083566"/>
          </w:tcPr>
          <w:p>
            <w:pPr>
              <w:jc w:val="right"/>
              <w:ind w:right="119"/>
              <w:spacing w:after="0"/>
              <w:rPr>
                <w:sz w:val="20"/>
                <w:szCs w:val="20"/>
                <w:color w:val="auto"/>
              </w:rPr>
            </w:pPr>
            <w:r>
              <w:rPr>
                <w:rFonts w:ascii="Arial" w:cs="Arial" w:eastAsia="Arial" w:hAnsi="Arial"/>
                <w:sz w:val="16"/>
                <w:szCs w:val="16"/>
                <w:b w:val="1"/>
                <w:bCs w:val="1"/>
                <w:color w:val="FFFFFF"/>
              </w:rPr>
              <w:t>1Q23</w:t>
            </w:r>
          </w:p>
        </w:tc>
        <w:tc>
          <w:tcPr>
            <w:tcW w:w="880" w:type="dxa"/>
            <w:vAlign w:val="bottom"/>
            <w:shd w:val="clear" w:color="auto" w:fill="083566"/>
          </w:tcPr>
          <w:p>
            <w:pPr>
              <w:jc w:val="right"/>
              <w:ind w:right="299"/>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243"/>
        </w:trPr>
        <w:tc>
          <w:tcPr>
            <w:tcW w:w="2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GAAP Financial Measures</w:t>
            </w:r>
          </w:p>
        </w:tc>
        <w:tc>
          <w:tcPr>
            <w:tcW w:w="8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960" w:type="dxa"/>
            <w:vAlign w:val="bottom"/>
            <w:shd w:val="clear" w:color="auto" w:fill="D5DCE4"/>
          </w:tcPr>
          <w:p>
            <w:pPr>
              <w:spacing w:after="0"/>
              <w:rPr>
                <w:sz w:val="21"/>
                <w:szCs w:val="21"/>
                <w:color w:val="auto"/>
              </w:rPr>
            </w:pPr>
          </w:p>
        </w:tc>
        <w:tc>
          <w:tcPr>
            <w:tcW w:w="90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ind w:left="20"/>
              <w:spacing w:after="0"/>
              <w:rPr>
                <w:sz w:val="20"/>
                <w:szCs w:val="20"/>
                <w:color w:val="auto"/>
              </w:rPr>
            </w:pPr>
            <w:r>
              <w:rPr>
                <w:rFonts w:ascii="Arial" w:cs="Arial" w:eastAsia="Arial" w:hAnsi="Arial"/>
                <w:sz w:val="16"/>
                <w:szCs w:val="16"/>
                <w:color w:val="auto"/>
              </w:rPr>
              <w:t>Rates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462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363</w:t>
            </w:r>
          </w:p>
        </w:tc>
        <w:tc>
          <w:tcPr>
            <w:tcW w:w="880" w:type="dxa"/>
            <w:vAlign w:val="bottom"/>
          </w:tcPr>
          <w:p>
            <w:pPr>
              <w:jc w:val="right"/>
              <w:spacing w:after="0"/>
              <w:rPr>
                <w:sz w:val="20"/>
                <w:szCs w:val="20"/>
                <w:color w:val="auto"/>
              </w:rPr>
            </w:pPr>
            <w:r>
              <w:rPr>
                <w:rFonts w:ascii="Arial" w:cs="Arial" w:eastAsia="Arial" w:hAnsi="Arial"/>
                <w:sz w:val="16"/>
                <w:szCs w:val="16"/>
                <w:color w:val="auto"/>
              </w:rPr>
              <w:t>27.3 %</w:t>
            </w:r>
          </w:p>
        </w:tc>
        <w:tc>
          <w:tcPr>
            <w:tcW w:w="0" w:type="dxa"/>
            <w:vAlign w:val="bottom"/>
          </w:tcPr>
          <w:p>
            <w:pPr>
              <w:spacing w:after="0"/>
              <w:rPr>
                <w:sz w:val="1"/>
                <w:szCs w:val="1"/>
                <w:color w:val="auto"/>
              </w:rPr>
            </w:pPr>
          </w:p>
        </w:tc>
      </w:tr>
      <w:tr>
        <w:trPr>
          <w:trHeight w:val="235"/>
        </w:trPr>
        <w:tc>
          <w:tcPr>
            <w:tcW w:w="174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408,739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329,249</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24.1 %</w:t>
            </w:r>
          </w:p>
        </w:tc>
        <w:tc>
          <w:tcPr>
            <w:tcW w:w="560" w:type="dxa"/>
            <w:vAlign w:val="bottom"/>
          </w:tcPr>
          <w:p>
            <w:pPr>
              <w:jc w:val="right"/>
              <w:spacing w:after="0"/>
              <w:rPr>
                <w:sz w:val="20"/>
                <w:szCs w:val="20"/>
                <w:color w:val="auto"/>
              </w:rPr>
            </w:pPr>
            <w:r>
              <w:rPr>
                <w:rFonts w:ascii="Arial" w:cs="Arial" w:eastAsia="Arial" w:hAnsi="Arial"/>
                <w:sz w:val="16"/>
                <w:szCs w:val="16"/>
                <w:color w:val="auto"/>
              </w:rPr>
              <w:t>23.8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799</w:t>
            </w:r>
          </w:p>
        </w:tc>
        <w:tc>
          <w:tcPr>
            <w:tcW w:w="220" w:type="dxa"/>
            <w:vAlign w:val="bottom"/>
          </w:tcPr>
          <w:p>
            <w:pPr>
              <w:spacing w:after="0"/>
              <w:rPr>
                <w:sz w:val="20"/>
                <w:szCs w:val="20"/>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509</w:t>
            </w:r>
          </w:p>
        </w:tc>
        <w:tc>
          <w:tcPr>
            <w:tcW w:w="880" w:type="dxa"/>
            <w:vAlign w:val="bottom"/>
          </w:tcPr>
          <w:p>
            <w:pPr>
              <w:jc w:val="right"/>
              <w:spacing w:after="0"/>
              <w:rPr>
                <w:sz w:val="20"/>
                <w:szCs w:val="20"/>
                <w:color w:val="auto"/>
              </w:rPr>
            </w:pPr>
            <w:r>
              <w:rPr>
                <w:rFonts w:ascii="Arial" w:cs="Arial" w:eastAsia="Arial" w:hAnsi="Arial"/>
                <w:sz w:val="16"/>
                <w:szCs w:val="16"/>
                <w:color w:val="auto"/>
              </w:rPr>
              <w:t>57.1 %</w:t>
            </w:r>
          </w:p>
        </w:tc>
        <w:tc>
          <w:tcPr>
            <w:tcW w:w="0" w:type="dxa"/>
            <w:vAlign w:val="bottom"/>
          </w:tcPr>
          <w:p>
            <w:pPr>
              <w:spacing w:after="0"/>
              <w:rPr>
                <w:sz w:val="1"/>
                <w:szCs w:val="1"/>
                <w:color w:val="auto"/>
              </w:rPr>
            </w:pPr>
          </w:p>
        </w:tc>
      </w:tr>
      <w:tr>
        <w:trPr>
          <w:trHeight w:val="244"/>
        </w:trPr>
        <w:tc>
          <w:tcPr>
            <w:tcW w:w="1740" w:type="dxa"/>
            <w:vAlign w:val="bottom"/>
          </w:tcPr>
          <w:p>
            <w:pPr>
              <w:ind w:left="140"/>
              <w:spacing w:after="0"/>
              <w:rPr>
                <w:sz w:val="20"/>
                <w:szCs w:val="20"/>
                <w:color w:val="auto"/>
              </w:rPr>
            </w:pPr>
            <w:r>
              <w:rPr>
                <w:rFonts w:ascii="Arial" w:cs="Arial" w:eastAsia="Arial" w:hAnsi="Arial"/>
                <w:sz w:val="16"/>
                <w:szCs w:val="16"/>
                <w:color w:val="auto"/>
              </w:rPr>
              <w:t>Rates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214,093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170,505</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25.6 %</w:t>
            </w:r>
          </w:p>
        </w:tc>
        <w:tc>
          <w:tcPr>
            <w:tcW w:w="560" w:type="dxa"/>
            <w:vAlign w:val="bottom"/>
          </w:tcPr>
          <w:p>
            <w:pPr>
              <w:jc w:val="right"/>
              <w:spacing w:after="0"/>
              <w:rPr>
                <w:sz w:val="20"/>
                <w:szCs w:val="20"/>
                <w:color w:val="auto"/>
              </w:rPr>
            </w:pPr>
            <w:r>
              <w:rPr>
                <w:rFonts w:ascii="Arial" w:cs="Arial" w:eastAsia="Arial" w:hAnsi="Arial"/>
                <w:sz w:val="16"/>
                <w:szCs w:val="16"/>
                <w:color w:val="auto"/>
              </w:rPr>
              <w:t>25.3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6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6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1,261</w:t>
            </w:r>
          </w:p>
        </w:tc>
        <w:tc>
          <w:tcPr>
            <w:tcW w:w="220" w:type="dxa"/>
            <w:vAlign w:val="bottom"/>
            <w:tcBorders>
              <w:bottom w:val="single" w:sz="8" w:color="083566"/>
            </w:tcBorders>
            <w:shd w:val="clear" w:color="auto" w:fill="D5DCE4"/>
          </w:tcPr>
          <w:p>
            <w:pPr>
              <w:spacing w:after="0"/>
              <w:rPr>
                <w:sz w:val="21"/>
                <w:szCs w:val="21"/>
                <w:color w:val="auto"/>
              </w:rPr>
            </w:pPr>
          </w:p>
        </w:tc>
        <w:tc>
          <w:tcPr>
            <w:tcW w:w="78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871</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44.7 %</w:t>
            </w:r>
          </w:p>
        </w:tc>
        <w:tc>
          <w:tcPr>
            <w:tcW w:w="0" w:type="dxa"/>
            <w:vAlign w:val="bottom"/>
          </w:tcPr>
          <w:p>
            <w:pPr>
              <w:spacing w:after="0"/>
              <w:rPr>
                <w:sz w:val="1"/>
                <w:szCs w:val="1"/>
                <w:color w:val="auto"/>
              </w:rPr>
            </w:pPr>
          </w:p>
        </w:tc>
      </w:tr>
      <w:tr>
        <w:trPr>
          <w:trHeight w:val="228"/>
        </w:trPr>
        <w:tc>
          <w:tcPr>
            <w:tcW w:w="1740" w:type="dxa"/>
            <w:vAlign w:val="bottom"/>
          </w:tcPr>
          <w:p>
            <w:pPr>
              <w:ind w:left="140"/>
              <w:spacing w:after="0"/>
              <w:rPr>
                <w:sz w:val="20"/>
                <w:szCs w:val="20"/>
                <w:color w:val="auto"/>
              </w:rPr>
            </w:pPr>
            <w:r>
              <w:rPr>
                <w:rFonts w:ascii="Arial" w:cs="Arial" w:eastAsia="Arial" w:hAnsi="Arial"/>
                <w:sz w:val="16"/>
                <w:szCs w:val="16"/>
                <w:color w:val="auto"/>
              </w:rPr>
              <w:t>Credit</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115,839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89,017</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30.1 %</w:t>
            </w:r>
          </w:p>
        </w:tc>
        <w:tc>
          <w:tcPr>
            <w:tcW w:w="560" w:type="dxa"/>
            <w:vAlign w:val="bottom"/>
          </w:tcPr>
          <w:p>
            <w:pPr>
              <w:jc w:val="right"/>
              <w:spacing w:after="0"/>
              <w:rPr>
                <w:sz w:val="20"/>
                <w:szCs w:val="20"/>
                <w:color w:val="auto"/>
              </w:rPr>
            </w:pPr>
            <w:r>
              <w:rPr>
                <w:rFonts w:ascii="Arial" w:cs="Arial" w:eastAsia="Arial" w:hAnsi="Arial"/>
                <w:sz w:val="16"/>
                <w:szCs w:val="16"/>
                <w:color w:val="auto"/>
              </w:rPr>
              <w:t>29.8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6"/>
                <w:szCs w:val="16"/>
                <w:color w:val="auto"/>
              </w:rPr>
              <w:t>Credit</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9"/>
                <w:szCs w:val="19"/>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11</w:t>
            </w:r>
          </w:p>
        </w:tc>
        <w:tc>
          <w:tcPr>
            <w:tcW w:w="880" w:type="dxa"/>
            <w:vAlign w:val="bottom"/>
          </w:tcPr>
          <w:p>
            <w:pPr>
              <w:jc w:val="right"/>
              <w:spacing w:after="0"/>
              <w:rPr>
                <w:sz w:val="20"/>
                <w:szCs w:val="20"/>
                <w:color w:val="auto"/>
              </w:rPr>
            </w:pPr>
            <w:r>
              <w:rPr>
                <w:rFonts w:ascii="Arial" w:cs="Arial" w:eastAsia="Arial" w:hAnsi="Arial"/>
                <w:sz w:val="16"/>
                <w:szCs w:val="16"/>
                <w:color w:val="auto"/>
              </w:rPr>
              <w:t>51.5 %</w:t>
            </w:r>
          </w:p>
        </w:tc>
        <w:tc>
          <w:tcPr>
            <w:tcW w:w="0" w:type="dxa"/>
            <w:vAlign w:val="bottom"/>
          </w:tcPr>
          <w:p>
            <w:pPr>
              <w:spacing w:after="0"/>
              <w:rPr>
                <w:sz w:val="1"/>
                <w:szCs w:val="1"/>
                <w:color w:val="auto"/>
              </w:rPr>
            </w:pPr>
          </w:p>
        </w:tc>
      </w:tr>
      <w:tr>
        <w:trPr>
          <w:trHeight w:val="251"/>
        </w:trPr>
        <w:tc>
          <w:tcPr>
            <w:tcW w:w="1740" w:type="dxa"/>
            <w:vAlign w:val="bottom"/>
          </w:tcPr>
          <w:p>
            <w:pPr>
              <w:ind w:left="140"/>
              <w:spacing w:after="0"/>
              <w:rPr>
                <w:sz w:val="20"/>
                <w:szCs w:val="20"/>
                <w:color w:val="auto"/>
              </w:rPr>
            </w:pPr>
            <w:r>
              <w:rPr>
                <w:rFonts w:ascii="Arial" w:cs="Arial" w:eastAsia="Arial" w:hAnsi="Arial"/>
                <w:sz w:val="16"/>
                <w:szCs w:val="16"/>
                <w:color w:val="auto"/>
              </w:rPr>
              <w:t>Equities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27,050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26,203</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3.2 %</w:t>
            </w:r>
          </w:p>
        </w:tc>
        <w:tc>
          <w:tcPr>
            <w:tcW w:w="560" w:type="dxa"/>
            <w:vAlign w:val="bottom"/>
          </w:tcPr>
          <w:p>
            <w:pPr>
              <w:jc w:val="right"/>
              <w:spacing w:after="0"/>
              <w:rPr>
                <w:sz w:val="20"/>
                <w:szCs w:val="20"/>
                <w:color w:val="auto"/>
              </w:rPr>
            </w:pPr>
            <w:r>
              <w:rPr>
                <w:rFonts w:ascii="Arial" w:cs="Arial" w:eastAsia="Arial" w:hAnsi="Arial"/>
                <w:sz w:val="16"/>
                <w:szCs w:val="16"/>
                <w:color w:val="auto"/>
              </w:rPr>
              <w:t>2.8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21"/>
                <w:szCs w:val="21"/>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21</w:t>
            </w:r>
          </w:p>
        </w:tc>
        <w:tc>
          <w:tcPr>
            <w:tcW w:w="88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44"/>
        </w:trPr>
        <w:tc>
          <w:tcPr>
            <w:tcW w:w="1740" w:type="dxa"/>
            <w:vAlign w:val="bottom"/>
          </w:tcPr>
          <w:p>
            <w:pPr>
              <w:ind w:left="140"/>
              <w:spacing w:after="0"/>
              <w:rPr>
                <w:sz w:val="20"/>
                <w:szCs w:val="20"/>
                <w:color w:val="auto"/>
              </w:rPr>
            </w:pPr>
            <w:r>
              <w:rPr>
                <w:rFonts w:ascii="Arial" w:cs="Arial" w:eastAsia="Arial" w:hAnsi="Arial"/>
                <w:sz w:val="16"/>
                <w:szCs w:val="16"/>
                <w:color w:val="auto"/>
              </w:rPr>
              <w:t>Money Markets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16,791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14,807</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13.4 %</w:t>
            </w:r>
          </w:p>
        </w:tc>
        <w:tc>
          <w:tcPr>
            <w:tcW w:w="560" w:type="dxa"/>
            <w:vAlign w:val="bottom"/>
          </w:tcPr>
          <w:p>
            <w:pPr>
              <w:jc w:val="right"/>
              <w:spacing w:after="0"/>
              <w:rPr>
                <w:sz w:val="20"/>
                <w:szCs w:val="20"/>
                <w:color w:val="auto"/>
              </w:rPr>
            </w:pPr>
            <w:r>
              <w:rPr>
                <w:rFonts w:ascii="Arial" w:cs="Arial" w:eastAsia="Arial" w:hAnsi="Arial"/>
                <w:sz w:val="16"/>
                <w:szCs w:val="16"/>
                <w:color w:val="auto"/>
              </w:rPr>
              <w:t>13.1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6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6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35</w:t>
            </w:r>
          </w:p>
        </w:tc>
        <w:tc>
          <w:tcPr>
            <w:tcW w:w="220" w:type="dxa"/>
            <w:vAlign w:val="bottom"/>
            <w:tcBorders>
              <w:bottom w:val="single" w:sz="8" w:color="083566"/>
            </w:tcBorders>
            <w:shd w:val="clear" w:color="auto" w:fill="D5DCE4"/>
          </w:tcPr>
          <w:p>
            <w:pPr>
              <w:spacing w:after="0"/>
              <w:rPr>
                <w:sz w:val="21"/>
                <w:szCs w:val="21"/>
                <w:color w:val="auto"/>
              </w:rPr>
            </w:pPr>
          </w:p>
        </w:tc>
        <w:tc>
          <w:tcPr>
            <w:tcW w:w="78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32</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8.1 %</w:t>
            </w:r>
          </w:p>
        </w:tc>
        <w:tc>
          <w:tcPr>
            <w:tcW w:w="0" w:type="dxa"/>
            <w:vAlign w:val="bottom"/>
          </w:tcPr>
          <w:p>
            <w:pPr>
              <w:spacing w:after="0"/>
              <w:rPr>
                <w:sz w:val="1"/>
                <w:szCs w:val="1"/>
                <w:color w:val="auto"/>
              </w:rPr>
            </w:pPr>
          </w:p>
        </w:tc>
      </w:tr>
      <w:tr>
        <w:trPr>
          <w:trHeight w:val="228"/>
        </w:trPr>
        <w:tc>
          <w:tcPr>
            <w:tcW w:w="1740" w:type="dxa"/>
            <w:vAlign w:val="bottom"/>
          </w:tcPr>
          <w:p>
            <w:pPr>
              <w:ind w:left="140"/>
              <w:spacing w:after="0"/>
              <w:rPr>
                <w:sz w:val="20"/>
                <w:szCs w:val="20"/>
                <w:color w:val="auto"/>
              </w:rPr>
            </w:pPr>
            <w:r>
              <w:rPr>
                <w:rFonts w:ascii="Arial" w:cs="Arial" w:eastAsia="Arial" w:hAnsi="Arial"/>
                <w:sz w:val="16"/>
                <w:szCs w:val="16"/>
                <w:color w:val="auto"/>
              </w:rPr>
              <w:t>Market Data</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29,022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22,434</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29.4 %</w:t>
            </w:r>
          </w:p>
        </w:tc>
        <w:tc>
          <w:tcPr>
            <w:tcW w:w="560" w:type="dxa"/>
            <w:vAlign w:val="bottom"/>
          </w:tcPr>
          <w:p>
            <w:pPr>
              <w:jc w:val="right"/>
              <w:spacing w:after="0"/>
              <w:rPr>
                <w:sz w:val="20"/>
                <w:szCs w:val="20"/>
                <w:color w:val="auto"/>
              </w:rPr>
            </w:pPr>
            <w:r>
              <w:rPr>
                <w:rFonts w:ascii="Arial" w:cs="Arial" w:eastAsia="Arial" w:hAnsi="Arial"/>
                <w:sz w:val="16"/>
                <w:szCs w:val="16"/>
                <w:color w:val="auto"/>
              </w:rPr>
              <w:t>28.8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6"/>
                <w:szCs w:val="16"/>
                <w:color w:val="auto"/>
              </w:rPr>
              <w:t>Equities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9"/>
                <w:szCs w:val="19"/>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10</w:t>
            </w:r>
          </w:p>
        </w:tc>
        <w:tc>
          <w:tcPr>
            <w:tcW w:w="880" w:type="dxa"/>
            <w:vAlign w:val="bottom"/>
          </w:tcPr>
          <w:p>
            <w:pPr>
              <w:jc w:val="right"/>
              <w:spacing w:after="0"/>
              <w:rPr>
                <w:sz w:val="20"/>
                <w:szCs w:val="20"/>
                <w:color w:val="auto"/>
              </w:rPr>
            </w:pPr>
            <w:r>
              <w:rPr>
                <w:rFonts w:ascii="Arial" w:cs="Arial" w:eastAsia="Arial" w:hAnsi="Arial"/>
                <w:sz w:val="16"/>
                <w:szCs w:val="16"/>
                <w:color w:val="auto"/>
              </w:rPr>
              <w:t>20.2 %</w:t>
            </w:r>
          </w:p>
        </w:tc>
        <w:tc>
          <w:tcPr>
            <w:tcW w:w="0" w:type="dxa"/>
            <w:vAlign w:val="bottom"/>
          </w:tcPr>
          <w:p>
            <w:pPr>
              <w:spacing w:after="0"/>
              <w:rPr>
                <w:sz w:val="1"/>
                <w:szCs w:val="1"/>
                <w:color w:val="auto"/>
              </w:rPr>
            </w:pPr>
          </w:p>
        </w:tc>
      </w:tr>
      <w:tr>
        <w:trPr>
          <w:trHeight w:val="251"/>
        </w:trPr>
        <w:tc>
          <w:tcPr>
            <w:tcW w:w="1740" w:type="dxa"/>
            <w:vAlign w:val="bottom"/>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5,944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6,283</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(5.4) %</w:t>
            </w:r>
          </w:p>
        </w:tc>
        <w:tc>
          <w:tcPr>
            <w:tcW w:w="960" w:type="dxa"/>
            <w:vAlign w:val="bottom"/>
            <w:gridSpan w:val="2"/>
          </w:tcPr>
          <w:p>
            <w:pPr>
              <w:jc w:val="right"/>
              <w:ind w:right="119"/>
              <w:spacing w:after="0"/>
              <w:rPr>
                <w:sz w:val="20"/>
                <w:szCs w:val="20"/>
                <w:color w:val="auto"/>
              </w:rPr>
            </w:pPr>
            <w:r>
              <w:rPr>
                <w:rFonts w:ascii="Arial" w:cs="Arial" w:eastAsia="Arial" w:hAnsi="Arial"/>
                <w:sz w:val="16"/>
                <w:szCs w:val="16"/>
                <w:color w:val="auto"/>
              </w:rPr>
              <w:t>(5.4) %</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1"/>
                <w:szCs w:val="21"/>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9</w:t>
            </w:r>
          </w:p>
        </w:tc>
        <w:tc>
          <w:tcPr>
            <w:tcW w:w="880" w:type="dxa"/>
            <w:vAlign w:val="bottom"/>
          </w:tcPr>
          <w:p>
            <w:pPr>
              <w:jc w:val="right"/>
              <w:spacing w:after="0"/>
              <w:rPr>
                <w:sz w:val="20"/>
                <w:szCs w:val="20"/>
                <w:color w:val="auto"/>
              </w:rPr>
            </w:pPr>
            <w:r>
              <w:rPr>
                <w:rFonts w:ascii="Arial" w:cs="Arial" w:eastAsia="Arial" w:hAnsi="Arial"/>
                <w:sz w:val="16"/>
                <w:szCs w:val="16"/>
                <w:color w:val="auto"/>
              </w:rPr>
              <w:t>64.1 %</w:t>
            </w:r>
          </w:p>
        </w:tc>
        <w:tc>
          <w:tcPr>
            <w:tcW w:w="0" w:type="dxa"/>
            <w:vAlign w:val="bottom"/>
          </w:tcPr>
          <w:p>
            <w:pPr>
              <w:spacing w:after="0"/>
              <w:rPr>
                <w:sz w:val="1"/>
                <w:szCs w:val="1"/>
                <w:color w:val="auto"/>
              </w:rPr>
            </w:pPr>
          </w:p>
        </w:tc>
      </w:tr>
      <w:tr>
        <w:trPr>
          <w:trHeight w:val="244"/>
        </w:trPr>
        <w:tc>
          <w:tcPr>
            <w:tcW w:w="17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143,382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102,193</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40.3 %</w:t>
            </w: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6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27</w:t>
            </w:r>
          </w:p>
        </w:tc>
        <w:tc>
          <w:tcPr>
            <w:tcW w:w="220" w:type="dxa"/>
            <w:vAlign w:val="bottom"/>
            <w:tcBorders>
              <w:bottom w:val="single" w:sz="8" w:color="083566"/>
            </w:tcBorders>
            <w:shd w:val="clear" w:color="auto" w:fill="D5DCE4"/>
          </w:tcPr>
          <w:p>
            <w:pPr>
              <w:spacing w:after="0"/>
              <w:rPr>
                <w:sz w:val="21"/>
                <w:szCs w:val="21"/>
                <w:color w:val="auto"/>
              </w:rPr>
            </w:pPr>
          </w:p>
        </w:tc>
        <w:tc>
          <w:tcPr>
            <w:tcW w:w="78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20</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40.5 %</w:t>
            </w:r>
          </w:p>
        </w:tc>
        <w:tc>
          <w:tcPr>
            <w:tcW w:w="0" w:type="dxa"/>
            <w:vAlign w:val="bottom"/>
          </w:tcPr>
          <w:p>
            <w:pPr>
              <w:spacing w:after="0"/>
              <w:rPr>
                <w:sz w:val="1"/>
                <w:szCs w:val="1"/>
                <w:color w:val="auto"/>
              </w:rPr>
            </w:pPr>
          </w:p>
        </w:tc>
      </w:tr>
      <w:tr>
        <w:trPr>
          <w:trHeight w:val="188"/>
        </w:trPr>
        <w:tc>
          <w:tcPr>
            <w:tcW w:w="1740" w:type="dxa"/>
            <w:vAlign w:val="bottom"/>
          </w:tcPr>
          <w:p>
            <w:pPr>
              <w:ind w:left="20"/>
              <w:spacing w:after="0"/>
              <w:rPr>
                <w:sz w:val="20"/>
                <w:szCs w:val="20"/>
                <w:color w:val="auto"/>
              </w:rPr>
            </w:pPr>
            <w:r>
              <w:rPr>
                <w:rFonts w:ascii="Arial" w:cs="Arial" w:eastAsia="Arial" w:hAnsi="Arial"/>
                <w:sz w:val="16"/>
                <w:szCs w:val="16"/>
                <w:color w:val="auto"/>
              </w:rPr>
              <w:t>Net income attributable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2"/>
            <w:vMerge w:val="restart"/>
          </w:tcPr>
          <w:p>
            <w:pPr>
              <w:ind w:left="20"/>
              <w:spacing w:after="0"/>
              <w:rPr>
                <w:sz w:val="20"/>
                <w:szCs w:val="20"/>
                <w:color w:val="auto"/>
              </w:rPr>
            </w:pPr>
            <w:r>
              <w:rPr>
                <w:rFonts w:ascii="Arial" w:cs="Arial" w:eastAsia="Arial" w:hAnsi="Arial"/>
                <w:sz w:val="16"/>
                <w:szCs w:val="16"/>
                <w:color w:val="auto"/>
              </w:rPr>
              <w:t>Money Markets Cash</w:t>
            </w:r>
          </w:p>
        </w:tc>
        <w:tc>
          <w:tcPr>
            <w:tcW w:w="2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577</w:t>
            </w:r>
          </w:p>
        </w:tc>
        <w:tc>
          <w:tcPr>
            <w:tcW w:w="220" w:type="dxa"/>
            <w:vAlign w:val="bottom"/>
          </w:tcPr>
          <w:p>
            <w:pPr>
              <w:spacing w:after="0"/>
              <w:rPr>
                <w:sz w:val="16"/>
                <w:szCs w:val="16"/>
                <w:color w:val="auto"/>
              </w:rPr>
            </w:pPr>
          </w:p>
        </w:tc>
        <w:tc>
          <w:tcPr>
            <w:tcW w:w="780" w:type="dxa"/>
            <w:vAlign w:val="bottom"/>
            <w:vMerge w:val="restart"/>
          </w:tcPr>
          <w:p>
            <w:pPr>
              <w:jc w:val="right"/>
              <w:ind w:right="179"/>
              <w:spacing w:after="0"/>
              <w:rPr>
                <w:sz w:val="20"/>
                <w:szCs w:val="20"/>
                <w:color w:val="auto"/>
              </w:rPr>
            </w:pPr>
            <w:r>
              <w:rPr>
                <w:rFonts w:ascii="Arial" w:cs="Arial" w:eastAsia="Arial" w:hAnsi="Arial"/>
                <w:sz w:val="16"/>
                <w:szCs w:val="16"/>
                <w:color w:val="auto"/>
              </w:rPr>
              <w:t>442</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30.3 %</w:t>
            </w:r>
          </w:p>
        </w:tc>
        <w:tc>
          <w:tcPr>
            <w:tcW w:w="0" w:type="dxa"/>
            <w:vAlign w:val="bottom"/>
          </w:tcPr>
          <w:p>
            <w:pPr>
              <w:spacing w:after="0"/>
              <w:rPr>
                <w:sz w:val="1"/>
                <w:szCs w:val="1"/>
                <w:color w:val="auto"/>
              </w:rPr>
            </w:pPr>
          </w:p>
        </w:tc>
      </w:tr>
      <w:tr>
        <w:trPr>
          <w:trHeight w:val="114"/>
        </w:trPr>
        <w:tc>
          <w:tcPr>
            <w:tcW w:w="1740" w:type="dxa"/>
            <w:vAlign w:val="bottom"/>
            <w:vMerge w:val="restart"/>
          </w:tcPr>
          <w:p>
            <w:pPr>
              <w:ind w:left="20"/>
              <w:spacing w:after="0"/>
              <w:rPr>
                <w:sz w:val="20"/>
                <w:szCs w:val="20"/>
                <w:color w:val="auto"/>
              </w:rPr>
            </w:pPr>
            <w:r>
              <w:rPr>
                <w:rFonts w:ascii="Arial" w:cs="Arial" w:eastAsia="Arial" w:hAnsi="Arial"/>
                <w:sz w:val="16"/>
                <w:szCs w:val="16"/>
                <w:color w:val="auto"/>
              </w:rPr>
              <w:t>to Tradeweb Markets</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7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9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0" w:type="dxa"/>
            <w:vAlign w:val="bottom"/>
            <w:shd w:val="clear" w:color="auto" w:fill="D5DCE4"/>
          </w:tcPr>
          <w:p>
            <w:pPr>
              <w:spacing w:after="0"/>
              <w:rPr>
                <w:sz w:val="7"/>
                <w:szCs w:val="7"/>
                <w:color w:val="auto"/>
              </w:rPr>
            </w:pPr>
          </w:p>
        </w:tc>
        <w:tc>
          <w:tcPr>
            <w:tcW w:w="220" w:type="dxa"/>
            <w:vAlign w:val="bottom"/>
            <w:shd w:val="clear" w:color="auto" w:fill="D5DCE4"/>
          </w:tcPr>
          <w:p>
            <w:pPr>
              <w:spacing w:after="0"/>
              <w:rPr>
                <w:sz w:val="7"/>
                <w:szCs w:val="7"/>
                <w:color w:val="auto"/>
              </w:rPr>
            </w:pPr>
          </w:p>
        </w:tc>
        <w:tc>
          <w:tcPr>
            <w:tcW w:w="600" w:type="dxa"/>
            <w:vAlign w:val="bottom"/>
            <w:shd w:val="clear" w:color="auto" w:fill="D5DCE4"/>
          </w:tcPr>
          <w:p>
            <w:pPr>
              <w:spacing w:after="0"/>
              <w:rPr>
                <w:sz w:val="7"/>
                <w:szCs w:val="7"/>
                <w:color w:val="auto"/>
              </w:rPr>
            </w:pPr>
          </w:p>
        </w:tc>
        <w:tc>
          <w:tcPr>
            <w:tcW w:w="220" w:type="dxa"/>
            <w:vAlign w:val="bottom"/>
            <w:shd w:val="clear" w:color="auto" w:fill="D5DCE4"/>
          </w:tcPr>
          <w:p>
            <w:pPr>
              <w:spacing w:after="0"/>
              <w:rPr>
                <w:sz w:val="7"/>
                <w:szCs w:val="7"/>
                <w:color w:val="auto"/>
              </w:rPr>
            </w:pPr>
          </w:p>
        </w:tc>
        <w:tc>
          <w:tcPr>
            <w:tcW w:w="780" w:type="dxa"/>
            <w:vAlign w:val="bottom"/>
            <w:shd w:val="clear" w:color="auto" w:fill="D5DCE4"/>
          </w:tcPr>
          <w:p>
            <w:pPr>
              <w:spacing w:after="0"/>
              <w:rPr>
                <w:sz w:val="7"/>
                <w:szCs w:val="7"/>
                <w:color w:val="auto"/>
              </w:rPr>
            </w:pPr>
          </w:p>
        </w:tc>
        <w:tc>
          <w:tcPr>
            <w:tcW w:w="880" w:type="dxa"/>
            <w:vAlign w:val="bottom"/>
            <w:shd w:val="clear" w:color="auto" w:fill="D5DCE4"/>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Inc. </w:t>
            </w:r>
            <w:r>
              <w:rPr>
                <w:rFonts w:ascii="Arial" w:cs="Arial" w:eastAsia="Arial" w:hAnsi="Arial"/>
                <w:sz w:val="21"/>
                <w:szCs w:val="21"/>
                <w:color w:val="auto"/>
                <w:vertAlign w:val="superscript"/>
              </w:rPr>
              <w:t>(2)</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126,142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87,856</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43.6 %</w:t>
            </w: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Borders>
              <w:bottom w:val="single" w:sz="8" w:color="083566"/>
            </w:tcBorders>
          </w:tcPr>
          <w:p>
            <w:pPr>
              <w:spacing w:after="0"/>
              <w:rPr>
                <w:sz w:val="20"/>
                <w:szCs w:val="20"/>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0"/>
                <w:szCs w:val="20"/>
                <w:color w:val="auto"/>
              </w:rPr>
            </w:pPr>
          </w:p>
        </w:tc>
        <w:tc>
          <w:tcPr>
            <w:tcW w:w="6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577</w:t>
            </w:r>
          </w:p>
        </w:tc>
        <w:tc>
          <w:tcPr>
            <w:tcW w:w="220" w:type="dxa"/>
            <w:vAlign w:val="bottom"/>
            <w:tcBorders>
              <w:bottom w:val="single" w:sz="8" w:color="083566"/>
            </w:tcBorders>
            <w:shd w:val="clear" w:color="auto" w:fill="D5DCE4"/>
          </w:tcPr>
          <w:p>
            <w:pPr>
              <w:spacing w:after="0"/>
              <w:rPr>
                <w:sz w:val="20"/>
                <w:szCs w:val="20"/>
                <w:color w:val="auto"/>
              </w:rPr>
            </w:pPr>
          </w:p>
        </w:tc>
        <w:tc>
          <w:tcPr>
            <w:tcW w:w="78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442</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30.3 %</w:t>
            </w:r>
          </w:p>
        </w:tc>
        <w:tc>
          <w:tcPr>
            <w:tcW w:w="0" w:type="dxa"/>
            <w:vAlign w:val="bottom"/>
          </w:tcPr>
          <w:p>
            <w:pPr>
              <w:spacing w:after="0"/>
              <w:rPr>
                <w:sz w:val="1"/>
                <w:szCs w:val="1"/>
                <w:color w:val="auto"/>
              </w:rPr>
            </w:pPr>
          </w:p>
        </w:tc>
      </w:tr>
      <w:tr>
        <w:trPr>
          <w:trHeight w:val="236"/>
        </w:trPr>
        <w:tc>
          <w:tcPr>
            <w:tcW w:w="174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0.59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0.42</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40.5 %</w:t>
            </w: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1,900</w:t>
            </w:r>
          </w:p>
        </w:tc>
        <w:tc>
          <w:tcPr>
            <w:tcW w:w="220" w:type="dxa"/>
            <w:vAlign w:val="bottom"/>
            <w:shd w:val="clear" w:color="auto" w:fill="D5DC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D5DCE4"/>
          </w:tcPr>
          <w:p>
            <w:pPr>
              <w:jc w:val="right"/>
              <w:ind w:right="179"/>
              <w:spacing w:after="0"/>
              <w:rPr>
                <w:sz w:val="20"/>
                <w:szCs w:val="20"/>
                <w:color w:val="auto"/>
              </w:rPr>
            </w:pPr>
            <w:r>
              <w:rPr>
                <w:rFonts w:ascii="Arial" w:cs="Arial" w:eastAsia="Arial" w:hAnsi="Arial"/>
                <w:sz w:val="16"/>
                <w:szCs w:val="16"/>
                <w:b w:val="1"/>
                <w:bCs w:val="1"/>
                <w:color w:val="auto"/>
              </w:rPr>
              <w:t>1,366</w:t>
            </w:r>
          </w:p>
        </w:tc>
        <w:tc>
          <w:tcPr>
            <w:tcW w:w="8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39.1 %</w:t>
            </w:r>
          </w:p>
        </w:tc>
        <w:tc>
          <w:tcPr>
            <w:tcW w:w="0" w:type="dxa"/>
            <w:vAlign w:val="bottom"/>
          </w:tcPr>
          <w:p>
            <w:pPr>
              <w:spacing w:after="0"/>
              <w:rPr>
                <w:sz w:val="1"/>
                <w:szCs w:val="1"/>
                <w:color w:val="auto"/>
              </w:rPr>
            </w:pPr>
          </w:p>
        </w:tc>
      </w:tr>
      <w:tr>
        <w:trPr>
          <w:trHeight w:val="228"/>
        </w:trPr>
        <w:tc>
          <w:tcPr>
            <w:tcW w:w="1740" w:type="dxa"/>
            <w:vAlign w:val="bottom"/>
          </w:tcPr>
          <w:p>
            <w:pPr>
              <w:ind w:left="20"/>
              <w:spacing w:after="0"/>
              <w:rPr>
                <w:sz w:val="20"/>
                <w:szCs w:val="20"/>
                <w:color w:val="auto"/>
              </w:rPr>
            </w:pPr>
            <w:r>
              <w:rPr>
                <w:rFonts w:ascii="Arial" w:cs="Arial" w:eastAsia="Arial" w:hAnsi="Arial"/>
                <w:sz w:val="16"/>
                <w:szCs w:val="16"/>
                <w:color w:val="auto"/>
              </w:rPr>
              <w:t>Net income margin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35.1 %</w:t>
            </w:r>
          </w:p>
        </w:tc>
        <w:tc>
          <w:tcPr>
            <w:tcW w:w="2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31.0 %</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+404 bps</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73761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37610" cy="15430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Non-GAAP Financial Measures</w:t>
      </w:r>
    </w:p>
    <w:p>
      <w:pPr>
        <w:sectPr>
          <w:pgSz w:w="11900" w:h="16838" w:orient="portrait"/>
          <w:cols w:equalWidth="0" w:num="1">
            <w:col w:w="10840"/>
          </w:cols>
          <w:pgMar w:left="320" w:top="274" w:right="739" w:bottom="1440" w:gutter="0" w:footer="0" w:header="0"/>
          <w:type w:val="continuous"/>
        </w:sectPr>
      </w:pP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1720" w:type="dxa"/>
            <w:vAlign w:val="bottom"/>
          </w:tcPr>
          <w:p>
            <w:pPr>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219,528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172,203</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27.5 %</w:t>
            </w:r>
          </w:p>
        </w:tc>
        <w:tc>
          <w:tcPr>
            <w:tcW w:w="520" w:type="dxa"/>
            <w:vAlign w:val="bottom"/>
          </w:tcPr>
          <w:p>
            <w:pPr>
              <w:ind w:left="160"/>
              <w:spacing w:after="0"/>
              <w:rPr>
                <w:sz w:val="20"/>
                <w:szCs w:val="20"/>
                <w:color w:val="auto"/>
              </w:rPr>
            </w:pPr>
            <w:r>
              <w:rPr>
                <w:rFonts w:ascii="Arial" w:cs="Arial" w:eastAsia="Arial" w:hAnsi="Arial"/>
                <w:sz w:val="16"/>
                <w:szCs w:val="16"/>
                <w:color w:val="auto"/>
              </w:rPr>
              <w:t>28.1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720" w:type="dxa"/>
            <w:vAlign w:val="bottom"/>
          </w:tcPr>
          <w:p>
            <w:pPr>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53.7 %</w:t>
            </w:r>
          </w:p>
        </w:tc>
        <w:tc>
          <w:tcPr>
            <w:tcW w:w="20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52.3 %</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+141 bps</w:t>
            </w:r>
          </w:p>
        </w:tc>
        <w:tc>
          <w:tcPr>
            <w:tcW w:w="820" w:type="dxa"/>
            <w:vAlign w:val="bottom"/>
            <w:gridSpan w:val="2"/>
          </w:tcPr>
          <w:p>
            <w:pPr>
              <w:ind w:left="160"/>
              <w:spacing w:after="0"/>
              <w:rPr>
                <w:sz w:val="20"/>
                <w:szCs w:val="20"/>
                <w:color w:val="auto"/>
              </w:rPr>
            </w:pPr>
            <w:r>
              <w:rPr>
                <w:rFonts w:ascii="Arial" w:cs="Arial" w:eastAsia="Arial" w:hAnsi="Arial"/>
                <w:sz w:val="16"/>
                <w:szCs w:val="16"/>
                <w:color w:val="auto"/>
                <w:w w:val="96"/>
              </w:rPr>
              <w:t>+179 bps</w:t>
            </w: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0"/>
                <w:szCs w:val="20"/>
                <w:color w:val="auto"/>
              </w:rPr>
            </w:pPr>
            <w:r>
              <w:rPr>
                <w:rFonts w:ascii="Arial" w:cs="Arial" w:eastAsia="Arial" w:hAnsi="Arial"/>
                <w:sz w:val="16"/>
                <w:szCs w:val="16"/>
                <w:color w:val="auto"/>
              </w:rPr>
              <w:t xml:space="preserve">Adjusted EBIT </w:t>
            </w:r>
            <w:r>
              <w:rPr>
                <w:rFonts w:ascii="Arial" w:cs="Arial" w:eastAsia="Arial" w:hAnsi="Arial"/>
                <w:sz w:val="21"/>
                <w:szCs w:val="21"/>
                <w:color w:val="auto"/>
                <w:vertAlign w:val="superscript"/>
              </w:rPr>
              <w:t>(1)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204,558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158,416</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29.1 %</w:t>
            </w:r>
          </w:p>
        </w:tc>
        <w:tc>
          <w:tcPr>
            <w:tcW w:w="520" w:type="dxa"/>
            <w:vAlign w:val="bottom"/>
          </w:tcPr>
          <w:p>
            <w:pPr>
              <w:ind w:left="160"/>
              <w:spacing w:after="0"/>
              <w:rPr>
                <w:sz w:val="20"/>
                <w:szCs w:val="20"/>
                <w:color w:val="auto"/>
              </w:rPr>
            </w:pPr>
            <w:r>
              <w:rPr>
                <w:rFonts w:ascii="Arial" w:cs="Arial" w:eastAsia="Arial" w:hAnsi="Arial"/>
                <w:sz w:val="16"/>
                <w:szCs w:val="16"/>
                <w:color w:val="auto"/>
              </w:rPr>
              <w:t>29.8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1720" w:type="dxa"/>
            <w:vAlign w:val="bottom"/>
          </w:tcPr>
          <w:p>
            <w:pPr>
              <w:spacing w:after="0" w:line="163" w:lineRule="exact"/>
              <w:rPr>
                <w:sz w:val="20"/>
                <w:szCs w:val="20"/>
                <w:color w:val="auto"/>
              </w:rPr>
            </w:pPr>
            <w:r>
              <w:rPr>
                <w:rFonts w:ascii="Arial" w:cs="Arial" w:eastAsia="Arial" w:hAnsi="Arial"/>
                <w:sz w:val="16"/>
                <w:szCs w:val="16"/>
                <w:color w:val="auto"/>
              </w:rPr>
              <w:t>Adjusted EBIT margin</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50.0 %</w:t>
            </w:r>
          </w:p>
        </w:tc>
        <w:tc>
          <w:tcPr>
            <w:tcW w:w="200" w:type="dxa"/>
            <w:vAlign w:val="bottom"/>
          </w:tcPr>
          <w:p>
            <w:pPr>
              <w:spacing w:after="0"/>
              <w:rPr>
                <w:sz w:val="14"/>
                <w:szCs w:val="14"/>
                <w:color w:val="auto"/>
              </w:rPr>
            </w:pPr>
          </w:p>
        </w:tc>
        <w:tc>
          <w:tcPr>
            <w:tcW w:w="980" w:type="dxa"/>
            <w:vAlign w:val="bottom"/>
            <w:vMerge w:val="restart"/>
          </w:tcPr>
          <w:p>
            <w:pPr>
              <w:jc w:val="right"/>
              <w:ind w:right="39"/>
              <w:spacing w:after="0"/>
              <w:rPr>
                <w:sz w:val="20"/>
                <w:szCs w:val="20"/>
                <w:color w:val="auto"/>
              </w:rPr>
            </w:pPr>
            <w:r>
              <w:rPr>
                <w:rFonts w:ascii="Arial" w:cs="Arial" w:eastAsia="Arial" w:hAnsi="Arial"/>
                <w:sz w:val="16"/>
                <w:szCs w:val="16"/>
                <w:color w:val="auto"/>
              </w:rPr>
              <w:t>48.1 %</w:t>
            </w:r>
          </w:p>
        </w:tc>
        <w:tc>
          <w:tcPr>
            <w:tcW w:w="920" w:type="dxa"/>
            <w:vAlign w:val="bottom"/>
            <w:vMerge w:val="restart"/>
          </w:tcPr>
          <w:p>
            <w:pPr>
              <w:jc w:val="right"/>
              <w:ind w:right="59"/>
              <w:spacing w:after="0"/>
              <w:rPr>
                <w:sz w:val="20"/>
                <w:szCs w:val="20"/>
                <w:color w:val="auto"/>
              </w:rPr>
            </w:pPr>
            <w:r>
              <w:rPr>
                <w:rFonts w:ascii="Arial" w:cs="Arial" w:eastAsia="Arial" w:hAnsi="Arial"/>
                <w:sz w:val="16"/>
                <w:szCs w:val="16"/>
                <w:color w:val="auto"/>
              </w:rPr>
              <w:t>+193 bps</w:t>
            </w:r>
          </w:p>
        </w:tc>
        <w:tc>
          <w:tcPr>
            <w:tcW w:w="820" w:type="dxa"/>
            <w:vAlign w:val="bottom"/>
            <w:gridSpan w:val="2"/>
            <w:vMerge w:val="restart"/>
          </w:tcPr>
          <w:p>
            <w:pPr>
              <w:ind w:left="160"/>
              <w:spacing w:after="0"/>
              <w:rPr>
                <w:sz w:val="20"/>
                <w:szCs w:val="20"/>
                <w:color w:val="auto"/>
              </w:rPr>
            </w:pPr>
            <w:r>
              <w:rPr>
                <w:rFonts w:ascii="Arial" w:cs="Arial" w:eastAsia="Arial" w:hAnsi="Arial"/>
                <w:sz w:val="16"/>
                <w:szCs w:val="16"/>
                <w:color w:val="auto"/>
                <w:w w:val="96"/>
              </w:rPr>
              <w:t>+231 bps</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1720" w:type="dxa"/>
            <w:vAlign w:val="bottom"/>
          </w:tcPr>
          <w:p>
            <w:pPr>
              <w:spacing w:after="0"/>
              <w:rPr>
                <w:sz w:val="20"/>
                <w:szCs w:val="20"/>
                <w:color w:val="auto"/>
              </w:rPr>
            </w:pPr>
            <w:r>
              <w:rPr>
                <w:rFonts w:ascii="Arial" w:cs="Arial" w:eastAsia="Arial" w:hAnsi="Arial"/>
                <w:sz w:val="16"/>
                <w:szCs w:val="16"/>
                <w:color w:val="auto"/>
                <w:w w:val="99"/>
              </w:rPr>
              <w:t xml:space="preserve">Adjusted Net Income </w:t>
            </w:r>
            <w:r>
              <w:rPr>
                <w:rFonts w:ascii="Arial" w:cs="Arial" w:eastAsia="Arial" w:hAnsi="Arial"/>
                <w:sz w:val="21"/>
                <w:szCs w:val="21"/>
                <w:color w:val="auto"/>
                <w:w w:val="99"/>
                <w:vertAlign w:val="superscript"/>
              </w:rPr>
              <w:t>(1)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167,925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129,035</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30.1 %</w:t>
            </w:r>
          </w:p>
        </w:tc>
        <w:tc>
          <w:tcPr>
            <w:tcW w:w="520" w:type="dxa"/>
            <w:vAlign w:val="bottom"/>
          </w:tcPr>
          <w:p>
            <w:pPr>
              <w:ind w:left="160"/>
              <w:spacing w:after="0"/>
              <w:rPr>
                <w:sz w:val="20"/>
                <w:szCs w:val="20"/>
                <w:color w:val="auto"/>
              </w:rPr>
            </w:pPr>
            <w:r>
              <w:rPr>
                <w:rFonts w:ascii="Arial" w:cs="Arial" w:eastAsia="Arial" w:hAnsi="Arial"/>
                <w:sz w:val="16"/>
                <w:szCs w:val="16"/>
                <w:color w:val="auto"/>
              </w:rPr>
              <w:t>30.8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1720" w:type="dxa"/>
            <w:vAlign w:val="bottom"/>
          </w:tcPr>
          <w:p>
            <w:pPr>
              <w:spacing w:after="0" w:line="163" w:lineRule="exact"/>
              <w:rPr>
                <w:sz w:val="20"/>
                <w:szCs w:val="20"/>
                <w:color w:val="auto"/>
              </w:rPr>
            </w:pPr>
            <w:r>
              <w:rPr>
                <w:rFonts w:ascii="Arial" w:cs="Arial" w:eastAsia="Arial" w:hAnsi="Arial"/>
                <w:sz w:val="16"/>
                <w:szCs w:val="16"/>
                <w:color w:val="auto"/>
              </w:rPr>
              <w:t>Adjusted Diluted EPS</w:t>
            </w:r>
          </w:p>
        </w:tc>
        <w:tc>
          <w:tcPr>
            <w:tcW w:w="2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39"/>
              <w:spacing w:after="0"/>
              <w:rPr>
                <w:sz w:val="20"/>
                <w:szCs w:val="20"/>
                <w:color w:val="auto"/>
              </w:rPr>
            </w:pPr>
            <w:r>
              <w:rPr>
                <w:rFonts w:ascii="Arial" w:cs="Arial" w:eastAsia="Arial" w:hAnsi="Arial"/>
                <w:sz w:val="16"/>
                <w:szCs w:val="16"/>
                <w:color w:val="auto"/>
              </w:rPr>
              <w:t>0.71</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219"/>
              <w:spacing w:after="0"/>
              <w:rPr>
                <w:sz w:val="20"/>
                <w:szCs w:val="20"/>
                <w:color w:val="auto"/>
              </w:rPr>
            </w:pPr>
            <w:r>
              <w:rPr>
                <w:rFonts w:ascii="Arial" w:cs="Arial" w:eastAsia="Arial" w:hAnsi="Arial"/>
                <w:sz w:val="16"/>
                <w:szCs w:val="16"/>
                <w:color w:val="auto"/>
              </w:rPr>
              <w:t>0.54</w:t>
            </w:r>
          </w:p>
        </w:tc>
        <w:tc>
          <w:tcPr>
            <w:tcW w:w="920" w:type="dxa"/>
            <w:vAlign w:val="bottom"/>
            <w:vMerge w:val="restart"/>
          </w:tcPr>
          <w:p>
            <w:pPr>
              <w:jc w:val="right"/>
              <w:ind w:right="179"/>
              <w:spacing w:after="0"/>
              <w:rPr>
                <w:sz w:val="20"/>
                <w:szCs w:val="20"/>
                <w:color w:val="auto"/>
              </w:rPr>
            </w:pPr>
            <w:r>
              <w:rPr>
                <w:rFonts w:ascii="Arial" w:cs="Arial" w:eastAsia="Arial" w:hAnsi="Arial"/>
                <w:sz w:val="16"/>
                <w:szCs w:val="16"/>
                <w:color w:val="auto"/>
              </w:rPr>
              <w:t>31.5 %</w:t>
            </w:r>
          </w:p>
        </w:tc>
        <w:tc>
          <w:tcPr>
            <w:tcW w:w="520" w:type="dxa"/>
            <w:vAlign w:val="bottom"/>
            <w:vMerge w:val="restart"/>
          </w:tcPr>
          <w:p>
            <w:pPr>
              <w:ind w:left="160"/>
              <w:spacing w:after="0"/>
              <w:rPr>
                <w:sz w:val="20"/>
                <w:szCs w:val="20"/>
                <w:color w:val="auto"/>
              </w:rPr>
            </w:pPr>
            <w:r>
              <w:rPr>
                <w:rFonts w:ascii="Arial" w:cs="Arial" w:eastAsia="Arial" w:hAnsi="Arial"/>
                <w:sz w:val="16"/>
                <w:szCs w:val="16"/>
                <w:color w:val="auto"/>
              </w:rPr>
              <w:t>29.6</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20"/>
                <w:szCs w:val="20"/>
                <w:color w:val="auto"/>
              </w:rPr>
            </w:pPr>
            <w:r>
              <w:rPr>
                <w:rFonts w:ascii="Arial" w:cs="Arial" w:eastAsia="Arial" w:hAnsi="Arial"/>
                <w:sz w:val="11"/>
                <w:szCs w:val="11"/>
                <w:color w:val="auto"/>
              </w:rPr>
              <w:t>(1)</w:t>
            </w:r>
          </w:p>
        </w:tc>
        <w:tc>
          <w:tcPr>
            <w:tcW w:w="2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7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247" w:right="140" w:hanging="247"/>
        <w:spacing w:after="0" w:line="261" w:lineRule="auto"/>
        <w:tabs>
          <w:tab w:leader="none" w:pos="184" w:val="left"/>
        </w:tabs>
        <w:numPr>
          <w:ilvl w:val="0"/>
          <w:numId w:val="2"/>
        </w:numPr>
        <w:rPr>
          <w:rFonts w:ascii="Arial" w:cs="Arial" w:eastAsia="Arial" w:hAnsi="Arial"/>
          <w:sz w:val="12"/>
          <w:szCs w:val="12"/>
          <w:color w:val="auto"/>
        </w:rPr>
      </w:pPr>
      <w:r>
        <w:rPr>
          <w:rFonts w:ascii="Arial" w:cs="Arial" w:eastAsia="Arial" w:hAnsi="Arial"/>
          <w:sz w:val="12"/>
          <w:szCs w:val="12"/>
          <w:color w:val="auto"/>
        </w:rPr>
        <w:t>Adjusted EBITDA, Adjusted EBITDA margin, Adjusted EBIT, Adjusted EBIT margin, Adjusted Net Income, Adjusted Diluted EPS and constant currency change are non-GAAP financial measures. See "Non-GAAP Financial Measures" below and the attached schedules for additional information and reconciliations of such non-GAAP financial measures.</w:t>
      </w:r>
    </w:p>
    <w:p>
      <w:pPr>
        <w:spacing w:after="0" w:line="5" w:lineRule="exact"/>
        <w:rPr>
          <w:rFonts w:ascii="Arial" w:cs="Arial" w:eastAsia="Arial" w:hAnsi="Arial"/>
          <w:sz w:val="12"/>
          <w:szCs w:val="12"/>
          <w:color w:val="auto"/>
        </w:rPr>
      </w:pPr>
    </w:p>
    <w:p>
      <w:pPr>
        <w:ind w:left="187" w:hanging="187"/>
        <w:spacing w:after="0"/>
        <w:tabs>
          <w:tab w:leader="none" w:pos="187" w:val="left"/>
        </w:tabs>
        <w:numPr>
          <w:ilvl w:val="0"/>
          <w:numId w:val="2"/>
        </w:numPr>
        <w:rPr>
          <w:rFonts w:ascii="Arial" w:cs="Arial" w:eastAsia="Arial" w:hAnsi="Arial"/>
          <w:sz w:val="12"/>
          <w:szCs w:val="12"/>
          <w:color w:val="auto"/>
        </w:rPr>
      </w:pPr>
      <w:r>
        <w:rPr>
          <w:rFonts w:ascii="Arial" w:cs="Arial" w:eastAsia="Arial" w:hAnsi="Arial"/>
          <w:sz w:val="12"/>
          <w:szCs w:val="12"/>
          <w:color w:val="auto"/>
        </w:rPr>
        <w:t>Represents net income less net income attributable to non-controlling interests.</w:t>
      </w:r>
    </w:p>
    <w:p>
      <w:pPr>
        <w:sectPr>
          <w:pgSz w:w="11900" w:h="16838" w:orient="portrait"/>
          <w:cols w:equalWidth="0" w:num="2">
            <w:col w:w="5800" w:space="193"/>
            <w:col w:w="4847"/>
          </w:cols>
          <w:pgMar w:left="320" w:top="274" w:right="7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083566"/>
        </w:rPr>
        <w:t>DISCUSSION OF RESULTS</w:t>
      </w:r>
    </w:p>
    <w:p>
      <w:pPr>
        <w:spacing w:after="0" w:line="100"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b w:val="1"/>
          <w:bCs w:val="1"/>
          <w:color w:val="auto"/>
        </w:rPr>
        <w:t xml:space="preserve">Rates </w:t>
      </w:r>
      <w:r>
        <w:rPr>
          <w:rFonts w:ascii="Arial" w:cs="Arial" w:eastAsia="Arial" w:hAnsi="Arial"/>
          <w:sz w:val="16"/>
          <w:szCs w:val="16"/>
          <w:color w:val="auto"/>
        </w:rPr>
        <w:t>– Revenues of $214.1 million in the first quarter of 2024 increased 25.6% compared to prior year period (increased 25.3%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Rates ADV was up 44.7% from prior year period, driven by record volume in swaps/swaptions ≥ 1-year and U.S. government bonds. European government bonds reported a record 17.9% ADV increase from prior year period, supported by increased client activity, particularly in UK Gilts, while Mortgages ADV was up 19.9% reflecting increased institutional client activity, as well as record adoption of our specified pool trading platform and record roll trading activity.</w:t>
      </w:r>
    </w:p>
    <w:p>
      <w:pPr>
        <w:spacing w:after="0" w:line="214" w:lineRule="exact"/>
        <w:rPr>
          <w:sz w:val="20"/>
          <w:szCs w:val="20"/>
          <w:color w:val="auto"/>
        </w:rPr>
      </w:pPr>
    </w:p>
    <w:p>
      <w:pPr>
        <w:ind w:right="340"/>
        <w:spacing w:after="0" w:line="230" w:lineRule="auto"/>
        <w:rPr>
          <w:sz w:val="20"/>
          <w:szCs w:val="20"/>
          <w:color w:val="auto"/>
        </w:rPr>
      </w:pPr>
      <w:r>
        <w:rPr>
          <w:rFonts w:ascii="Arial" w:cs="Arial" w:eastAsia="Arial" w:hAnsi="Arial"/>
          <w:sz w:val="16"/>
          <w:szCs w:val="16"/>
          <w:b w:val="1"/>
          <w:bCs w:val="1"/>
          <w:color w:val="auto"/>
        </w:rPr>
        <w:t xml:space="preserve">Credit </w:t>
      </w:r>
      <w:r>
        <w:rPr>
          <w:rFonts w:ascii="Arial" w:cs="Arial" w:eastAsia="Arial" w:hAnsi="Arial"/>
          <w:sz w:val="16"/>
          <w:szCs w:val="16"/>
          <w:color w:val="auto"/>
        </w:rPr>
        <w:t>– Revenues of $115.8 million in the first quarter of 2024 increased 30.1% compared to prior year period (increased 29.8%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Credit ADV was up 8.1% from prior year period, as strong U.S. credit volumes, including record ADV in fully-electronic U.S. High Grade credit,</w:t>
      </w:r>
    </w:p>
    <w:p>
      <w:pPr>
        <w:spacing w:after="0" w:line="1" w:lineRule="exact"/>
        <w:rPr>
          <w:sz w:val="20"/>
          <w:szCs w:val="20"/>
          <w:color w:val="auto"/>
        </w:rPr>
      </w:pPr>
    </w:p>
    <w:p>
      <w:pPr>
        <w:ind w:right="160"/>
        <w:spacing w:after="0" w:line="236" w:lineRule="auto"/>
        <w:rPr>
          <w:sz w:val="20"/>
          <w:szCs w:val="20"/>
          <w:color w:val="auto"/>
        </w:rPr>
      </w:pPr>
      <w:r>
        <w:rPr>
          <w:rFonts w:ascii="Arial" w:cs="Arial" w:eastAsia="Arial" w:hAnsi="Arial"/>
          <w:sz w:val="16"/>
          <w:szCs w:val="16"/>
          <w:color w:val="auto"/>
        </w:rPr>
        <w:t>reflected continued client adoption across Tradeweb protocols, including request-for-quote (RFQ), Tradeweb AllTrade® and portfolio trading. Record European credit ADV was up 23.2% from prior year period, driven by strong activity in portfolio trading and Tradeweb Automated Intelligent Execution (AiEX). Our share of fully electronic TRACE for U.S. High Grade was a record 17.6%, up 420 bps from prior year period, and U.S. High Yield was 6.7%, up 60 bps from prior year period.</w:t>
      </w:r>
    </w:p>
    <w:p>
      <w:pPr>
        <w:spacing w:after="0" w:line="219"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b w:val="1"/>
          <w:bCs w:val="1"/>
          <w:color w:val="auto"/>
        </w:rPr>
        <w:t xml:space="preserve">Equities </w:t>
      </w:r>
      <w:r>
        <w:rPr>
          <w:rFonts w:ascii="Arial" w:cs="Arial" w:eastAsia="Arial" w:hAnsi="Arial"/>
          <w:sz w:val="16"/>
          <w:szCs w:val="16"/>
          <w:color w:val="auto"/>
        </w:rPr>
        <w:t>– Revenues of $27.1 million in the first quarter of 2024 increased 3.2% compared to prior year period (increased 2.8%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Equities ADV was up 40.5% from prior year period, driven by record activity in equity convertibles/swaps/options.</w:t>
      </w:r>
    </w:p>
    <w:p>
      <w:pPr>
        <w:spacing w:after="0" w:line="169" w:lineRule="exact"/>
        <w:rPr>
          <w:sz w:val="20"/>
          <w:szCs w:val="20"/>
          <w:color w:val="auto"/>
        </w:rPr>
      </w:pPr>
    </w:p>
    <w:p>
      <w:pPr>
        <w:jc w:val="both"/>
        <w:ind w:right="380"/>
        <w:spacing w:after="0" w:line="257" w:lineRule="auto"/>
        <w:rPr>
          <w:sz w:val="20"/>
          <w:szCs w:val="20"/>
          <w:color w:val="auto"/>
        </w:rPr>
      </w:pPr>
      <w:r>
        <w:rPr>
          <w:rFonts w:ascii="Arial" w:cs="Arial" w:eastAsia="Arial" w:hAnsi="Arial"/>
          <w:sz w:val="16"/>
          <w:szCs w:val="16"/>
          <w:b w:val="1"/>
          <w:bCs w:val="1"/>
          <w:color w:val="auto"/>
        </w:rPr>
        <w:t xml:space="preserve">Money Markets </w:t>
      </w:r>
      <w:r>
        <w:rPr>
          <w:rFonts w:ascii="Arial" w:cs="Arial" w:eastAsia="Arial" w:hAnsi="Arial"/>
          <w:sz w:val="16"/>
          <w:szCs w:val="16"/>
          <w:color w:val="auto"/>
        </w:rPr>
        <w:t>– Revenues of $16.8 million in the first quarter of 2024 increased 13.4% compared to prior year period (increased 13.1%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Money Markets ADV was up 30.3% from prior year period, led by record activity in global repurchase agreements and increased client adoption of Tradeweb's electronic trading solutions.</w:t>
      </w:r>
    </w:p>
    <w:p>
      <w:pPr>
        <w:spacing w:after="0" w:line="21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b w:val="1"/>
          <w:bCs w:val="1"/>
          <w:color w:val="auto"/>
        </w:rPr>
        <w:t xml:space="preserve">Market Data </w:t>
      </w:r>
      <w:r>
        <w:rPr>
          <w:rFonts w:ascii="Arial" w:cs="Arial" w:eastAsia="Arial" w:hAnsi="Arial"/>
          <w:sz w:val="16"/>
          <w:szCs w:val="16"/>
          <w:color w:val="auto"/>
        </w:rPr>
        <w:t>– Revenues of $29.0 million in the first quarter of 2024 increased 29.4% compared to prior year period (increased 28.8%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The increase was derived primarily from increased LSEG market data fees from the contract that was amended effective November 1, 2023 and proprietary third party market data revenue.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 Revenues of $5.9 million in the first quarter of 2024 decreased 5.4% compared to prior year period (decreased 5.4% on a constant currency basis).</w:t>
      </w:r>
    </w:p>
    <w:p>
      <w:pPr>
        <w:spacing w:after="0" w:line="235" w:lineRule="exact"/>
        <w:rPr>
          <w:sz w:val="20"/>
          <w:szCs w:val="20"/>
          <w:color w:val="auto"/>
        </w:rPr>
      </w:pPr>
    </w:p>
    <w:p>
      <w:pPr>
        <w:ind w:right="280"/>
        <w:spacing w:after="0" w:line="257"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of $241.1 million in the first quarter of 2024 increased 16.6% compared to $206.7 million in prior year period, primarily due to an</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in employee compensation and benefits including incentive compensation tied to our financial performance, as well as an increase in headcount and related salaries and benefits to support our continued growth.</w:t>
      </w:r>
    </w:p>
    <w:p>
      <w:pPr>
        <w:spacing w:after="0" w:line="219"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b w:val="1"/>
          <w:bCs w:val="1"/>
          <w:color w:val="auto"/>
        </w:rPr>
        <w:t xml:space="preserve">Adjusted Expenses </w:t>
      </w:r>
      <w:r>
        <w:rPr>
          <w:rFonts w:ascii="Arial" w:cs="Arial" w:eastAsia="Arial" w:hAnsi="Arial"/>
          <w:sz w:val="16"/>
          <w:szCs w:val="16"/>
          <w:color w:val="auto"/>
        </w:rPr>
        <w:t>of $204.2 million in the first quarter of 2024 increased 19.5% (increased 18.3% on a constant currency basis) compared to prior year</w:t>
      </w:r>
      <w:r>
        <w:rPr>
          <w:rFonts w:ascii="Arial" w:cs="Arial" w:eastAsia="Arial" w:hAnsi="Arial"/>
          <w:sz w:val="16"/>
          <w:szCs w:val="16"/>
          <w:b w:val="1"/>
          <w:bCs w:val="1"/>
          <w:color w:val="auto"/>
        </w:rPr>
        <w:t xml:space="preserve"> </w:t>
      </w:r>
      <w:r>
        <w:rPr>
          <w:rFonts w:ascii="Arial" w:cs="Arial" w:eastAsia="Arial" w:hAnsi="Arial"/>
          <w:sz w:val="16"/>
          <w:szCs w:val="16"/>
          <w:color w:val="auto"/>
        </w:rPr>
        <w:t>period primarily due to higher expenses related to employee compensation and benefits. Please see "Non-GAAP Financial Measures" below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RECENT HIGHLIGHTS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April 2024</w:t>
      </w:r>
    </w:p>
    <w:p>
      <w:pPr>
        <w:spacing w:after="0" w:line="8" w:lineRule="exact"/>
        <w:rPr>
          <w:sz w:val="20"/>
          <w:szCs w:val="20"/>
          <w:color w:val="auto"/>
        </w:rPr>
      </w:pPr>
    </w:p>
    <w:p>
      <w:pPr>
        <w:ind w:left="660" w:right="100" w:hanging="328"/>
        <w:spacing w:after="0" w:line="237"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Announced definitive agreement to acquire Institutional Cash Distributors ("ICD"), an institutional investment technology provider for corporate treasury organizations trading short-term investments, for $785 million, subject to customary adjustments, which will add Corporates as our fourth client channel alongside Institutional, Wholesale and Retail. The closing of the acquisition is subject to customary closing conditions and regulatory reviews.</w:t>
      </w:r>
    </w:p>
    <w:p>
      <w:pPr>
        <w:spacing w:after="0" w:line="2" w:lineRule="exact"/>
        <w:rPr>
          <w:rFonts w:ascii="Arial" w:cs="Arial" w:eastAsia="Arial" w:hAnsi="Arial"/>
          <w:sz w:val="16"/>
          <w:szCs w:val="16"/>
          <w:color w:val="auto"/>
        </w:rPr>
      </w:pPr>
    </w:p>
    <w:p>
      <w:pPr>
        <w:ind w:left="660" w:right="200" w:hanging="328"/>
        <w:spacing w:after="0" w:line="237"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Awarded two framework agreements to provide Electronic Trading Platforms to the European Central Bank (ECB) and other Eurosystem National Central Banks, after successfully participating in the procurement procedure organized by the ECB.</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Celebrated our five-year IPO anniversary at Nasdaq's Opening Bell ceremony.</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Quarter 2024</w:t>
      </w:r>
    </w:p>
    <w:p>
      <w:pPr>
        <w:spacing w:after="0" w:line="21" w:lineRule="exact"/>
        <w:rPr>
          <w:sz w:val="20"/>
          <w:szCs w:val="20"/>
          <w:color w:val="auto"/>
        </w:rPr>
      </w:pPr>
    </w:p>
    <w:p>
      <w:pPr>
        <w:ind w:left="660" w:right="540" w:hanging="328"/>
        <w:spacing w:after="0" w:line="252"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Completed our acquisition of r8fin, a technology provider that specializes in algorithmic-based execution for U.S. Treasuries and interest rate futures.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Appointed Lisa Opoku to Tradeweb's Board of Directors, bringing nearly 30 years of additional finance and legal experience to the Board.</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Celebrated the grand opening of our Miami and Dubai offices, deepening our relationships with our growing emerging markets client base.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Expanded our mortgage platform by adding collateralized mortgage obligations (CMOs) as the latest addition to our securitized product offering.</w:t>
      </w:r>
    </w:p>
    <w:p>
      <w:pPr>
        <w:spacing w:after="0" w:line="14" w:lineRule="exact"/>
        <w:rPr>
          <w:rFonts w:ascii="Arial" w:cs="Arial" w:eastAsia="Arial" w:hAnsi="Arial"/>
          <w:sz w:val="16"/>
          <w:szCs w:val="16"/>
          <w:color w:val="auto"/>
        </w:rPr>
      </w:pPr>
    </w:p>
    <w:p>
      <w:pPr>
        <w:ind w:left="660" w:right="360" w:hanging="328"/>
        <w:spacing w:after="0" w:line="25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Published our 2023 Annual Report, discussing our 24th consecutive year of revenue growth with record trading volumes, expanded automation capabilities, enhanced strategic partnerships and exciting acquisitions.</w:t>
      </w:r>
    </w:p>
    <w:p>
      <w:pPr>
        <w:ind w:left="660" w:right="2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Recognized in numerous awards celebrating our company, as well as our outstanding and diverse talent, including: </w:t>
      </w:r>
      <w:r>
        <w:rPr>
          <w:rFonts w:ascii="Arial" w:cs="Arial" w:eastAsia="Arial" w:hAnsi="Arial"/>
          <w:sz w:val="16"/>
          <w:szCs w:val="16"/>
          <w:i w:val="1"/>
          <w:iCs w:val="1"/>
          <w:color w:val="auto"/>
        </w:rPr>
        <w:t>Best Financial Services</w:t>
      </w:r>
      <w:r>
        <w:rPr>
          <w:rFonts w:ascii="Arial" w:cs="Arial" w:eastAsia="Arial" w:hAnsi="Arial"/>
          <w:sz w:val="16"/>
          <w:szCs w:val="16"/>
          <w:color w:val="auto"/>
        </w:rPr>
        <w:t xml:space="preserve"> </w:t>
      </w:r>
      <w:r>
        <w:rPr>
          <w:rFonts w:ascii="Arial" w:cs="Arial" w:eastAsia="Arial" w:hAnsi="Arial"/>
          <w:sz w:val="16"/>
          <w:szCs w:val="16"/>
          <w:i w:val="1"/>
          <w:iCs w:val="1"/>
          <w:color w:val="auto"/>
        </w:rPr>
        <w:t>Companies to Work For (U.S. News); Notable Leaders in Finance - Billy Hult (Crain's New York Business); Women in Technology &amp; Data Awards - Above and Beyond award (vendor) - Susan Bennett (WatersTechnology); Rising Star - Opal Parris (Women's Bond Club); Notable General Counsel - Doug Friedman (Crain's New York Business)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w:t>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83566"/>
        </w:rPr>
        <w:t>CAPITAL MANAGEMENT</w:t>
      </w:r>
    </w:p>
    <w:p>
      <w:pPr>
        <w:spacing w:after="0" w:line="113"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$1.5 billion in cash and cash equivalents and an undrawn $500 million credit facility at March 31, 2024</w:t>
      </w:r>
    </w:p>
    <w:p>
      <w:pPr>
        <w:spacing w:after="0" w:line="30" w:lineRule="exact"/>
        <w:rPr>
          <w:rFonts w:ascii="Arial" w:cs="Arial" w:eastAsia="Arial" w:hAnsi="Arial"/>
          <w:sz w:val="16"/>
          <w:szCs w:val="16"/>
          <w:color w:val="auto"/>
        </w:rPr>
      </w:pPr>
    </w:p>
    <w:p>
      <w:pPr>
        <w:ind w:left="660" w:right="34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consideration for the acquisition of r8fin, we paid $89.2 million in cash and issued 374,601 shares of Class A common stock valued as of the closing date at $36.7 million</w:t>
      </w:r>
    </w:p>
    <w:p>
      <w:pPr>
        <w:ind w:left="660" w:right="60" w:hanging="328"/>
        <w:spacing w:after="0" w:line="249"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Cash capital expenditures and capitalization of software development in the first quarter 2024 of $17.3 million (excludes amounts paid at closing for acquisitions)</w:t>
      </w:r>
    </w:p>
    <w:p>
      <w:pPr>
        <w:ind w:left="660" w:right="42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Free cash flow for the trailing twelve months ended March 31, 2024 of $650.8 million, up 8.5% compared to prior year period. See “Non-GAAP Financial Measures” for additional information</w:t>
      </w:r>
    </w:p>
    <w:p>
      <w:pPr>
        <w:ind w:left="660" w:right="52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$785 million acquisition of ICD is expected to close in the second half of 2024, subject to the satisfaction of customary closing conditions and regulatory reviews and the purchase price, subject to customary adjustments, is expected to be funded with cash on hand</w:t>
      </w:r>
    </w:p>
    <w:p>
      <w:pPr>
        <w:ind w:left="660" w:right="260" w:hanging="328"/>
        <w:spacing w:after="0" w:line="252"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$239.8 million remained available for repurchase pursuant to the share repurchase program authorization as of March 31, 2024. No shares were repurchased during the first quarter of 2024</w:t>
      </w:r>
    </w:p>
    <w:p>
      <w:pPr>
        <w:spacing w:after="0" w:line="1" w:lineRule="exact"/>
        <w:rPr>
          <w:rFonts w:ascii="Arial" w:cs="Arial" w:eastAsia="Arial" w:hAnsi="Arial"/>
          <w:sz w:val="16"/>
          <w:szCs w:val="16"/>
          <w:color w:val="auto"/>
        </w:rPr>
      </w:pPr>
    </w:p>
    <w:p>
      <w:pPr>
        <w:ind w:left="660" w:right="180" w:hanging="328"/>
        <w:spacing w:after="0" w:line="249"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$43.8 million in shares of Class A common stock were withheld in the first quarter of 2024 to satisfy tax obligations related to the exercise of stock options and vesting of restricted stock units and performance-based restricted stock units held by employees</w:t>
      </w:r>
    </w:p>
    <w:p>
      <w:pPr>
        <w:ind w:left="660" w:right="580" w:hanging="328"/>
        <w:spacing w:after="0" w:line="283"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Board declared a quarterly cash dividend of $0.10 per share of Class A common stock and Class B common stock. The dividend will be payable on June 17, 2024 to stockholders of record as of June 3, 2024</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OTHER MATTERS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Updated Full-Year 2024 Guidance*</w:t>
      </w:r>
    </w:p>
    <w:p>
      <w:pPr>
        <w:spacing w:after="0" w:line="113"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Adjusted Expenses: $755 - 805 million (trending toward top end of range)</w:t>
      </w:r>
    </w:p>
    <w:p>
      <w:pPr>
        <w:spacing w:after="0" w:line="30"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6"/>
          <w:szCs w:val="16"/>
          <w:color w:val="auto"/>
        </w:rPr>
        <w:t>Acquisition and Refinitiv Transaction related depreciation and amortization expense: $142 million</w:t>
      </w:r>
    </w:p>
    <w:p>
      <w:pPr>
        <w:spacing w:after="0" w:line="4"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Assumed non-GAAP tax rate: ~ 24.5% - 25.5%</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Cash costs of non-acquisition capital expenditures and capitalized software development: $75 - 83 million</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LSEG Market Data Contract Revenue: ~$80 million (~$90 million in 2025)</w:t>
      </w:r>
    </w:p>
    <w:p>
      <w:pPr>
        <w:spacing w:after="0" w:line="252" w:lineRule="exact"/>
        <w:rPr>
          <w:sz w:val="20"/>
          <w:szCs w:val="20"/>
          <w:color w:val="auto"/>
        </w:rPr>
      </w:pPr>
    </w:p>
    <w:p>
      <w:pPr>
        <w:ind w:left="340" w:right="400"/>
        <w:spacing w:after="0" w:line="271"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 Expense guidance assumes an average 2024 Sterling/US$ foreign exchange rate of 1.24 and includes completed M&amp;A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CONFERENCE CALL</w:t>
      </w:r>
    </w:p>
    <w:p>
      <w:pPr>
        <w:spacing w:after="0" w:line="113"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 xml:space="preserve">Tradeweb Markets will hold a conference call to discuss first quarter 2024 results starting at 9:30 AM EDT today, April 25, 2024. A live, audio webcast of the conference call along with related presentation materials will be available at </w:t>
      </w:r>
      <w:r>
        <w:rPr>
          <w:rFonts w:ascii="Arial" w:cs="Arial" w:eastAsia="Arial" w:hAnsi="Arial"/>
          <w:sz w:val="16"/>
          <w:szCs w:val="16"/>
          <w:u w:val="single" w:color="auto"/>
          <w:color w:val="0E32E1"/>
        </w:rPr>
        <w:t>https://investors.tradeweb.com/events-and-presentations</w:t>
      </w:r>
      <w:r>
        <w:rPr>
          <w:rFonts w:ascii="Arial" w:cs="Arial" w:eastAsia="Arial" w:hAnsi="Arial"/>
          <w:sz w:val="16"/>
          <w:szCs w:val="16"/>
          <w:color w:val="auto"/>
        </w:rPr>
        <w:t>.</w:t>
      </w:r>
    </w:p>
    <w:p>
      <w:pPr>
        <w:spacing w:after="0" w:line="139" w:lineRule="exact"/>
        <w:rPr>
          <w:sz w:val="20"/>
          <w:szCs w:val="20"/>
          <w:color w:val="auto"/>
        </w:rPr>
      </w:pPr>
    </w:p>
    <w:p>
      <w:pPr>
        <w:ind w:left="640" w:hanging="308"/>
        <w:spacing w:after="0"/>
        <w:tabs>
          <w:tab w:leader="none" w:pos="640" w:val="left"/>
        </w:tabs>
        <w:numPr>
          <w:ilvl w:val="0"/>
          <w:numId w:val="7"/>
        </w:numPr>
        <w:rPr>
          <w:rFonts w:ascii="Calibri" w:cs="Calibri" w:eastAsia="Calibri" w:hAnsi="Calibri"/>
          <w:sz w:val="20"/>
          <w:szCs w:val="20"/>
          <w:color w:val="auto"/>
        </w:rPr>
      </w:pPr>
      <w:r>
        <w:rPr>
          <w:rFonts w:ascii="Arial" w:cs="Arial" w:eastAsia="Arial" w:hAnsi="Arial"/>
          <w:sz w:val="16"/>
          <w:szCs w:val="16"/>
          <w:color w:val="auto"/>
        </w:rPr>
        <w:t xml:space="preserve">To join the call via audio webcast, click here: </w:t>
      </w:r>
      <w:r>
        <w:rPr>
          <w:rFonts w:ascii="Arial" w:cs="Arial" w:eastAsia="Arial" w:hAnsi="Arial"/>
          <w:sz w:val="16"/>
          <w:szCs w:val="16"/>
          <w:u w:val="single" w:color="auto"/>
          <w:color w:val="0E32E1"/>
        </w:rPr>
        <w:t>https://edge.media-server.com/mmc/p/t9m7w485</w:t>
      </w:r>
    </w:p>
    <w:p>
      <w:pPr>
        <w:spacing w:after="0" w:line="14" w:lineRule="exact"/>
        <w:rPr>
          <w:rFonts w:ascii="Calibri" w:cs="Calibri" w:eastAsia="Calibri" w:hAnsi="Calibri"/>
          <w:sz w:val="20"/>
          <w:szCs w:val="20"/>
          <w:color w:val="auto"/>
        </w:rPr>
      </w:pPr>
    </w:p>
    <w:p>
      <w:pPr>
        <w:ind w:left="660" w:right="80" w:hanging="328"/>
        <w:spacing w:after="0" w:line="226" w:lineRule="auto"/>
        <w:tabs>
          <w:tab w:leader="none" w:pos="653" w:val="left"/>
        </w:tabs>
        <w:numPr>
          <w:ilvl w:val="0"/>
          <w:numId w:val="7"/>
        </w:numPr>
        <w:rPr>
          <w:rFonts w:ascii="Calibri" w:cs="Calibri" w:eastAsia="Calibri" w:hAnsi="Calibri"/>
          <w:sz w:val="20"/>
          <w:szCs w:val="20"/>
          <w:color w:val="auto"/>
        </w:rPr>
      </w:pPr>
      <w:r>
        <w:rPr>
          <w:rFonts w:ascii="Arial" w:cs="Arial" w:eastAsia="Arial" w:hAnsi="Arial"/>
          <w:sz w:val="16"/>
          <w:szCs w:val="16"/>
          <w:color w:val="auto"/>
        </w:rPr>
        <w:t xml:space="preserve">To join the call via phone, please register in advance here: </w:t>
      </w:r>
      <w:r>
        <w:rPr>
          <w:rFonts w:ascii="Arial" w:cs="Arial" w:eastAsia="Arial" w:hAnsi="Arial"/>
          <w:sz w:val="16"/>
          <w:szCs w:val="16"/>
          <w:u w:val="single" w:color="auto"/>
          <w:color w:val="0E32E1"/>
        </w:rPr>
        <w:t>https://register.vevent.com/register/BIf70b5059ccc842ed91c32442e68f0355</w:t>
      </w:r>
      <w:r>
        <w:rPr>
          <w:rFonts w:ascii="Arial" w:cs="Arial" w:eastAsia="Arial" w:hAnsi="Arial"/>
          <w:sz w:val="16"/>
          <w:szCs w:val="16"/>
          <w:color w:val="auto"/>
        </w:rPr>
        <w:t>. Registered participants will receive an email confirmation with a unique PIN to access the conference call.</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 archived recording of the call will be available afterward at </w:t>
      </w:r>
      <w:r>
        <w:rPr>
          <w:rFonts w:ascii="Arial" w:cs="Arial" w:eastAsia="Arial" w:hAnsi="Arial"/>
          <w:sz w:val="16"/>
          <w:szCs w:val="16"/>
          <w:u w:val="single" w:color="auto"/>
          <w:color w:val="0E32E1"/>
        </w:rPr>
        <w:t>https://investors.tradeweb.com</w:t>
      </w:r>
      <w:r>
        <w:rPr>
          <w:rFonts w:ascii="Arial" w:cs="Arial" w:eastAsia="Arial" w:hAnsi="Arial"/>
          <w:sz w:val="16"/>
          <w:szCs w:val="16"/>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ABOUT TRADEWEB MARKETS</w:t>
      </w:r>
    </w:p>
    <w:p>
      <w:pPr>
        <w:spacing w:after="0" w:line="113"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50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more than 2,500 clients in more than 70 countries. On average, Tradeweb facilitated more than $1.5 trillion in notional value traded per day over the past four fiscal quarters. For more information, please go to </w:t>
      </w:r>
      <w:r>
        <w:rPr>
          <w:rFonts w:ascii="Arial" w:cs="Arial" w:eastAsia="Arial" w:hAnsi="Arial"/>
          <w:sz w:val="16"/>
          <w:szCs w:val="16"/>
          <w:u w:val="single" w:color="auto"/>
          <w:color w:val="0E32E1"/>
        </w:rPr>
        <w:t>www.tradeweb.com</w:t>
      </w:r>
      <w:r>
        <w:rPr>
          <w:rFonts w:ascii="Arial" w:cs="Arial" w:eastAsia="Arial" w:hAnsi="Arial"/>
          <w:sz w:val="16"/>
          <w:szCs w:val="16"/>
          <w:color w:val="0E32E1"/>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w:t>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CONSOLIDATED STATEMENTS OF INCOME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(UNAUDITED)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00" w:type="dxa"/>
            <w:vAlign w:val="bottom"/>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r>
      <w:tr>
        <w:trPr>
          <w:trHeight w:val="247"/>
        </w:trPr>
        <w:tc>
          <w:tcPr>
            <w:tcW w:w="75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March 31,</w:t>
            </w:r>
          </w:p>
        </w:tc>
        <w:tc>
          <w:tcPr>
            <w:tcW w:w="1280" w:type="dxa"/>
            <w:vAlign w:val="bottom"/>
            <w:tcBorders>
              <w:bottom w:val="single" w:sz="8" w:color="auto"/>
            </w:tcBorders>
          </w:tcPr>
          <w:p>
            <w:pPr>
              <w:spacing w:after="0"/>
              <w:rPr>
                <w:sz w:val="21"/>
                <w:szCs w:val="21"/>
                <w:color w:val="auto"/>
              </w:rPr>
            </w:pPr>
          </w:p>
        </w:tc>
      </w:tr>
      <w:tr>
        <w:trPr>
          <w:trHeight w:val="237"/>
        </w:trPr>
        <w:tc>
          <w:tcPr>
            <w:tcW w:w="7540" w:type="dxa"/>
            <w:vAlign w:val="bottom"/>
            <w:tcBorders>
              <w:bottom w:val="single" w:sz="8" w:color="D5DCE4"/>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D5DCE4"/>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r>
      <w:tr>
        <w:trPr>
          <w:trHeight w:val="199"/>
        </w:trPr>
        <w:tc>
          <w:tcPr>
            <w:tcW w:w="7540" w:type="dxa"/>
            <w:vAlign w:val="bottom"/>
            <w:shd w:val="clear" w:color="auto" w:fill="D5DCE4"/>
          </w:tcPr>
          <w:p>
            <w:pPr>
              <w:spacing w:after="0"/>
              <w:rPr>
                <w:sz w:val="17"/>
                <w:szCs w:val="17"/>
                <w:color w:val="auto"/>
              </w:rPr>
            </w:pPr>
          </w:p>
        </w:tc>
        <w:tc>
          <w:tcPr>
            <w:tcW w:w="200" w:type="dxa"/>
            <w:vAlign w:val="bottom"/>
            <w:shd w:val="clear" w:color="auto" w:fill="D5DCE4"/>
          </w:tcPr>
          <w:p>
            <w:pPr>
              <w:spacing w:after="0"/>
              <w:rPr>
                <w:sz w:val="17"/>
                <w:szCs w:val="17"/>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w w:val="95"/>
              </w:rPr>
              <w:t>(dollars in thousands,</w:t>
            </w:r>
          </w:p>
        </w:tc>
        <w:tc>
          <w:tcPr>
            <w:tcW w:w="100" w:type="dxa"/>
            <w:vAlign w:val="bottom"/>
            <w:shd w:val="clear" w:color="auto" w:fill="D5DCE4"/>
          </w:tcPr>
          <w:p>
            <w:pPr>
              <w:spacing w:after="0"/>
              <w:rPr>
                <w:sz w:val="17"/>
                <w:szCs w:val="17"/>
                <w:color w:val="auto"/>
              </w:rPr>
            </w:pPr>
          </w:p>
        </w:tc>
        <w:tc>
          <w:tcPr>
            <w:tcW w:w="1800" w:type="dxa"/>
            <w:vAlign w:val="bottom"/>
            <w:gridSpan w:val="2"/>
            <w:shd w:val="clear" w:color="auto" w:fill="D5DCE4"/>
          </w:tcPr>
          <w:p>
            <w:pPr>
              <w:jc w:val="right"/>
              <w:ind w:right="299"/>
              <w:spacing w:after="0"/>
              <w:rPr>
                <w:sz w:val="20"/>
                <w:szCs w:val="20"/>
                <w:color w:val="auto"/>
              </w:rPr>
            </w:pPr>
            <w:r>
              <w:rPr>
                <w:rFonts w:ascii="Arial" w:cs="Arial" w:eastAsia="Arial" w:hAnsi="Arial"/>
                <w:sz w:val="16"/>
                <w:szCs w:val="16"/>
                <w:b w:val="1"/>
                <w:bCs w:val="1"/>
                <w:color w:val="auto"/>
              </w:rPr>
              <w:t>except per share</w:t>
            </w:r>
          </w:p>
        </w:tc>
      </w:tr>
      <w:tr>
        <w:trPr>
          <w:trHeight w:val="230"/>
        </w:trPr>
        <w:tc>
          <w:tcPr>
            <w:tcW w:w="754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shd w:val="clear" w:color="auto" w:fill="D5DCE4"/>
          </w:tcPr>
          <w:p>
            <w:pPr>
              <w:spacing w:after="0"/>
              <w:rPr>
                <w:sz w:val="20"/>
                <w:szCs w:val="20"/>
                <w:color w:val="auto"/>
              </w:rPr>
            </w:pPr>
          </w:p>
        </w:tc>
        <w:tc>
          <w:tcPr>
            <w:tcW w:w="2220" w:type="dxa"/>
            <w:vAlign w:val="bottom"/>
            <w:gridSpan w:val="3"/>
            <w:shd w:val="clear" w:color="auto" w:fill="D5DCE4"/>
          </w:tcPr>
          <w:p>
            <w:pPr>
              <w:jc w:val="right"/>
              <w:ind w:right="159"/>
              <w:spacing w:after="0"/>
              <w:rPr>
                <w:sz w:val="20"/>
                <w:szCs w:val="20"/>
                <w:color w:val="auto"/>
              </w:rPr>
            </w:pPr>
            <w:r>
              <w:rPr>
                <w:rFonts w:ascii="Arial" w:cs="Arial" w:eastAsia="Arial" w:hAnsi="Arial"/>
                <w:sz w:val="16"/>
                <w:szCs w:val="16"/>
                <w:b w:val="1"/>
                <w:bCs w:val="1"/>
                <w:color w:val="auto"/>
              </w:rPr>
              <w:t>amounts)</w:t>
            </w:r>
          </w:p>
        </w:tc>
        <w:tc>
          <w:tcPr>
            <w:tcW w:w="1280" w:type="dxa"/>
            <w:vAlign w:val="bottom"/>
            <w:shd w:val="clear" w:color="auto" w:fill="D5DCE4"/>
          </w:tcPr>
          <w:p>
            <w:pPr>
              <w:spacing w:after="0"/>
              <w:rPr>
                <w:sz w:val="20"/>
                <w:szCs w:val="20"/>
                <w:color w:val="auto"/>
              </w:rPr>
            </w:pPr>
          </w:p>
        </w:tc>
      </w:tr>
      <w:tr>
        <w:trPr>
          <w:trHeight w:val="235"/>
        </w:trPr>
        <w:tc>
          <w:tcPr>
            <w:tcW w:w="7540" w:type="dxa"/>
            <w:vAlign w:val="bottom"/>
          </w:tcPr>
          <w:p>
            <w:pPr>
              <w:ind w:left="140"/>
              <w:spacing w:after="0"/>
              <w:rPr>
                <w:sz w:val="20"/>
                <w:szCs w:val="20"/>
                <w:color w:val="auto"/>
              </w:rPr>
            </w:pPr>
            <w:r>
              <w:rPr>
                <w:rFonts w:ascii="Arial" w:cs="Arial" w:eastAsia="Arial" w:hAnsi="Arial"/>
                <w:sz w:val="16"/>
                <w:szCs w:val="16"/>
                <w:color w:val="auto"/>
              </w:rPr>
              <w:t>Transaction fees and commissions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335,451</w:t>
            </w:r>
          </w:p>
        </w:tc>
        <w:tc>
          <w:tcPr>
            <w:tcW w:w="10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266,598</w:t>
            </w:r>
          </w:p>
        </w:tc>
      </w:tr>
      <w:tr>
        <w:trPr>
          <w:trHeight w:val="251"/>
        </w:trPr>
        <w:tc>
          <w:tcPr>
            <w:tcW w:w="7540" w:type="dxa"/>
            <w:vAlign w:val="bottom"/>
            <w:shd w:val="clear" w:color="auto" w:fill="D5DCE4"/>
          </w:tcPr>
          <w:p>
            <w:pPr>
              <w:ind w:left="140"/>
              <w:spacing w:after="0"/>
              <w:rPr>
                <w:sz w:val="20"/>
                <w:szCs w:val="20"/>
                <w:color w:val="auto"/>
              </w:rPr>
            </w:pPr>
            <w:r>
              <w:rPr>
                <w:rFonts w:ascii="Arial" w:cs="Arial" w:eastAsia="Arial" w:hAnsi="Arial"/>
                <w:sz w:val="16"/>
                <w:szCs w:val="16"/>
                <w:color w:val="auto"/>
              </w:rPr>
              <w:t>Subscription fees</w:t>
            </w:r>
          </w:p>
        </w:tc>
        <w:tc>
          <w:tcPr>
            <w:tcW w:w="20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49,681</w:t>
            </w:r>
          </w:p>
        </w:tc>
        <w:tc>
          <w:tcPr>
            <w:tcW w:w="10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44,374</w:t>
            </w:r>
          </w:p>
        </w:tc>
      </w:tr>
      <w:tr>
        <w:trPr>
          <w:trHeight w:val="235"/>
        </w:trPr>
        <w:tc>
          <w:tcPr>
            <w:tcW w:w="7540" w:type="dxa"/>
            <w:vAlign w:val="bottom"/>
          </w:tcPr>
          <w:p>
            <w:pPr>
              <w:ind w:left="140"/>
              <w:spacing w:after="0"/>
              <w:rPr>
                <w:sz w:val="20"/>
                <w:szCs w:val="20"/>
                <w:color w:val="auto"/>
              </w:rPr>
            </w:pPr>
            <w:r>
              <w:rPr>
                <w:rFonts w:ascii="Arial" w:cs="Arial" w:eastAsia="Arial" w:hAnsi="Arial"/>
                <w:sz w:val="16"/>
                <w:szCs w:val="16"/>
                <w:color w:val="auto"/>
              </w:rPr>
              <w:t>LSEG market data fees</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20,500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15,594</w:t>
            </w:r>
          </w:p>
        </w:tc>
      </w:tr>
      <w:tr>
        <w:trPr>
          <w:trHeight w:val="251"/>
        </w:trPr>
        <w:tc>
          <w:tcPr>
            <w:tcW w:w="7540" w:type="dxa"/>
            <w:vAlign w:val="bottom"/>
            <w:shd w:val="clear" w:color="auto" w:fill="D5DCE4"/>
          </w:tcPr>
          <w:p>
            <w:pPr>
              <w:ind w:left="1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D5DCE4"/>
          </w:tcPr>
          <w:p>
            <w:pPr>
              <w:spacing w:after="0"/>
              <w:rPr>
                <w:sz w:val="21"/>
                <w:szCs w:val="21"/>
                <w:color w:val="auto"/>
              </w:rPr>
            </w:pP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3,107</w:t>
            </w:r>
          </w:p>
        </w:tc>
        <w:tc>
          <w:tcPr>
            <w:tcW w:w="100" w:type="dxa"/>
            <w:vAlign w:val="bottom"/>
            <w:shd w:val="clear" w:color="auto" w:fill="D5DCE4"/>
          </w:tcPr>
          <w:p>
            <w:pPr>
              <w:spacing w:after="0"/>
              <w:rPr>
                <w:sz w:val="21"/>
                <w:szCs w:val="21"/>
                <w:color w:val="auto"/>
              </w:rPr>
            </w:pPr>
          </w:p>
        </w:tc>
        <w:tc>
          <w:tcPr>
            <w:tcW w:w="5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2,683</w:t>
            </w:r>
          </w:p>
        </w:tc>
      </w:tr>
      <w:tr>
        <w:trPr>
          <w:trHeight w:val="233"/>
        </w:trPr>
        <w:tc>
          <w:tcPr>
            <w:tcW w:w="7540" w:type="dxa"/>
            <w:vAlign w:val="bottom"/>
          </w:tcPr>
          <w:p>
            <w:pPr>
              <w:ind w:left="220"/>
              <w:spacing w:after="0"/>
              <w:rPr>
                <w:sz w:val="20"/>
                <w:szCs w:val="20"/>
                <w:color w:val="auto"/>
              </w:rPr>
            </w:pPr>
            <w:r>
              <w:rPr>
                <w:rFonts w:ascii="Arial" w:cs="Arial" w:eastAsia="Arial" w:hAnsi="Arial"/>
                <w:sz w:val="16"/>
                <w:szCs w:val="16"/>
                <w:b w:val="1"/>
                <w:bCs w:val="1"/>
                <w:color w:val="auto"/>
              </w:rPr>
              <w:t>Total revenue</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408,739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329,249</w:t>
            </w:r>
          </w:p>
        </w:tc>
      </w:tr>
      <w:tr>
        <w:trPr>
          <w:trHeight w:val="274"/>
        </w:trPr>
        <w:tc>
          <w:tcPr>
            <w:tcW w:w="7540" w:type="dxa"/>
            <w:vAlign w:val="bottom"/>
            <w:shd w:val="clear" w:color="auto" w:fill="D5DCE4"/>
          </w:tcPr>
          <w:p>
            <w:pPr>
              <w:spacing w:after="0"/>
              <w:rPr>
                <w:sz w:val="23"/>
                <w:szCs w:val="23"/>
                <w:color w:val="auto"/>
              </w:rPr>
            </w:pPr>
          </w:p>
        </w:tc>
        <w:tc>
          <w:tcPr>
            <w:tcW w:w="200" w:type="dxa"/>
            <w:vAlign w:val="bottom"/>
            <w:shd w:val="clear" w:color="auto" w:fill="D5DCE4"/>
          </w:tcPr>
          <w:p>
            <w:pPr>
              <w:spacing w:after="0"/>
              <w:rPr>
                <w:sz w:val="23"/>
                <w:szCs w:val="23"/>
                <w:color w:val="auto"/>
              </w:rPr>
            </w:pPr>
          </w:p>
        </w:tc>
        <w:tc>
          <w:tcPr>
            <w:tcW w:w="1600" w:type="dxa"/>
            <w:vAlign w:val="bottom"/>
            <w:shd w:val="clear" w:color="auto" w:fill="D5DCE4"/>
          </w:tcPr>
          <w:p>
            <w:pPr>
              <w:spacing w:after="0"/>
              <w:rPr>
                <w:sz w:val="23"/>
                <w:szCs w:val="23"/>
                <w:color w:val="auto"/>
              </w:rPr>
            </w:pPr>
          </w:p>
        </w:tc>
        <w:tc>
          <w:tcPr>
            <w:tcW w:w="100" w:type="dxa"/>
            <w:vAlign w:val="bottom"/>
            <w:shd w:val="clear" w:color="auto" w:fill="D5DCE4"/>
          </w:tcPr>
          <w:p>
            <w:pPr>
              <w:spacing w:after="0"/>
              <w:rPr>
                <w:sz w:val="23"/>
                <w:szCs w:val="23"/>
                <w:color w:val="auto"/>
              </w:rPr>
            </w:pPr>
          </w:p>
        </w:tc>
        <w:tc>
          <w:tcPr>
            <w:tcW w:w="520" w:type="dxa"/>
            <w:vAlign w:val="bottom"/>
            <w:shd w:val="clear" w:color="auto" w:fill="D5DCE4"/>
          </w:tcPr>
          <w:p>
            <w:pPr>
              <w:spacing w:after="0"/>
              <w:rPr>
                <w:sz w:val="23"/>
                <w:szCs w:val="23"/>
                <w:color w:val="auto"/>
              </w:rPr>
            </w:pPr>
          </w:p>
        </w:tc>
        <w:tc>
          <w:tcPr>
            <w:tcW w:w="1280" w:type="dxa"/>
            <w:vAlign w:val="bottom"/>
            <w:shd w:val="clear" w:color="auto" w:fill="D5DCE4"/>
          </w:tcPr>
          <w:p>
            <w:pPr>
              <w:spacing w:after="0"/>
              <w:rPr>
                <w:sz w:val="23"/>
                <w:szCs w:val="23"/>
                <w:color w:val="auto"/>
              </w:rPr>
            </w:pPr>
          </w:p>
        </w:tc>
      </w:tr>
      <w:tr>
        <w:trPr>
          <w:trHeight w:val="239"/>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7"/>
        </w:trPr>
        <w:tc>
          <w:tcPr>
            <w:tcW w:w="754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Employee compensation and benefits</w:t>
            </w:r>
          </w:p>
        </w:tc>
        <w:tc>
          <w:tcPr>
            <w:tcW w:w="20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143,087</w:t>
            </w:r>
          </w:p>
        </w:tc>
        <w:tc>
          <w:tcPr>
            <w:tcW w:w="10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114,493</w:t>
            </w:r>
          </w:p>
        </w:tc>
      </w:tr>
      <w:tr>
        <w:trPr>
          <w:trHeight w:val="235"/>
        </w:trPr>
        <w:tc>
          <w:tcPr>
            <w:tcW w:w="75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49,337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45,404</w:t>
            </w:r>
          </w:p>
        </w:tc>
      </w:tr>
      <w:tr>
        <w:trPr>
          <w:trHeight w:val="251"/>
        </w:trPr>
        <w:tc>
          <w:tcPr>
            <w:tcW w:w="7540" w:type="dxa"/>
            <w:vAlign w:val="bottom"/>
            <w:shd w:val="clear" w:color="auto" w:fill="D5DCE4"/>
          </w:tcPr>
          <w:p>
            <w:pPr>
              <w:ind w:left="140"/>
              <w:spacing w:after="0"/>
              <w:rPr>
                <w:sz w:val="20"/>
                <w:szCs w:val="20"/>
                <w:color w:val="auto"/>
              </w:rPr>
            </w:pPr>
            <w:r>
              <w:rPr>
                <w:rFonts w:ascii="Arial" w:cs="Arial" w:eastAsia="Arial" w:hAnsi="Arial"/>
                <w:sz w:val="16"/>
                <w:szCs w:val="16"/>
                <w:color w:val="auto"/>
              </w:rPr>
              <w:t>Technology and communications</w:t>
            </w:r>
          </w:p>
        </w:tc>
        <w:tc>
          <w:tcPr>
            <w:tcW w:w="20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21,310</w:t>
            </w:r>
          </w:p>
        </w:tc>
        <w:tc>
          <w:tcPr>
            <w:tcW w:w="10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17,567</w:t>
            </w:r>
          </w:p>
        </w:tc>
      </w:tr>
      <w:tr>
        <w:trPr>
          <w:trHeight w:val="235"/>
        </w:trPr>
        <w:tc>
          <w:tcPr>
            <w:tcW w:w="754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10,854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13,920</w:t>
            </w:r>
          </w:p>
        </w:tc>
      </w:tr>
      <w:tr>
        <w:trPr>
          <w:trHeight w:val="251"/>
        </w:trPr>
        <w:tc>
          <w:tcPr>
            <w:tcW w:w="7540" w:type="dxa"/>
            <w:vAlign w:val="bottom"/>
            <w:shd w:val="clear" w:color="auto" w:fill="D5DCE4"/>
          </w:tcPr>
          <w:p>
            <w:pPr>
              <w:ind w:left="140"/>
              <w:spacing w:after="0"/>
              <w:rPr>
                <w:sz w:val="20"/>
                <w:szCs w:val="20"/>
                <w:color w:val="auto"/>
              </w:rPr>
            </w:pPr>
            <w:r>
              <w:rPr>
                <w:rFonts w:ascii="Arial" w:cs="Arial" w:eastAsia="Arial" w:hAnsi="Arial"/>
                <w:sz w:val="16"/>
                <w:szCs w:val="16"/>
                <w:color w:val="auto"/>
              </w:rPr>
              <w:t>Professional fees</w:t>
            </w:r>
          </w:p>
        </w:tc>
        <w:tc>
          <w:tcPr>
            <w:tcW w:w="20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11,800</w:t>
            </w:r>
          </w:p>
        </w:tc>
        <w:tc>
          <w:tcPr>
            <w:tcW w:w="10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11,176</w:t>
            </w:r>
          </w:p>
        </w:tc>
      </w:tr>
      <w:tr>
        <w:trPr>
          <w:trHeight w:val="237"/>
        </w:trPr>
        <w:tc>
          <w:tcPr>
            <w:tcW w:w="7540" w:type="dxa"/>
            <w:vAlign w:val="bottom"/>
            <w:tcBorders>
              <w:bottom w:val="single" w:sz="8" w:color="D5DCE4"/>
            </w:tcBorders>
          </w:tcPr>
          <w:p>
            <w:pPr>
              <w:ind w:left="140"/>
              <w:spacing w:after="0"/>
              <w:rPr>
                <w:sz w:val="20"/>
                <w:szCs w:val="20"/>
                <w:color w:val="auto"/>
              </w:rPr>
            </w:pPr>
            <w:r>
              <w:rPr>
                <w:rFonts w:ascii="Arial" w:cs="Arial" w:eastAsia="Arial" w:hAnsi="Arial"/>
                <w:sz w:val="16"/>
                <w:szCs w:val="16"/>
                <w:color w:val="auto"/>
              </w:rPr>
              <w:t>Occupancy</w:t>
            </w: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4,673</w:t>
            </w:r>
          </w:p>
        </w:tc>
        <w:tc>
          <w:tcPr>
            <w:tcW w:w="100" w:type="dxa"/>
            <w:vAlign w:val="bottom"/>
            <w:tcBorders>
              <w:bottom w:val="single" w:sz="8" w:color="D5DCE4"/>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4,123</w:t>
            </w:r>
          </w:p>
        </w:tc>
      </w:tr>
      <w:tr>
        <w:trPr>
          <w:trHeight w:val="243"/>
        </w:trPr>
        <w:tc>
          <w:tcPr>
            <w:tcW w:w="7540" w:type="dxa"/>
            <w:vAlign w:val="bottom"/>
            <w:shd w:val="clear" w:color="auto" w:fill="D5DCE4"/>
          </w:tcPr>
          <w:p>
            <w:pPr>
              <w:ind w:left="220"/>
              <w:spacing w:after="0"/>
              <w:rPr>
                <w:sz w:val="20"/>
                <w:szCs w:val="20"/>
                <w:color w:val="auto"/>
              </w:rPr>
            </w:pPr>
            <w:r>
              <w:rPr>
                <w:rFonts w:ascii="Arial" w:cs="Arial" w:eastAsia="Arial" w:hAnsi="Arial"/>
                <w:sz w:val="16"/>
                <w:szCs w:val="16"/>
                <w:b w:val="1"/>
                <w:bCs w:val="1"/>
                <w:color w:val="auto"/>
              </w:rPr>
              <w:t>Total expenses</w:t>
            </w:r>
          </w:p>
        </w:tc>
        <w:tc>
          <w:tcPr>
            <w:tcW w:w="200" w:type="dxa"/>
            <w:vAlign w:val="bottom"/>
            <w:tcBorders>
              <w:bottom w:val="single" w:sz="8" w:color="auto"/>
            </w:tcBorders>
            <w:shd w:val="clear" w:color="auto" w:fill="D5DCE4"/>
          </w:tcPr>
          <w:p>
            <w:pPr>
              <w:spacing w:after="0"/>
              <w:rPr>
                <w:sz w:val="21"/>
                <w:szCs w:val="21"/>
                <w:color w:val="auto"/>
              </w:rPr>
            </w:pP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241,061</w:t>
            </w:r>
          </w:p>
        </w:tc>
        <w:tc>
          <w:tcPr>
            <w:tcW w:w="100" w:type="dxa"/>
            <w:vAlign w:val="bottom"/>
            <w:shd w:val="clear" w:color="auto" w:fill="D5DCE4"/>
          </w:tcPr>
          <w:p>
            <w:pPr>
              <w:spacing w:after="0"/>
              <w:rPr>
                <w:sz w:val="21"/>
                <w:szCs w:val="21"/>
                <w:color w:val="auto"/>
              </w:rPr>
            </w:pPr>
          </w:p>
        </w:tc>
        <w:tc>
          <w:tcPr>
            <w:tcW w:w="5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206,683</w:t>
            </w:r>
          </w:p>
        </w:tc>
      </w:tr>
      <w:tr>
        <w:trPr>
          <w:trHeight w:val="233"/>
        </w:trPr>
        <w:tc>
          <w:tcPr>
            <w:tcW w:w="7540" w:type="dxa"/>
            <w:vAlign w:val="bottom"/>
            <w:tcBorders>
              <w:bottom w:val="single" w:sz="8" w:color="D5DCE4"/>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167,678</w:t>
            </w:r>
          </w:p>
        </w:tc>
        <w:tc>
          <w:tcPr>
            <w:tcW w:w="100" w:type="dxa"/>
            <w:vAlign w:val="bottom"/>
            <w:tcBorders>
              <w:bottom w:val="single" w:sz="8" w:color="D5DCE4"/>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122,566</w:t>
            </w:r>
          </w:p>
        </w:tc>
      </w:tr>
      <w:tr>
        <w:trPr>
          <w:trHeight w:val="240"/>
        </w:trPr>
        <w:tc>
          <w:tcPr>
            <w:tcW w:w="7540" w:type="dxa"/>
            <w:vAlign w:val="bottom"/>
            <w:shd w:val="clear" w:color="auto" w:fill="D5DCE4"/>
          </w:tcPr>
          <w:p>
            <w:pPr>
              <w:ind w:left="14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D5DCE4"/>
          </w:tcPr>
          <w:p>
            <w:pPr>
              <w:spacing w:after="0"/>
              <w:rPr>
                <w:sz w:val="20"/>
                <w:szCs w:val="20"/>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21,060</w:t>
            </w:r>
          </w:p>
        </w:tc>
        <w:tc>
          <w:tcPr>
            <w:tcW w:w="100" w:type="dxa"/>
            <w:vAlign w:val="bottom"/>
            <w:shd w:val="clear" w:color="auto" w:fill="D5DCE4"/>
          </w:tcPr>
          <w:p>
            <w:pPr>
              <w:spacing w:after="0"/>
              <w:rPr>
                <w:sz w:val="20"/>
                <w:szCs w:val="20"/>
                <w:color w:val="auto"/>
              </w:rPr>
            </w:pPr>
          </w:p>
        </w:tc>
        <w:tc>
          <w:tcPr>
            <w:tcW w:w="520" w:type="dxa"/>
            <w:vAlign w:val="bottom"/>
            <w:shd w:val="clear" w:color="auto" w:fill="D5DCE4"/>
          </w:tcPr>
          <w:p>
            <w:pPr>
              <w:spacing w:after="0"/>
              <w:rPr>
                <w:sz w:val="20"/>
                <w:szCs w:val="20"/>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12,940</w:t>
            </w:r>
          </w:p>
        </w:tc>
      </w:tr>
      <w:tr>
        <w:trPr>
          <w:trHeight w:val="235"/>
        </w:trPr>
        <w:tc>
          <w:tcPr>
            <w:tcW w:w="75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(449)</w:t>
            </w:r>
          </w:p>
        </w:tc>
      </w:tr>
      <w:tr>
        <w:trPr>
          <w:trHeight w:val="251"/>
        </w:trPr>
        <w:tc>
          <w:tcPr>
            <w:tcW w:w="7540" w:type="dxa"/>
            <w:vAlign w:val="bottom"/>
            <w:shd w:val="clear" w:color="auto" w:fill="D5DCE4"/>
          </w:tcPr>
          <w:p>
            <w:pPr>
              <w:ind w:left="140"/>
              <w:spacing w:after="0"/>
              <w:rPr>
                <w:sz w:val="20"/>
                <w:szCs w:val="20"/>
                <w:color w:val="auto"/>
              </w:rPr>
            </w:pPr>
            <w:r>
              <w:rPr>
                <w:rFonts w:ascii="Arial" w:cs="Arial" w:eastAsia="Arial" w:hAnsi="Arial"/>
                <w:sz w:val="16"/>
                <w:szCs w:val="16"/>
                <w:color w:val="auto"/>
              </w:rPr>
              <w:t>Other income (loss), net</w:t>
            </w:r>
          </w:p>
        </w:tc>
        <w:tc>
          <w:tcPr>
            <w:tcW w:w="200" w:type="dxa"/>
            <w:vAlign w:val="bottom"/>
            <w:shd w:val="clear" w:color="auto" w:fill="D5DCE4"/>
          </w:tcPr>
          <w:p>
            <w:pPr>
              <w:spacing w:after="0"/>
              <w:rPr>
                <w:sz w:val="21"/>
                <w:szCs w:val="21"/>
                <w:color w:val="auto"/>
              </w:rPr>
            </w:pPr>
          </w:p>
        </w:tc>
        <w:tc>
          <w:tcPr>
            <w:tcW w:w="170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341</w:t>
            </w:r>
          </w:p>
        </w:tc>
      </w:tr>
      <w:tr>
        <w:trPr>
          <w:trHeight w:val="233"/>
        </w:trPr>
        <w:tc>
          <w:tcPr>
            <w:tcW w:w="7540" w:type="dxa"/>
            <w:vAlign w:val="bottom"/>
            <w:tcBorders>
              <w:bottom w:val="single" w:sz="8" w:color="D5DCE4"/>
            </w:tcBorders>
          </w:tcPr>
          <w:p>
            <w:pPr>
              <w:ind w:left="20"/>
              <w:spacing w:after="0"/>
              <w:rPr>
                <w:sz w:val="20"/>
                <w:szCs w:val="20"/>
                <w:color w:val="auto"/>
              </w:rPr>
            </w:pPr>
            <w:r>
              <w:rPr>
                <w:rFonts w:ascii="Arial" w:cs="Arial" w:eastAsia="Arial" w:hAnsi="Arial"/>
                <w:sz w:val="16"/>
                <w:szCs w:val="16"/>
                <w:b w:val="1"/>
                <w:bCs w:val="1"/>
                <w:color w:val="auto"/>
              </w:rPr>
              <w:t>Income before taxes</w:t>
            </w:r>
          </w:p>
        </w:tc>
        <w:tc>
          <w:tcPr>
            <w:tcW w:w="20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187,020</w:t>
            </w:r>
          </w:p>
        </w:tc>
        <w:tc>
          <w:tcPr>
            <w:tcW w:w="100" w:type="dxa"/>
            <w:vAlign w:val="bottom"/>
            <w:tcBorders>
              <w:bottom w:val="single" w:sz="8" w:color="D5DCE4"/>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135,398</w:t>
            </w:r>
          </w:p>
        </w:tc>
      </w:tr>
      <w:tr>
        <w:trPr>
          <w:trHeight w:val="240"/>
        </w:trPr>
        <w:tc>
          <w:tcPr>
            <w:tcW w:w="754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auto"/>
            </w:tcBorders>
            <w:shd w:val="clear" w:color="auto" w:fill="D5DCE4"/>
          </w:tcPr>
          <w:p>
            <w:pPr>
              <w:spacing w:after="0"/>
              <w:rPr>
                <w:sz w:val="20"/>
                <w:szCs w:val="20"/>
                <w:color w:val="auto"/>
              </w:rPr>
            </w:pP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(43,638)</w:t>
            </w:r>
          </w:p>
        </w:tc>
        <w:tc>
          <w:tcPr>
            <w:tcW w:w="100" w:type="dxa"/>
            <w:vAlign w:val="bottom"/>
            <w:shd w:val="clear" w:color="auto" w:fill="D5DCE4"/>
          </w:tcPr>
          <w:p>
            <w:pPr>
              <w:spacing w:after="0"/>
              <w:rPr>
                <w:sz w:val="20"/>
                <w:szCs w:val="20"/>
                <w:color w:val="auto"/>
              </w:rPr>
            </w:pPr>
          </w:p>
        </w:tc>
        <w:tc>
          <w:tcPr>
            <w:tcW w:w="5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(33,205)</w:t>
            </w:r>
          </w:p>
        </w:tc>
      </w:tr>
      <w:tr>
        <w:trPr>
          <w:trHeight w:val="233"/>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143,382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102,193</w:t>
            </w:r>
          </w:p>
        </w:tc>
      </w:tr>
      <w:tr>
        <w:trPr>
          <w:trHeight w:val="240"/>
        </w:trPr>
        <w:tc>
          <w:tcPr>
            <w:tcW w:w="7540" w:type="dxa"/>
            <w:vAlign w:val="bottom"/>
            <w:shd w:val="clear" w:color="auto" w:fill="D5DCE4"/>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200" w:type="dxa"/>
            <w:vAlign w:val="bottom"/>
            <w:tcBorders>
              <w:bottom w:val="single" w:sz="8" w:color="auto"/>
            </w:tcBorders>
            <w:shd w:val="clear" w:color="auto" w:fill="D5DCE4"/>
          </w:tcPr>
          <w:p>
            <w:pPr>
              <w:spacing w:after="0"/>
              <w:rPr>
                <w:sz w:val="20"/>
                <w:szCs w:val="20"/>
                <w:color w:val="auto"/>
              </w:rPr>
            </w:pP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17,240</w:t>
            </w:r>
          </w:p>
        </w:tc>
        <w:tc>
          <w:tcPr>
            <w:tcW w:w="100" w:type="dxa"/>
            <w:vAlign w:val="bottom"/>
            <w:shd w:val="clear" w:color="auto" w:fill="D5DCE4"/>
          </w:tcPr>
          <w:p>
            <w:pPr>
              <w:spacing w:after="0"/>
              <w:rPr>
                <w:sz w:val="20"/>
                <w:szCs w:val="20"/>
                <w:color w:val="auto"/>
              </w:rPr>
            </w:pPr>
          </w:p>
        </w:tc>
        <w:tc>
          <w:tcPr>
            <w:tcW w:w="5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14,337</w:t>
            </w:r>
          </w:p>
        </w:tc>
      </w:tr>
      <w:tr>
        <w:trPr>
          <w:trHeight w:val="243"/>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Tradeweb Markets Inc.</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126,142</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87,856</w:t>
            </w:r>
          </w:p>
        </w:tc>
      </w:tr>
      <w:tr>
        <w:trPr>
          <w:trHeight w:val="20"/>
        </w:trPr>
        <w:tc>
          <w:tcPr>
            <w:tcW w:w="7540" w:type="dxa"/>
            <w:vAlign w:val="bottom"/>
            <w:tcBorders>
              <w:bottom w:val="single" w:sz="8" w:color="D5DCE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7540" w:type="dxa"/>
            <w:vAlign w:val="bottom"/>
            <w:shd w:val="clear" w:color="auto" w:fill="D5DCE4"/>
          </w:tcPr>
          <w:p>
            <w:pPr>
              <w:spacing w:after="0"/>
              <w:rPr>
                <w:sz w:val="19"/>
                <w:szCs w:val="19"/>
                <w:color w:val="auto"/>
              </w:rPr>
            </w:pPr>
          </w:p>
        </w:tc>
        <w:tc>
          <w:tcPr>
            <w:tcW w:w="200" w:type="dxa"/>
            <w:vAlign w:val="bottom"/>
            <w:shd w:val="clear" w:color="auto" w:fill="D5DCE4"/>
          </w:tcPr>
          <w:p>
            <w:pPr>
              <w:spacing w:after="0"/>
              <w:rPr>
                <w:sz w:val="19"/>
                <w:szCs w:val="19"/>
                <w:color w:val="auto"/>
              </w:rPr>
            </w:pPr>
          </w:p>
        </w:tc>
        <w:tc>
          <w:tcPr>
            <w:tcW w:w="1600" w:type="dxa"/>
            <w:vAlign w:val="bottom"/>
            <w:shd w:val="clear" w:color="auto" w:fill="D5DCE4"/>
          </w:tcPr>
          <w:p>
            <w:pPr>
              <w:spacing w:after="0"/>
              <w:rPr>
                <w:sz w:val="19"/>
                <w:szCs w:val="19"/>
                <w:color w:val="auto"/>
              </w:rPr>
            </w:pPr>
          </w:p>
        </w:tc>
        <w:tc>
          <w:tcPr>
            <w:tcW w:w="100" w:type="dxa"/>
            <w:vAlign w:val="bottom"/>
            <w:shd w:val="clear" w:color="auto" w:fill="D5DCE4"/>
          </w:tcPr>
          <w:p>
            <w:pPr>
              <w:spacing w:after="0"/>
              <w:rPr>
                <w:sz w:val="19"/>
                <w:szCs w:val="19"/>
                <w:color w:val="auto"/>
              </w:rPr>
            </w:pPr>
          </w:p>
        </w:tc>
        <w:tc>
          <w:tcPr>
            <w:tcW w:w="5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r>
      <w:tr>
        <w:trPr>
          <w:trHeight w:val="235"/>
        </w:trPr>
        <w:tc>
          <w:tcPr>
            <w:tcW w:w="7540" w:type="dxa"/>
            <w:vAlign w:val="bottom"/>
          </w:tcPr>
          <w:p>
            <w:pPr>
              <w:ind w:left="20"/>
              <w:spacing w:after="0"/>
              <w:rPr>
                <w:sz w:val="20"/>
                <w:szCs w:val="20"/>
                <w:color w:val="auto"/>
              </w:rPr>
            </w:pPr>
            <w:r>
              <w:rPr>
                <w:rFonts w:ascii="Arial" w:cs="Arial" w:eastAsia="Arial" w:hAnsi="Arial"/>
                <w:sz w:val="16"/>
                <w:szCs w:val="16"/>
                <w:color w:val="auto"/>
              </w:rPr>
              <w:t>Earnings per share attributable to Tradeweb Markets Inc. Class A and B common stockholders:</w:t>
            </w: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6"/>
        </w:trPr>
        <w:tc>
          <w:tcPr>
            <w:tcW w:w="7540" w:type="dxa"/>
            <w:vAlign w:val="bottom"/>
            <w:tcBorders>
              <w:bottom w:val="single" w:sz="8" w:color="D5DCE4"/>
            </w:tcBorders>
            <w:shd w:val="clear" w:color="auto" w:fill="D5DCE4"/>
          </w:tcPr>
          <w:p>
            <w:pPr>
              <w:ind w:left="1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shd w:val="clear" w:color="auto" w:fill="D5DCE4"/>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Borders>
              <w:bottom w:val="single" w:sz="8" w:color="D5DCE4"/>
            </w:tcBorders>
            <w:shd w:val="clear" w:color="auto" w:fill="D5DCE4"/>
          </w:tcPr>
          <w:p>
            <w:pPr>
              <w:spacing w:after="0"/>
              <w:rPr>
                <w:sz w:val="23"/>
                <w:szCs w:val="23"/>
                <w:color w:val="auto"/>
              </w:rPr>
            </w:pPr>
          </w:p>
        </w:tc>
        <w:tc>
          <w:tcPr>
            <w:tcW w:w="520" w:type="dxa"/>
            <w:vAlign w:val="bottom"/>
            <w:tcBorders>
              <w:bottom w:val="single" w:sz="8" w:color="auto"/>
            </w:tcBorders>
            <w:shd w:val="clear" w:color="auto" w:fill="D5DCE4"/>
          </w:tcPr>
          <w:p>
            <w:pPr>
              <w:jc w:val="right"/>
              <w:ind w:right="3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0.42</w:t>
            </w:r>
          </w:p>
        </w:tc>
      </w:tr>
      <w:tr>
        <w:trPr>
          <w:trHeight w:val="20"/>
        </w:trPr>
        <w:tc>
          <w:tcPr>
            <w:tcW w:w="754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bottom w:val="single" w:sz="8" w:color="auto"/>
            </w:tcBorders>
          </w:tcPr>
          <w:p>
            <w:pPr>
              <w:spacing w:after="0" w:line="20" w:lineRule="exact"/>
              <w:rPr>
                <w:sz w:val="1"/>
                <w:szCs w:val="1"/>
                <w:color w:val="auto"/>
              </w:rPr>
            </w:pPr>
          </w:p>
        </w:tc>
        <w:tc>
          <w:tcPr>
            <w:tcW w:w="1600" w:type="dxa"/>
            <w:vAlign w:val="bottom"/>
            <w:tcBorders>
              <w:top w:val="single" w:sz="8" w:color="D5DCE4"/>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5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7540" w:type="dxa"/>
            <w:vAlign w:val="bottom"/>
          </w:tcPr>
          <w:p>
            <w:pPr>
              <w:ind w:left="1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0.42</w:t>
            </w:r>
          </w:p>
        </w:tc>
      </w:tr>
      <w:tr>
        <w:trPr>
          <w:trHeight w:val="20"/>
        </w:trPr>
        <w:tc>
          <w:tcPr>
            <w:tcW w:w="7540" w:type="dxa"/>
            <w:vAlign w:val="bottom"/>
            <w:tcBorders>
              <w:bottom w:val="single" w:sz="8" w:color="D5DCE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0"/>
        </w:trPr>
        <w:tc>
          <w:tcPr>
            <w:tcW w:w="7540" w:type="dxa"/>
            <w:vAlign w:val="bottom"/>
            <w:shd w:val="clear" w:color="auto" w:fill="D5DCE4"/>
          </w:tcPr>
          <w:p>
            <w:pPr>
              <w:ind w:left="20"/>
              <w:spacing w:after="0"/>
              <w:rPr>
                <w:sz w:val="20"/>
                <w:szCs w:val="20"/>
                <w:color w:val="auto"/>
              </w:rPr>
            </w:pPr>
            <w:r>
              <w:rPr>
                <w:rFonts w:ascii="Arial" w:cs="Arial" w:eastAsia="Arial" w:hAnsi="Arial"/>
                <w:sz w:val="16"/>
                <w:szCs w:val="16"/>
                <w:color w:val="auto"/>
              </w:rPr>
              <w:t>Weighted average shares outstanding:</w:t>
            </w:r>
          </w:p>
        </w:tc>
        <w:tc>
          <w:tcPr>
            <w:tcW w:w="200" w:type="dxa"/>
            <w:vAlign w:val="bottom"/>
            <w:shd w:val="clear" w:color="auto" w:fill="D5DCE4"/>
          </w:tcPr>
          <w:p>
            <w:pPr>
              <w:spacing w:after="0"/>
              <w:rPr>
                <w:sz w:val="18"/>
                <w:szCs w:val="18"/>
                <w:color w:val="auto"/>
              </w:rPr>
            </w:pPr>
          </w:p>
        </w:tc>
        <w:tc>
          <w:tcPr>
            <w:tcW w:w="1600" w:type="dxa"/>
            <w:vAlign w:val="bottom"/>
            <w:shd w:val="clear" w:color="auto" w:fill="D5DCE4"/>
          </w:tcPr>
          <w:p>
            <w:pPr>
              <w:spacing w:after="0"/>
              <w:rPr>
                <w:sz w:val="18"/>
                <w:szCs w:val="18"/>
                <w:color w:val="auto"/>
              </w:rPr>
            </w:pPr>
          </w:p>
        </w:tc>
        <w:tc>
          <w:tcPr>
            <w:tcW w:w="100" w:type="dxa"/>
            <w:vAlign w:val="bottom"/>
            <w:shd w:val="clear" w:color="auto" w:fill="D5DCE4"/>
          </w:tcPr>
          <w:p>
            <w:pPr>
              <w:spacing w:after="0"/>
              <w:rPr>
                <w:sz w:val="18"/>
                <w:szCs w:val="18"/>
                <w:color w:val="auto"/>
              </w:rPr>
            </w:pPr>
          </w:p>
        </w:tc>
        <w:tc>
          <w:tcPr>
            <w:tcW w:w="52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r>
      <w:tr>
        <w:trPr>
          <w:trHeight w:val="235"/>
        </w:trPr>
        <w:tc>
          <w:tcPr>
            <w:tcW w:w="7540" w:type="dxa"/>
            <w:vAlign w:val="bottom"/>
          </w:tcPr>
          <w:p>
            <w:pPr>
              <w:ind w:left="14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212,709,872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208,105,437</w:t>
            </w:r>
          </w:p>
        </w:tc>
      </w:tr>
      <w:tr>
        <w:trPr>
          <w:trHeight w:val="251"/>
        </w:trPr>
        <w:tc>
          <w:tcPr>
            <w:tcW w:w="7540" w:type="dxa"/>
            <w:vAlign w:val="bottom"/>
            <w:shd w:val="clear" w:color="auto" w:fill="D5DCE4"/>
          </w:tcPr>
          <w:p>
            <w:pPr>
              <w:ind w:left="14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214,660,853</w:t>
            </w:r>
          </w:p>
        </w:tc>
        <w:tc>
          <w:tcPr>
            <w:tcW w:w="10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210,143,734</w:t>
            </w:r>
          </w:p>
        </w:tc>
      </w:tr>
    </w:tbl>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4</w:t>
      </w:r>
    </w:p>
    <w:p>
      <w:pPr>
        <w:sectPr>
          <w:pgSz w:w="11900" w:h="16838" w:orient="portrait"/>
          <w:cols w:equalWidth="0" w:num="1">
            <w:col w:w="11240"/>
          </w:cols>
          <w:pgMar w:left="320" w:top="692"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RECONCILIATION OF NON-GAAP FINANCIAL MEASURES (UNAUDITED)</w:t>
      </w:r>
    </w:p>
    <w:p>
      <w:pPr>
        <w:spacing w:after="0" w:line="200" w:lineRule="exact"/>
        <w:rPr>
          <w:sz w:val="20"/>
          <w:szCs w:val="20"/>
          <w:color w:val="auto"/>
        </w:rPr>
      </w:pPr>
    </w:p>
    <w:p>
      <w:pPr>
        <w:spacing w:after="0" w:line="397" w:lineRule="exact"/>
        <w:rPr>
          <w:sz w:val="20"/>
          <w:szCs w:val="20"/>
          <w:color w:val="auto"/>
        </w:rPr>
      </w:pPr>
    </w:p>
    <w:p>
      <w:pPr>
        <w:ind w:left="20" w:right="360"/>
        <w:spacing w:after="0" w:line="296" w:lineRule="auto"/>
        <w:rPr>
          <w:sz w:val="20"/>
          <w:szCs w:val="20"/>
          <w:color w:val="auto"/>
        </w:rPr>
      </w:pPr>
      <w:r>
        <w:rPr>
          <w:rFonts w:ascii="Arial" w:cs="Arial" w:eastAsia="Arial" w:hAnsi="Arial"/>
          <w:sz w:val="16"/>
          <w:szCs w:val="16"/>
          <w:b w:val="1"/>
          <w:bCs w:val="1"/>
          <w:color w:val="auto"/>
        </w:rPr>
        <w:t>Reconciliation of Net Income to Adjusted EBITDA, Adjusted EBITDA Margin, Adjusted EBIT and Adjusted EBIT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46120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80"/>
        <w:spacing w:after="0"/>
        <w:rPr>
          <w:sz w:val="20"/>
          <w:szCs w:val="20"/>
          <w:color w:val="auto"/>
        </w:rPr>
      </w:pPr>
      <w:r>
        <w:rPr>
          <w:rFonts w:ascii="Arial" w:cs="Arial" w:eastAsia="Arial" w:hAnsi="Arial"/>
          <w:sz w:val="16"/>
          <w:szCs w:val="16"/>
          <w:b w:val="1"/>
          <w:bCs w:val="1"/>
          <w:color w:val="auto"/>
        </w:rPr>
        <w:t>Three Months Ended</w:t>
      </w:r>
    </w:p>
    <w:p>
      <w:pPr>
        <w:spacing w:after="0" w:line="59" w:lineRule="exact"/>
        <w:rPr>
          <w:sz w:val="20"/>
          <w:szCs w:val="20"/>
          <w:color w:val="auto"/>
        </w:rPr>
      </w:pPr>
    </w:p>
    <w:p>
      <w:pPr>
        <w:jc w:val="center"/>
        <w:ind w:right="7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29210</wp:posOffset>
            </wp:positionV>
            <wp:extent cx="24688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53" w:lineRule="exact"/>
        <w:rPr>
          <w:sz w:val="20"/>
          <w:szCs w:val="20"/>
          <w:color w:val="auto"/>
        </w:rPr>
      </w:pPr>
    </w:p>
    <w:p>
      <w:pPr>
        <w:spacing w:after="0"/>
        <w:tabs>
          <w:tab w:leader="none" w:pos="1960" w:val="left"/>
        </w:tabs>
        <w:rPr>
          <w:sz w:val="20"/>
          <w:szCs w:val="20"/>
          <w:color w:val="auto"/>
        </w:rPr>
      </w:pPr>
      <w:r>
        <w:rPr>
          <w:rFonts w:ascii="Arial" w:cs="Arial" w:eastAsia="Arial" w:hAnsi="Arial"/>
          <w:sz w:val="16"/>
          <w:szCs w:val="16"/>
          <w:b w:val="1"/>
          <w:bCs w:val="1"/>
          <w:color w:val="auto"/>
        </w:rPr>
        <w:t>2024</w:t>
      </w:r>
      <w:r>
        <w:rPr>
          <w:sz w:val="20"/>
          <w:szCs w:val="20"/>
          <w:color w:val="auto"/>
        </w:rPr>
        <w:tab/>
      </w: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29210</wp:posOffset>
            </wp:positionV>
            <wp:extent cx="24688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(dollars in thousands)</w:t>
      </w:r>
    </w:p>
    <w:p>
      <w:pPr>
        <w:spacing w:after="0" w:line="59" w:lineRule="exact"/>
        <w:rPr>
          <w:sz w:val="20"/>
          <w:szCs w:val="20"/>
          <w:color w:val="auto"/>
        </w:rPr>
      </w:pPr>
    </w:p>
    <w:p>
      <w:pPr>
        <w:sectPr>
          <w:pgSz w:w="11900" w:h="16838" w:orient="portrait"/>
          <w:cols w:equalWidth="0" w:num="2">
            <w:col w:w="7400" w:space="720"/>
            <w:col w:w="3120"/>
          </w:cols>
          <w:pgMar w:left="320" w:top="773" w:right="339" w:bottom="1440" w:gutter="0" w:footer="0" w:header="0"/>
        </w:sectPr>
      </w:pPr>
    </w:p>
    <w:tbl>
      <w:tblPr>
        <w:tblLayout w:type="fixed"/>
        <w:tblInd w:w="0" w:type="dxa"/>
        <w:tblCellMar>
          <w:top w:w="0" w:type="dxa"/>
          <w:left w:w="0" w:type="dxa"/>
          <w:bottom w:w="0" w:type="dxa"/>
          <w:right w:w="0" w:type="dxa"/>
        </w:tblCellMar>
      </w:tblPr>
      <w:tr>
        <w:trPr>
          <w:trHeight w:val="230"/>
        </w:trPr>
        <w:tc>
          <w:tcPr>
            <w:tcW w:w="7360" w:type="dxa"/>
            <w:vAlign w:val="bottom"/>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600" w:type="dxa"/>
            <w:vAlign w:val="bottom"/>
            <w:shd w:val="clear" w:color="auto" w:fill="D5DCE4"/>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143,382</w:t>
            </w:r>
          </w:p>
        </w:tc>
        <w:tc>
          <w:tcPr>
            <w:tcW w:w="80" w:type="dxa"/>
            <w:vAlign w:val="bottom"/>
            <w:shd w:val="clear" w:color="auto" w:fill="D5DCE4"/>
          </w:tcPr>
          <w:p>
            <w:pPr>
              <w:spacing w:after="0"/>
              <w:rPr>
                <w:sz w:val="20"/>
                <w:szCs w:val="20"/>
                <w:color w:val="auto"/>
              </w:rPr>
            </w:pPr>
          </w:p>
        </w:tc>
        <w:tc>
          <w:tcPr>
            <w:tcW w:w="600" w:type="dxa"/>
            <w:vAlign w:val="bottom"/>
            <w:shd w:val="clear" w:color="auto" w:fill="D5DCE4"/>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102,193</w:t>
            </w:r>
          </w:p>
        </w:tc>
      </w:tr>
      <w:tr>
        <w:trPr>
          <w:trHeight w:val="243"/>
        </w:trPr>
        <w:tc>
          <w:tcPr>
            <w:tcW w:w="7360" w:type="dxa"/>
            <w:vAlign w:val="bottom"/>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600" w:type="dxa"/>
            <w:vAlign w:val="bottom"/>
          </w:tcPr>
          <w:p>
            <w:pPr>
              <w:spacing w:after="0"/>
              <w:rPr>
                <w:sz w:val="21"/>
                <w:szCs w:val="21"/>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3,614</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585</w:t>
            </w:r>
          </w:p>
        </w:tc>
      </w:tr>
      <w:tr>
        <w:trPr>
          <w:trHeight w:val="243"/>
        </w:trPr>
        <w:tc>
          <w:tcPr>
            <w:tcW w:w="7360" w:type="dxa"/>
            <w:vAlign w:val="bottom"/>
            <w:shd w:val="clear" w:color="auto" w:fill="D5DCE4"/>
          </w:tcPr>
          <w:p>
            <w:pPr>
              <w:ind w:left="20"/>
              <w:spacing w:after="0"/>
              <w:rPr>
                <w:sz w:val="20"/>
                <w:szCs w:val="20"/>
                <w:color w:val="auto"/>
              </w:rPr>
            </w:pPr>
            <w:r>
              <w:rPr>
                <w:rFonts w:ascii="Arial" w:cs="Arial" w:eastAsia="Arial" w:hAnsi="Arial"/>
                <w:sz w:val="16"/>
                <w:szCs w:val="16"/>
                <w:color w:val="auto"/>
              </w:rPr>
              <w:t>Interest income</w:t>
            </w:r>
          </w:p>
        </w:tc>
        <w:tc>
          <w:tcPr>
            <w:tcW w:w="600" w:type="dxa"/>
            <w:vAlign w:val="bottom"/>
            <w:shd w:val="clear" w:color="auto" w:fill="D5DCE4"/>
          </w:tcPr>
          <w:p>
            <w:pPr>
              <w:spacing w:after="0"/>
              <w:rPr>
                <w:sz w:val="21"/>
                <w:szCs w:val="21"/>
                <w:color w:val="auto"/>
              </w:rPr>
            </w:pPr>
          </w:p>
        </w:tc>
        <w:tc>
          <w:tcPr>
            <w:tcW w:w="130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(21,060)</w:t>
            </w:r>
          </w:p>
        </w:tc>
        <w:tc>
          <w:tcPr>
            <w:tcW w:w="80" w:type="dxa"/>
            <w:vAlign w:val="bottom"/>
            <w:shd w:val="clear" w:color="auto" w:fill="D5DCE4"/>
          </w:tcPr>
          <w:p>
            <w:pPr>
              <w:spacing w:after="0"/>
              <w:rPr>
                <w:sz w:val="21"/>
                <w:szCs w:val="21"/>
                <w:color w:val="auto"/>
              </w:rPr>
            </w:pPr>
          </w:p>
        </w:tc>
        <w:tc>
          <w:tcPr>
            <w:tcW w:w="600" w:type="dxa"/>
            <w:vAlign w:val="bottom"/>
            <w:shd w:val="clear" w:color="auto" w:fill="D5DCE4"/>
          </w:tcPr>
          <w:p>
            <w:pPr>
              <w:spacing w:after="0"/>
              <w:rPr>
                <w:sz w:val="21"/>
                <w:szCs w:val="21"/>
                <w:color w:val="auto"/>
              </w:rPr>
            </w:pPr>
          </w:p>
        </w:tc>
        <w:tc>
          <w:tcPr>
            <w:tcW w:w="130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(12,940)</w:t>
            </w:r>
          </w:p>
        </w:tc>
      </w:tr>
      <w:tr>
        <w:trPr>
          <w:trHeight w:val="235"/>
        </w:trPr>
        <w:tc>
          <w:tcPr>
            <w:tcW w:w="73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600" w:type="dxa"/>
            <w:vAlign w:val="bottom"/>
          </w:tcPr>
          <w:p>
            <w:pPr>
              <w:spacing w:after="0"/>
              <w:rPr>
                <w:sz w:val="20"/>
                <w:szCs w:val="20"/>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1,718</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449</w:t>
            </w:r>
          </w:p>
        </w:tc>
      </w:tr>
      <w:tr>
        <w:trPr>
          <w:trHeight w:val="251"/>
        </w:trPr>
        <w:tc>
          <w:tcPr>
            <w:tcW w:w="7360" w:type="dxa"/>
            <w:vAlign w:val="bottom"/>
            <w:shd w:val="clear" w:color="auto" w:fill="D5DCE4"/>
          </w:tcPr>
          <w:p>
            <w:pPr>
              <w:ind w:left="20"/>
              <w:spacing w:after="0"/>
              <w:rPr>
                <w:sz w:val="20"/>
                <w:szCs w:val="20"/>
                <w:color w:val="auto"/>
              </w:rPr>
            </w:pPr>
            <w:r>
              <w:rPr>
                <w:rFonts w:ascii="Arial" w:cs="Arial" w:eastAsia="Arial" w:hAnsi="Arial"/>
                <w:sz w:val="16"/>
                <w:szCs w:val="16"/>
                <w:color w:val="auto"/>
              </w:rPr>
              <w:t>Depreciation and amortization</w:t>
            </w:r>
          </w:p>
        </w:tc>
        <w:tc>
          <w:tcPr>
            <w:tcW w:w="600" w:type="dxa"/>
            <w:vAlign w:val="bottom"/>
            <w:shd w:val="clear" w:color="auto" w:fill="D5DCE4"/>
          </w:tcPr>
          <w:p>
            <w:pPr>
              <w:spacing w:after="0"/>
              <w:rPr>
                <w:sz w:val="21"/>
                <w:szCs w:val="21"/>
                <w:color w:val="auto"/>
              </w:rPr>
            </w:pPr>
          </w:p>
        </w:tc>
        <w:tc>
          <w:tcPr>
            <w:tcW w:w="130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49,337</w:t>
            </w:r>
          </w:p>
        </w:tc>
        <w:tc>
          <w:tcPr>
            <w:tcW w:w="80" w:type="dxa"/>
            <w:vAlign w:val="bottom"/>
            <w:shd w:val="clear" w:color="auto" w:fill="D5DCE4"/>
          </w:tcPr>
          <w:p>
            <w:pPr>
              <w:spacing w:after="0"/>
              <w:rPr>
                <w:sz w:val="21"/>
                <w:szCs w:val="21"/>
                <w:color w:val="auto"/>
              </w:rPr>
            </w:pPr>
          </w:p>
        </w:tc>
        <w:tc>
          <w:tcPr>
            <w:tcW w:w="600" w:type="dxa"/>
            <w:vAlign w:val="bottom"/>
            <w:shd w:val="clear" w:color="auto" w:fill="D5DCE4"/>
          </w:tcPr>
          <w:p>
            <w:pPr>
              <w:spacing w:after="0"/>
              <w:rPr>
                <w:sz w:val="21"/>
                <w:szCs w:val="21"/>
                <w:color w:val="auto"/>
              </w:rPr>
            </w:pPr>
          </w:p>
        </w:tc>
        <w:tc>
          <w:tcPr>
            <w:tcW w:w="130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45,404</w:t>
            </w:r>
          </w:p>
        </w:tc>
      </w:tr>
      <w:tr>
        <w:trPr>
          <w:trHeight w:val="243"/>
        </w:trPr>
        <w:tc>
          <w:tcPr>
            <w:tcW w:w="7360" w:type="dxa"/>
            <w:vAlign w:val="bottom"/>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(2)</w:t>
            </w:r>
          </w:p>
        </w:tc>
        <w:tc>
          <w:tcPr>
            <w:tcW w:w="600" w:type="dxa"/>
            <w:vAlign w:val="bottom"/>
          </w:tcPr>
          <w:p>
            <w:pPr>
              <w:spacing w:after="0"/>
              <w:rPr>
                <w:sz w:val="21"/>
                <w:szCs w:val="21"/>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1,183</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850</w:t>
            </w:r>
          </w:p>
        </w:tc>
      </w:tr>
      <w:tr>
        <w:trPr>
          <w:trHeight w:val="243"/>
        </w:trPr>
        <w:tc>
          <w:tcPr>
            <w:tcW w:w="736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600" w:type="dxa"/>
            <w:vAlign w:val="bottom"/>
            <w:shd w:val="clear" w:color="auto" w:fill="D5DCE4"/>
          </w:tcPr>
          <w:p>
            <w:pPr>
              <w:spacing w:after="0"/>
              <w:rPr>
                <w:sz w:val="21"/>
                <w:szCs w:val="21"/>
                <w:color w:val="auto"/>
              </w:rPr>
            </w:pPr>
          </w:p>
        </w:tc>
        <w:tc>
          <w:tcPr>
            <w:tcW w:w="130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43,638</w:t>
            </w:r>
          </w:p>
        </w:tc>
        <w:tc>
          <w:tcPr>
            <w:tcW w:w="80" w:type="dxa"/>
            <w:vAlign w:val="bottom"/>
            <w:shd w:val="clear" w:color="auto" w:fill="D5DCE4"/>
          </w:tcPr>
          <w:p>
            <w:pPr>
              <w:spacing w:after="0"/>
              <w:rPr>
                <w:sz w:val="21"/>
                <w:szCs w:val="21"/>
                <w:color w:val="auto"/>
              </w:rPr>
            </w:pPr>
          </w:p>
        </w:tc>
        <w:tc>
          <w:tcPr>
            <w:tcW w:w="600" w:type="dxa"/>
            <w:vAlign w:val="bottom"/>
            <w:shd w:val="clear" w:color="auto" w:fill="D5DCE4"/>
          </w:tcPr>
          <w:p>
            <w:pPr>
              <w:spacing w:after="0"/>
              <w:rPr>
                <w:sz w:val="21"/>
                <w:szCs w:val="21"/>
                <w:color w:val="auto"/>
              </w:rPr>
            </w:pPr>
          </w:p>
        </w:tc>
        <w:tc>
          <w:tcPr>
            <w:tcW w:w="130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33,205</w:t>
            </w:r>
          </w:p>
        </w:tc>
      </w:tr>
      <w:tr>
        <w:trPr>
          <w:trHeight w:val="243"/>
        </w:trPr>
        <w:tc>
          <w:tcPr>
            <w:tcW w:w="7360" w:type="dxa"/>
            <w:vAlign w:val="bottom"/>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(3)</w:t>
            </w:r>
          </w:p>
        </w:tc>
        <w:tc>
          <w:tcPr>
            <w:tcW w:w="600" w:type="dxa"/>
            <w:vAlign w:val="bottom"/>
          </w:tcPr>
          <w:p>
            <w:pPr>
              <w:spacing w:after="0"/>
              <w:rPr>
                <w:sz w:val="21"/>
                <w:szCs w:val="21"/>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(2,284)</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2,798</w:t>
            </w:r>
          </w:p>
        </w:tc>
      </w:tr>
      <w:tr>
        <w:trPr>
          <w:trHeight w:val="243"/>
        </w:trPr>
        <w:tc>
          <w:tcPr>
            <w:tcW w:w="736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(4)</w:t>
            </w:r>
          </w:p>
        </w:tc>
        <w:tc>
          <w:tcPr>
            <w:tcW w:w="600" w:type="dxa"/>
            <w:vAlign w:val="bottom"/>
            <w:shd w:val="clear" w:color="auto" w:fill="D5DCE4"/>
          </w:tcPr>
          <w:p>
            <w:pPr>
              <w:spacing w:after="0"/>
              <w:rPr>
                <w:sz w:val="21"/>
                <w:szCs w:val="21"/>
                <w:color w:val="auto"/>
              </w:rPr>
            </w:pPr>
          </w:p>
        </w:tc>
        <w:tc>
          <w:tcPr>
            <w:tcW w:w="1380" w:type="dxa"/>
            <w:vAlign w:val="bottom"/>
            <w:gridSpan w:val="2"/>
            <w:shd w:val="clear" w:color="auto" w:fill="D5DCE4"/>
          </w:tcPr>
          <w:p>
            <w:pPr>
              <w:jc w:val="right"/>
              <w:ind w:right="300"/>
              <w:spacing w:after="0"/>
              <w:rPr>
                <w:sz w:val="20"/>
                <w:szCs w:val="20"/>
                <w:color w:val="auto"/>
              </w:rPr>
            </w:pPr>
            <w:r>
              <w:rPr>
                <w:rFonts w:ascii="Arial" w:cs="Arial" w:eastAsia="Arial" w:hAnsi="Arial"/>
                <w:sz w:val="16"/>
                <w:szCs w:val="16"/>
                <w:color w:val="auto"/>
              </w:rPr>
              <w:t>—</w:t>
            </w:r>
          </w:p>
        </w:tc>
        <w:tc>
          <w:tcPr>
            <w:tcW w:w="600" w:type="dxa"/>
            <w:vAlign w:val="bottom"/>
            <w:shd w:val="clear" w:color="auto" w:fill="D5DCE4"/>
          </w:tcPr>
          <w:p>
            <w:pPr>
              <w:spacing w:after="0"/>
              <w:rPr>
                <w:sz w:val="21"/>
                <w:szCs w:val="21"/>
                <w:color w:val="auto"/>
              </w:rPr>
            </w:pPr>
          </w:p>
        </w:tc>
        <w:tc>
          <w:tcPr>
            <w:tcW w:w="130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r>
      <w:tr>
        <w:trPr>
          <w:trHeight w:val="236"/>
        </w:trPr>
        <w:tc>
          <w:tcPr>
            <w:tcW w:w="7360" w:type="dxa"/>
            <w:vAlign w:val="bottom"/>
          </w:tcPr>
          <w:p>
            <w:pPr>
              <w:ind w:left="20"/>
              <w:spacing w:after="0"/>
              <w:rPr>
                <w:sz w:val="20"/>
                <w:szCs w:val="20"/>
                <w:color w:val="auto"/>
              </w:rPr>
            </w:pPr>
            <w:r>
              <w:rPr>
                <w:rFonts w:ascii="Arial" w:cs="Arial" w:eastAsia="Arial" w:hAnsi="Arial"/>
                <w:sz w:val="16"/>
                <w:szCs w:val="16"/>
                <w:color w:val="auto"/>
              </w:rPr>
              <w:t>Other (income) loss, net</w:t>
            </w:r>
          </w:p>
        </w:tc>
        <w:tc>
          <w:tcPr>
            <w:tcW w:w="60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(341)</w:t>
            </w:r>
          </w:p>
        </w:tc>
      </w:tr>
      <w:tr>
        <w:trPr>
          <w:trHeight w:val="268"/>
        </w:trPr>
        <w:tc>
          <w:tcPr>
            <w:tcW w:w="7360" w:type="dxa"/>
            <w:vAlign w:val="bottom"/>
            <w:tcBorders>
              <w:top w:val="single" w:sz="8" w:color="D5DCE4"/>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EBITDA</w:t>
            </w:r>
          </w:p>
        </w:tc>
        <w:tc>
          <w:tcPr>
            <w:tcW w:w="600" w:type="dxa"/>
            <w:vAlign w:val="bottom"/>
            <w:tcBorders>
              <w:top w:val="single" w:sz="8" w:color="auto"/>
              <w:bottom w:val="single" w:sz="8" w:color="auto"/>
            </w:tcBorders>
            <w:shd w:val="clear" w:color="auto" w:fill="D5DCE4"/>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219,528</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600" w:type="dxa"/>
            <w:vAlign w:val="bottom"/>
            <w:tcBorders>
              <w:top w:val="single" w:sz="8" w:color="auto"/>
              <w:bottom w:val="single" w:sz="8" w:color="auto"/>
            </w:tcBorders>
            <w:shd w:val="clear" w:color="auto" w:fill="D5DCE4"/>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172,203</w:t>
            </w:r>
          </w:p>
        </w:tc>
      </w:tr>
      <w:tr>
        <w:trPr>
          <w:trHeight w:val="20"/>
        </w:trPr>
        <w:tc>
          <w:tcPr>
            <w:tcW w:w="7360" w:type="dxa"/>
            <w:vAlign w:val="bottom"/>
            <w:tcBorders>
              <w:top w:val="single" w:sz="8" w:color="D5DCE4"/>
            </w:tcBorders>
          </w:tcPr>
          <w:p>
            <w:pPr>
              <w:spacing w:after="0" w:line="20" w:lineRule="exact"/>
              <w:rPr>
                <w:sz w:val="1"/>
                <w:szCs w:val="1"/>
                <w:color w:val="auto"/>
              </w:rPr>
            </w:pPr>
          </w:p>
        </w:tc>
        <w:tc>
          <w:tcPr>
            <w:tcW w:w="600" w:type="dxa"/>
            <w:vAlign w:val="bottom"/>
            <w:tcBorders>
              <w:top w:val="single" w:sz="8" w:color="D5DCE4"/>
              <w:bottom w:val="single" w:sz="8" w:color="auto"/>
            </w:tcBorders>
          </w:tcPr>
          <w:p>
            <w:pPr>
              <w:spacing w:after="0" w:line="20" w:lineRule="exact"/>
              <w:rPr>
                <w:sz w:val="1"/>
                <w:szCs w:val="1"/>
                <w:color w:val="auto"/>
              </w:rPr>
            </w:pPr>
          </w:p>
        </w:tc>
        <w:tc>
          <w:tcPr>
            <w:tcW w:w="13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600" w:type="dxa"/>
            <w:vAlign w:val="bottom"/>
            <w:tcBorders>
              <w:top w:val="single" w:sz="8" w:color="D5DCE4"/>
              <w:bottom w:val="single" w:sz="8" w:color="auto"/>
            </w:tcBorders>
          </w:tcPr>
          <w:p>
            <w:pPr>
              <w:spacing w:after="0" w:line="20" w:lineRule="exact"/>
              <w:rPr>
                <w:sz w:val="1"/>
                <w:szCs w:val="1"/>
                <w:color w:val="auto"/>
              </w:rPr>
            </w:pPr>
          </w:p>
        </w:tc>
        <w:tc>
          <w:tcPr>
            <w:tcW w:w="1300" w:type="dxa"/>
            <w:vAlign w:val="bottom"/>
            <w:tcBorders>
              <w:top w:val="single" w:sz="8" w:color="D5DCE4"/>
              <w:bottom w:val="single" w:sz="8" w:color="auto"/>
            </w:tcBorders>
          </w:tcPr>
          <w:p>
            <w:pPr>
              <w:spacing w:after="0" w:line="20" w:lineRule="exact"/>
              <w:rPr>
                <w:sz w:val="1"/>
                <w:szCs w:val="1"/>
                <w:color w:val="auto"/>
              </w:rPr>
            </w:pPr>
          </w:p>
        </w:tc>
      </w:tr>
      <w:tr>
        <w:trPr>
          <w:trHeight w:val="209"/>
        </w:trPr>
        <w:tc>
          <w:tcPr>
            <w:tcW w:w="7360" w:type="dxa"/>
            <w:vAlign w:val="bottom"/>
          </w:tcPr>
          <w:p>
            <w:pPr>
              <w:ind w:left="20"/>
              <w:spacing w:after="0"/>
              <w:rPr>
                <w:sz w:val="20"/>
                <w:szCs w:val="20"/>
                <w:color w:val="auto"/>
              </w:rPr>
            </w:pPr>
            <w:r>
              <w:rPr>
                <w:rFonts w:ascii="Arial" w:cs="Arial" w:eastAsia="Arial" w:hAnsi="Arial"/>
                <w:sz w:val="16"/>
                <w:szCs w:val="16"/>
                <w:color w:val="auto"/>
              </w:rPr>
              <w:t>Less: Depreciation and amortization</w:t>
            </w:r>
          </w:p>
        </w:tc>
        <w:tc>
          <w:tcPr>
            <w:tcW w:w="60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(49,337)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(45,404)</w:t>
            </w:r>
          </w:p>
        </w:tc>
      </w:tr>
      <w:tr>
        <w:trPr>
          <w:trHeight w:val="251"/>
        </w:trPr>
        <w:tc>
          <w:tcPr>
            <w:tcW w:w="736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Add: D&amp;A related to acquisitions and the Refinitiv Transaction </w:t>
            </w:r>
            <w:r>
              <w:rPr>
                <w:rFonts w:ascii="Arial" w:cs="Arial" w:eastAsia="Arial" w:hAnsi="Arial"/>
                <w:sz w:val="21"/>
                <w:szCs w:val="21"/>
                <w:color w:val="auto"/>
                <w:vertAlign w:val="superscript"/>
              </w:rPr>
              <w:t>(5)</w:t>
            </w:r>
          </w:p>
        </w:tc>
        <w:tc>
          <w:tcPr>
            <w:tcW w:w="600" w:type="dxa"/>
            <w:vAlign w:val="bottom"/>
            <w:tcBorders>
              <w:bottom w:val="single" w:sz="8" w:color="auto"/>
            </w:tcBorders>
            <w:shd w:val="clear" w:color="auto" w:fill="D5DCE4"/>
          </w:tcPr>
          <w:p>
            <w:pPr>
              <w:spacing w:after="0"/>
              <w:rPr>
                <w:sz w:val="21"/>
                <w:szCs w:val="21"/>
                <w:color w:val="auto"/>
              </w:rPr>
            </w:pPr>
          </w:p>
        </w:tc>
        <w:tc>
          <w:tcPr>
            <w:tcW w:w="130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34,367</w:t>
            </w:r>
          </w:p>
        </w:tc>
        <w:tc>
          <w:tcPr>
            <w:tcW w:w="80" w:type="dxa"/>
            <w:vAlign w:val="bottom"/>
            <w:shd w:val="clear" w:color="auto" w:fill="D5DCE4"/>
          </w:tcPr>
          <w:p>
            <w:pPr>
              <w:spacing w:after="0"/>
              <w:rPr>
                <w:sz w:val="21"/>
                <w:szCs w:val="21"/>
                <w:color w:val="auto"/>
              </w:rPr>
            </w:pPr>
          </w:p>
        </w:tc>
        <w:tc>
          <w:tcPr>
            <w:tcW w:w="600" w:type="dxa"/>
            <w:vAlign w:val="bottom"/>
            <w:tcBorders>
              <w:bottom w:val="single" w:sz="8" w:color="auto"/>
            </w:tcBorders>
            <w:shd w:val="clear" w:color="auto" w:fill="D5DCE4"/>
          </w:tcPr>
          <w:p>
            <w:pPr>
              <w:spacing w:after="0"/>
              <w:rPr>
                <w:sz w:val="21"/>
                <w:szCs w:val="21"/>
                <w:color w:val="auto"/>
              </w:rPr>
            </w:pPr>
          </w:p>
        </w:tc>
        <w:tc>
          <w:tcPr>
            <w:tcW w:w="130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31,617</w:t>
            </w:r>
          </w:p>
        </w:tc>
      </w:tr>
      <w:tr>
        <w:trPr>
          <w:trHeight w:val="237"/>
        </w:trPr>
        <w:tc>
          <w:tcPr>
            <w:tcW w:w="7360" w:type="dxa"/>
            <w:vAlign w:val="bottom"/>
          </w:tcPr>
          <w:p>
            <w:pPr>
              <w:ind w:left="20"/>
              <w:spacing w:after="0"/>
              <w:rPr>
                <w:sz w:val="20"/>
                <w:szCs w:val="20"/>
                <w:color w:val="auto"/>
              </w:rPr>
            </w:pPr>
            <w:r>
              <w:rPr>
                <w:rFonts w:ascii="Arial" w:cs="Arial" w:eastAsia="Arial" w:hAnsi="Arial"/>
                <w:sz w:val="16"/>
                <w:szCs w:val="16"/>
                <w:color w:val="auto"/>
              </w:rPr>
              <w:t>Adjusted EBIT</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204,558</w:t>
            </w:r>
          </w:p>
        </w:tc>
        <w:tc>
          <w:tcPr>
            <w:tcW w:w="80" w:type="dxa"/>
            <w:vAlign w:val="bottom"/>
          </w:tcPr>
          <w:p>
            <w:pPr>
              <w:spacing w:after="0"/>
              <w:rPr>
                <w:sz w:val="20"/>
                <w:szCs w:val="20"/>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158,416</w:t>
            </w:r>
          </w:p>
        </w:tc>
      </w:tr>
      <w:tr>
        <w:trPr>
          <w:trHeight w:val="20"/>
        </w:trPr>
        <w:tc>
          <w:tcPr>
            <w:tcW w:w="7360" w:type="dxa"/>
            <w:vAlign w:val="bottom"/>
            <w:tcBorders>
              <w:bottom w:val="single" w:sz="8" w:color="D5DCE4"/>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7360" w:type="dxa"/>
            <w:vAlign w:val="bottom"/>
            <w:shd w:val="clear" w:color="auto" w:fill="D5DCE4"/>
          </w:tcPr>
          <w:p>
            <w:pPr>
              <w:ind w:left="20"/>
              <w:spacing w:after="0" w:line="237" w:lineRule="exact"/>
              <w:rPr>
                <w:sz w:val="20"/>
                <w:szCs w:val="20"/>
                <w:color w:val="auto"/>
              </w:rPr>
            </w:pPr>
            <w:r>
              <w:rPr>
                <w:rFonts w:ascii="Arial" w:cs="Arial" w:eastAsia="Arial" w:hAnsi="Arial"/>
                <w:sz w:val="16"/>
                <w:szCs w:val="16"/>
                <w:color w:val="auto"/>
              </w:rPr>
              <w:t xml:space="preserve">Net income margin </w:t>
            </w:r>
            <w:r>
              <w:rPr>
                <w:rFonts w:ascii="Arial" w:cs="Arial" w:eastAsia="Arial" w:hAnsi="Arial"/>
                <w:sz w:val="21"/>
                <w:szCs w:val="21"/>
                <w:color w:val="auto"/>
                <w:vertAlign w:val="superscript"/>
              </w:rPr>
              <w:t>(6)</w:t>
            </w:r>
          </w:p>
        </w:tc>
        <w:tc>
          <w:tcPr>
            <w:tcW w:w="600" w:type="dxa"/>
            <w:vAlign w:val="bottom"/>
            <w:shd w:val="clear" w:color="auto" w:fill="D5DCE4"/>
          </w:tcPr>
          <w:p>
            <w:pPr>
              <w:spacing w:after="0"/>
              <w:rPr>
                <w:sz w:val="20"/>
                <w:szCs w:val="20"/>
                <w:color w:val="auto"/>
              </w:rPr>
            </w:pPr>
          </w:p>
        </w:tc>
        <w:tc>
          <w:tcPr>
            <w:tcW w:w="13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35.1 %</w:t>
            </w:r>
          </w:p>
        </w:tc>
        <w:tc>
          <w:tcPr>
            <w:tcW w:w="80" w:type="dxa"/>
            <w:vAlign w:val="bottom"/>
            <w:shd w:val="clear" w:color="auto" w:fill="D5DCE4"/>
          </w:tcPr>
          <w:p>
            <w:pPr>
              <w:spacing w:after="0"/>
              <w:rPr>
                <w:sz w:val="20"/>
                <w:szCs w:val="20"/>
                <w:color w:val="auto"/>
              </w:rPr>
            </w:pPr>
          </w:p>
        </w:tc>
        <w:tc>
          <w:tcPr>
            <w:tcW w:w="600" w:type="dxa"/>
            <w:vAlign w:val="bottom"/>
            <w:shd w:val="clear" w:color="auto" w:fill="D5DCE4"/>
          </w:tcPr>
          <w:p>
            <w:pPr>
              <w:spacing w:after="0"/>
              <w:rPr>
                <w:sz w:val="20"/>
                <w:szCs w:val="20"/>
                <w:color w:val="auto"/>
              </w:rPr>
            </w:pPr>
          </w:p>
        </w:tc>
        <w:tc>
          <w:tcPr>
            <w:tcW w:w="13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31.0 %</w:t>
            </w:r>
          </w:p>
        </w:tc>
      </w:tr>
      <w:tr>
        <w:trPr>
          <w:trHeight w:val="243"/>
        </w:trPr>
        <w:tc>
          <w:tcPr>
            <w:tcW w:w="7360" w:type="dxa"/>
            <w:vAlign w:val="bottom"/>
          </w:tcPr>
          <w:p>
            <w:pPr>
              <w:ind w:left="20"/>
              <w:spacing w:after="0"/>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1"/>
                <w:szCs w:val="21"/>
                <w:color w:val="auto"/>
                <w:vertAlign w:val="superscript"/>
              </w:rPr>
              <w:t>(6)</w:t>
            </w:r>
          </w:p>
        </w:tc>
        <w:tc>
          <w:tcPr>
            <w:tcW w:w="6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53.7 %</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52.3 %</w:t>
            </w:r>
          </w:p>
        </w:tc>
      </w:tr>
      <w:tr>
        <w:trPr>
          <w:trHeight w:val="243"/>
        </w:trPr>
        <w:tc>
          <w:tcPr>
            <w:tcW w:w="736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Adjusted EBIT margin </w:t>
            </w:r>
            <w:r>
              <w:rPr>
                <w:rFonts w:ascii="Arial" w:cs="Arial" w:eastAsia="Arial" w:hAnsi="Arial"/>
                <w:sz w:val="21"/>
                <w:szCs w:val="21"/>
                <w:color w:val="auto"/>
                <w:vertAlign w:val="superscript"/>
              </w:rPr>
              <w:t>(6)</w:t>
            </w:r>
          </w:p>
        </w:tc>
        <w:tc>
          <w:tcPr>
            <w:tcW w:w="600" w:type="dxa"/>
            <w:vAlign w:val="bottom"/>
            <w:shd w:val="clear" w:color="auto" w:fill="D5DCE4"/>
          </w:tcPr>
          <w:p>
            <w:pPr>
              <w:spacing w:after="0"/>
              <w:rPr>
                <w:sz w:val="21"/>
                <w:szCs w:val="21"/>
                <w:color w:val="auto"/>
              </w:rPr>
            </w:pPr>
          </w:p>
        </w:tc>
        <w:tc>
          <w:tcPr>
            <w:tcW w:w="13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50.0 %</w:t>
            </w:r>
          </w:p>
        </w:tc>
        <w:tc>
          <w:tcPr>
            <w:tcW w:w="80" w:type="dxa"/>
            <w:vAlign w:val="bottom"/>
            <w:shd w:val="clear" w:color="auto" w:fill="D5DCE4"/>
          </w:tcPr>
          <w:p>
            <w:pPr>
              <w:spacing w:after="0"/>
              <w:rPr>
                <w:sz w:val="21"/>
                <w:szCs w:val="21"/>
                <w:color w:val="auto"/>
              </w:rPr>
            </w:pPr>
          </w:p>
        </w:tc>
        <w:tc>
          <w:tcPr>
            <w:tcW w:w="600" w:type="dxa"/>
            <w:vAlign w:val="bottom"/>
            <w:shd w:val="clear" w:color="auto" w:fill="D5DCE4"/>
          </w:tcPr>
          <w:p>
            <w:pPr>
              <w:spacing w:after="0"/>
              <w:rPr>
                <w:sz w:val="21"/>
                <w:szCs w:val="21"/>
                <w:color w:val="auto"/>
              </w:rPr>
            </w:pPr>
          </w:p>
        </w:tc>
        <w:tc>
          <w:tcPr>
            <w:tcW w:w="13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48.1 %</w:t>
            </w:r>
          </w:p>
        </w:tc>
      </w:tr>
    </w:tbl>
    <w:p>
      <w:pPr>
        <w:spacing w:after="0" w:line="122" w:lineRule="exact"/>
        <w:rPr>
          <w:sz w:val="20"/>
          <w:szCs w:val="20"/>
          <w:color w:val="auto"/>
        </w:rPr>
      </w:pPr>
    </w:p>
    <w:p>
      <w:pPr>
        <w:ind w:left="440" w:right="240" w:hanging="414"/>
        <w:spacing w:after="0" w:line="183" w:lineRule="auto"/>
        <w:tabs>
          <w:tab w:leader="none" w:pos="440" w:val="left"/>
        </w:tabs>
        <w:numPr>
          <w:ilvl w:val="0"/>
          <w:numId w:val="8"/>
        </w:numPr>
        <w:rPr>
          <w:rFonts w:ascii="Arial" w:cs="Arial" w:eastAsia="Arial" w:hAnsi="Arial"/>
          <w:sz w:val="23"/>
          <w:szCs w:val="23"/>
          <w:color w:val="auto"/>
          <w:vertAlign w:val="subscript"/>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spacing w:after="0" w:line="30" w:lineRule="exact"/>
        <w:rPr>
          <w:rFonts w:ascii="Arial" w:cs="Arial" w:eastAsia="Arial" w:hAnsi="Arial"/>
          <w:sz w:val="23"/>
          <w:szCs w:val="23"/>
          <w:color w:val="auto"/>
          <w:vertAlign w:val="subscript"/>
        </w:rPr>
      </w:pPr>
    </w:p>
    <w:p>
      <w:pPr>
        <w:ind w:left="440" w:right="460" w:hanging="414"/>
        <w:spacing w:after="0" w:line="293" w:lineRule="auto"/>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w:t>
      </w:r>
    </w:p>
    <w:p>
      <w:pPr>
        <w:ind w:left="440" w:right="140" w:hanging="414"/>
        <w:spacing w:after="0" w:line="293" w:lineRule="auto"/>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ind w:left="440" w:right="80" w:hanging="414"/>
        <w:spacing w:after="0" w:line="293" w:lineRule="auto"/>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ind w:left="440" w:right="360" w:hanging="414"/>
        <w:spacing w:after="0" w:line="293" w:lineRule="auto"/>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ind w:left="440" w:hanging="414"/>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Net income margin, Adjusted EBITDA margin and Adjusted EBIT margin are defined as net income, Adjusted EBITDA and Adjusted EBIT, respectively, divided by revenue for the applicable period.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00" w:type="dxa"/>
            <w:vAlign w:val="bottom"/>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r>
      <w:tr>
        <w:trPr>
          <w:trHeight w:val="244"/>
        </w:trPr>
        <w:tc>
          <w:tcPr>
            <w:tcW w:w="7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March 31,</w:t>
            </w:r>
          </w:p>
        </w:tc>
        <w:tc>
          <w:tcPr>
            <w:tcW w:w="1280" w:type="dxa"/>
            <w:vAlign w:val="bottom"/>
            <w:tcBorders>
              <w:bottom w:val="single" w:sz="8" w:color="auto"/>
            </w:tcBorders>
          </w:tcPr>
          <w:p>
            <w:pPr>
              <w:spacing w:after="0"/>
              <w:rPr>
                <w:sz w:val="21"/>
                <w:szCs w:val="21"/>
                <w:color w:val="auto"/>
              </w:rPr>
            </w:pPr>
          </w:p>
        </w:tc>
      </w:tr>
      <w:tr>
        <w:trPr>
          <w:trHeight w:val="239"/>
        </w:trPr>
        <w:tc>
          <w:tcPr>
            <w:tcW w:w="754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Net Income to Adjusted Net Income and Adjusted Diluted EPS</w:t>
            </w:r>
          </w:p>
        </w:tc>
        <w:tc>
          <w:tcPr>
            <w:tcW w:w="200" w:type="dxa"/>
            <w:vAlign w:val="bottom"/>
          </w:tcPr>
          <w:p>
            <w:pPr>
              <w:spacing w:after="0"/>
              <w:rPr>
                <w:sz w:val="20"/>
                <w:szCs w:val="20"/>
                <w:color w:val="auto"/>
              </w:rPr>
            </w:pPr>
          </w:p>
        </w:tc>
        <w:tc>
          <w:tcPr>
            <w:tcW w:w="1600" w:type="dxa"/>
            <w:vAlign w:val="bottom"/>
          </w:tcPr>
          <w:p>
            <w:pPr>
              <w:jc w:val="right"/>
              <w:ind w:right="6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ind w:right="639"/>
              <w:spacing w:after="0"/>
              <w:rPr>
                <w:sz w:val="20"/>
                <w:szCs w:val="20"/>
                <w:color w:val="auto"/>
              </w:rPr>
            </w:pPr>
            <w:r>
              <w:rPr>
                <w:rFonts w:ascii="Arial" w:cs="Arial" w:eastAsia="Arial" w:hAnsi="Arial"/>
                <w:sz w:val="16"/>
                <w:szCs w:val="16"/>
                <w:b w:val="1"/>
                <w:bCs w:val="1"/>
                <w:color w:val="auto"/>
              </w:rPr>
              <w:t>2023</w:t>
            </w:r>
          </w:p>
        </w:tc>
      </w:tr>
      <w:tr>
        <w:trPr>
          <w:trHeight w:val="199"/>
        </w:trPr>
        <w:tc>
          <w:tcPr>
            <w:tcW w:w="74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(dollars in thousands,</w:t>
            </w:r>
          </w:p>
        </w:tc>
        <w:tc>
          <w:tcPr>
            <w:tcW w:w="100" w:type="dxa"/>
            <w:vAlign w:val="bottom"/>
          </w:tcPr>
          <w:p>
            <w:pPr>
              <w:spacing w:after="0"/>
              <w:rPr>
                <w:sz w:val="17"/>
                <w:szCs w:val="17"/>
                <w:color w:val="auto"/>
              </w:rPr>
            </w:pPr>
          </w:p>
        </w:tc>
        <w:tc>
          <w:tcPr>
            <w:tcW w:w="1800" w:type="dxa"/>
            <w:vAlign w:val="bottom"/>
            <w:tcBorders>
              <w:top w:val="single" w:sz="8" w:color="auto"/>
            </w:tcBorders>
            <w:gridSpan w:val="2"/>
          </w:tcPr>
          <w:p>
            <w:pPr>
              <w:jc w:val="right"/>
              <w:ind w:right="299"/>
              <w:spacing w:after="0"/>
              <w:rPr>
                <w:sz w:val="20"/>
                <w:szCs w:val="20"/>
                <w:color w:val="auto"/>
              </w:rPr>
            </w:pPr>
            <w:r>
              <w:rPr>
                <w:rFonts w:ascii="Arial" w:cs="Arial" w:eastAsia="Arial" w:hAnsi="Arial"/>
                <w:sz w:val="16"/>
                <w:szCs w:val="16"/>
                <w:b w:val="1"/>
                <w:bCs w:val="1"/>
                <w:color w:val="auto"/>
              </w:rPr>
              <w:t>except per share</w:t>
            </w:r>
          </w:p>
        </w:tc>
      </w:tr>
      <w:tr>
        <w:trPr>
          <w:trHeight w:val="226"/>
        </w:trPr>
        <w:tc>
          <w:tcPr>
            <w:tcW w:w="7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amounts)</w:t>
            </w:r>
          </w:p>
        </w:tc>
        <w:tc>
          <w:tcPr>
            <w:tcW w:w="1280" w:type="dxa"/>
            <w:vAlign w:val="bottom"/>
          </w:tcPr>
          <w:p>
            <w:pPr>
              <w:spacing w:after="0"/>
              <w:rPr>
                <w:sz w:val="19"/>
                <w:szCs w:val="19"/>
                <w:color w:val="auto"/>
              </w:rPr>
            </w:pPr>
          </w:p>
        </w:tc>
      </w:tr>
      <w:tr>
        <w:trPr>
          <w:trHeight w:val="272"/>
        </w:trPr>
        <w:tc>
          <w:tcPr>
            <w:tcW w:w="754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Earnings per diluted share</w:t>
            </w:r>
          </w:p>
        </w:tc>
        <w:tc>
          <w:tcPr>
            <w:tcW w:w="200" w:type="dxa"/>
            <w:vAlign w:val="bottom"/>
            <w:tcBorders>
              <w:bottom w:val="single" w:sz="8" w:color="auto"/>
            </w:tcBorders>
            <w:shd w:val="clear" w:color="auto" w:fill="D5DCE4"/>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Borders>
              <w:bottom w:val="single" w:sz="8" w:color="D5DCE4"/>
            </w:tcBorders>
            <w:shd w:val="clear" w:color="auto" w:fill="D5DCE4"/>
          </w:tcPr>
          <w:p>
            <w:pPr>
              <w:spacing w:after="0"/>
              <w:rPr>
                <w:sz w:val="23"/>
                <w:szCs w:val="23"/>
                <w:color w:val="auto"/>
              </w:rPr>
            </w:pPr>
          </w:p>
        </w:tc>
        <w:tc>
          <w:tcPr>
            <w:tcW w:w="520" w:type="dxa"/>
            <w:vAlign w:val="bottom"/>
            <w:tcBorders>
              <w:bottom w:val="single" w:sz="8" w:color="auto"/>
            </w:tcBorders>
            <w:shd w:val="clear" w:color="auto" w:fill="D5DCE4"/>
          </w:tcPr>
          <w:p>
            <w:pPr>
              <w:jc w:val="right"/>
              <w:ind w:right="3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0.42</w:t>
            </w:r>
          </w:p>
        </w:tc>
      </w:tr>
      <w:tr>
        <w:trPr>
          <w:trHeight w:val="20"/>
        </w:trPr>
        <w:tc>
          <w:tcPr>
            <w:tcW w:w="746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bottom w:val="single" w:sz="8" w:color="auto"/>
            </w:tcBorders>
          </w:tcPr>
          <w:p>
            <w:pPr>
              <w:spacing w:after="0" w:line="20" w:lineRule="exact"/>
              <w:rPr>
                <w:sz w:val="1"/>
                <w:szCs w:val="1"/>
                <w:color w:val="auto"/>
              </w:rPr>
            </w:pPr>
          </w:p>
        </w:tc>
        <w:tc>
          <w:tcPr>
            <w:tcW w:w="1600" w:type="dxa"/>
            <w:vAlign w:val="bottom"/>
            <w:tcBorders>
              <w:top w:val="single" w:sz="8" w:color="D5DCE4"/>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5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r>
      <w:tr>
        <w:trPr>
          <w:trHeight w:val="209"/>
        </w:trPr>
        <w:tc>
          <w:tcPr>
            <w:tcW w:w="7540" w:type="dxa"/>
            <w:vAlign w:val="bottom"/>
            <w:gridSpan w:val="2"/>
          </w:tcPr>
          <w:p>
            <w:pPr>
              <w:ind w:left="20"/>
              <w:spacing w:after="0"/>
              <w:rPr>
                <w:sz w:val="20"/>
                <w:szCs w:val="20"/>
                <w:color w:val="auto"/>
              </w:rPr>
            </w:pPr>
            <w:r>
              <w:rPr>
                <w:rFonts w:ascii="Arial" w:cs="Arial" w:eastAsia="Arial" w:hAnsi="Arial"/>
                <w:sz w:val="16"/>
                <w:szCs w:val="16"/>
                <w:color w:val="auto"/>
              </w:rPr>
              <w:t>Net income attributable to Tradeweb Markets Inc.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126,142</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87,856</w:t>
            </w:r>
          </w:p>
        </w:tc>
      </w:tr>
      <w:tr>
        <w:trPr>
          <w:trHeight w:val="251"/>
        </w:trPr>
        <w:tc>
          <w:tcPr>
            <w:tcW w:w="7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D5DCE4"/>
          </w:tcPr>
          <w:p>
            <w:pPr>
              <w:spacing w:after="0"/>
              <w:rPr>
                <w:sz w:val="21"/>
                <w:szCs w:val="21"/>
                <w:color w:val="auto"/>
              </w:rPr>
            </w:pP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17,240</w:t>
            </w:r>
          </w:p>
        </w:tc>
        <w:tc>
          <w:tcPr>
            <w:tcW w:w="100" w:type="dxa"/>
            <w:vAlign w:val="bottom"/>
            <w:shd w:val="clear" w:color="auto" w:fill="D5DCE4"/>
          </w:tcPr>
          <w:p>
            <w:pPr>
              <w:spacing w:after="0"/>
              <w:rPr>
                <w:sz w:val="21"/>
                <w:szCs w:val="21"/>
                <w:color w:val="auto"/>
              </w:rPr>
            </w:pPr>
          </w:p>
        </w:tc>
        <w:tc>
          <w:tcPr>
            <w:tcW w:w="5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14,337</w:t>
            </w:r>
          </w:p>
        </w:tc>
      </w:tr>
      <w:tr>
        <w:trPr>
          <w:trHeight w:val="229"/>
        </w:trPr>
        <w:tc>
          <w:tcPr>
            <w:tcW w:w="754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143,382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102,193</w:t>
            </w:r>
          </w:p>
        </w:tc>
      </w:tr>
      <w:tr>
        <w:trPr>
          <w:trHeight w:val="251"/>
        </w:trPr>
        <w:tc>
          <w:tcPr>
            <w:tcW w:w="7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20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43,638</w:t>
            </w:r>
          </w:p>
        </w:tc>
        <w:tc>
          <w:tcPr>
            <w:tcW w:w="10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33,205</w:t>
            </w:r>
          </w:p>
        </w:tc>
      </w:tr>
      <w:tr>
        <w:trPr>
          <w:trHeight w:val="243"/>
        </w:trPr>
        <w:tc>
          <w:tcPr>
            <w:tcW w:w="754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(2)</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3,614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585</w:t>
            </w:r>
          </w:p>
        </w:tc>
      </w:tr>
      <w:tr>
        <w:trPr>
          <w:trHeight w:val="243"/>
        </w:trPr>
        <w:tc>
          <w:tcPr>
            <w:tcW w:w="7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(3)</w:t>
            </w:r>
          </w:p>
        </w:tc>
        <w:tc>
          <w:tcPr>
            <w:tcW w:w="20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34,367</w:t>
            </w:r>
          </w:p>
        </w:tc>
        <w:tc>
          <w:tcPr>
            <w:tcW w:w="10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31,617</w:t>
            </w:r>
          </w:p>
        </w:tc>
      </w:tr>
      <w:tr>
        <w:trPr>
          <w:trHeight w:val="243"/>
        </w:trPr>
        <w:tc>
          <w:tcPr>
            <w:tcW w:w="754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1,183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850</w:t>
            </w:r>
          </w:p>
        </w:tc>
      </w:tr>
      <w:tr>
        <w:trPr>
          <w:trHeight w:val="243"/>
        </w:trPr>
        <w:tc>
          <w:tcPr>
            <w:tcW w:w="7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(5)</w:t>
            </w:r>
          </w:p>
        </w:tc>
        <w:tc>
          <w:tcPr>
            <w:tcW w:w="20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(2,284)</w:t>
            </w:r>
          </w:p>
        </w:tc>
        <w:tc>
          <w:tcPr>
            <w:tcW w:w="10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2,798</w:t>
            </w:r>
          </w:p>
        </w:tc>
      </w:tr>
      <w:tr>
        <w:trPr>
          <w:trHeight w:val="243"/>
        </w:trPr>
        <w:tc>
          <w:tcPr>
            <w:tcW w:w="7540" w:type="dxa"/>
            <w:vAlign w:val="bottom"/>
            <w:gridSpan w:val="2"/>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(6)</w:t>
            </w:r>
          </w:p>
        </w:tc>
        <w:tc>
          <w:tcPr>
            <w:tcW w:w="200" w:type="dxa"/>
            <w:vAlign w:val="bottom"/>
          </w:tcPr>
          <w:p>
            <w:pPr>
              <w:spacing w:after="0"/>
              <w:rPr>
                <w:sz w:val="21"/>
                <w:szCs w:val="21"/>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7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Other (income) loss, net</w:t>
            </w:r>
          </w:p>
        </w:tc>
        <w:tc>
          <w:tcPr>
            <w:tcW w:w="200" w:type="dxa"/>
            <w:vAlign w:val="bottom"/>
            <w:shd w:val="clear" w:color="auto" w:fill="D5DCE4"/>
          </w:tcPr>
          <w:p>
            <w:pPr>
              <w:spacing w:after="0"/>
              <w:rPr>
                <w:sz w:val="21"/>
                <w:szCs w:val="21"/>
                <w:color w:val="auto"/>
              </w:rPr>
            </w:pPr>
          </w:p>
        </w:tc>
        <w:tc>
          <w:tcPr>
            <w:tcW w:w="170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(341)</w:t>
            </w:r>
          </w:p>
        </w:tc>
      </w:tr>
      <w:tr>
        <w:trPr>
          <w:trHeight w:val="229"/>
        </w:trPr>
        <w:tc>
          <w:tcPr>
            <w:tcW w:w="7540" w:type="dxa"/>
            <w:vAlign w:val="bottom"/>
            <w:gridSpan w:val="2"/>
          </w:tcPr>
          <w:p>
            <w:pPr>
              <w:ind w:left="20"/>
              <w:spacing w:after="0"/>
              <w:rPr>
                <w:sz w:val="20"/>
                <w:szCs w:val="20"/>
                <w:color w:val="auto"/>
              </w:rPr>
            </w:pPr>
            <w:r>
              <w:rPr>
                <w:rFonts w:ascii="Arial" w:cs="Arial" w:eastAsia="Arial" w:hAnsi="Arial"/>
                <w:sz w:val="16"/>
                <w:szCs w:val="16"/>
                <w:color w:val="auto"/>
              </w:rPr>
              <w:t>Adjusted Net Income before income taxes</w:t>
            </w:r>
          </w:p>
        </w:tc>
        <w:tc>
          <w:tcPr>
            <w:tcW w:w="2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223,900</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170,907</w:t>
            </w:r>
          </w:p>
        </w:tc>
      </w:tr>
      <w:tr>
        <w:trPr>
          <w:trHeight w:val="251"/>
        </w:trPr>
        <w:tc>
          <w:tcPr>
            <w:tcW w:w="7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Adjusted income taxes </w:t>
            </w:r>
            <w:r>
              <w:rPr>
                <w:rFonts w:ascii="Arial" w:cs="Arial" w:eastAsia="Arial" w:hAnsi="Arial"/>
                <w:sz w:val="21"/>
                <w:szCs w:val="21"/>
                <w:color w:val="auto"/>
                <w:vertAlign w:val="superscript"/>
              </w:rPr>
              <w:t>(7)</w:t>
            </w:r>
          </w:p>
        </w:tc>
        <w:tc>
          <w:tcPr>
            <w:tcW w:w="200" w:type="dxa"/>
            <w:vAlign w:val="bottom"/>
            <w:tcBorders>
              <w:bottom w:val="single" w:sz="8" w:color="auto"/>
            </w:tcBorders>
            <w:shd w:val="clear" w:color="auto" w:fill="D5DCE4"/>
          </w:tcPr>
          <w:p>
            <w:pPr>
              <w:spacing w:after="0"/>
              <w:rPr>
                <w:sz w:val="21"/>
                <w:szCs w:val="21"/>
                <w:color w:val="auto"/>
              </w:rPr>
            </w:pP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(55,975)</w:t>
            </w:r>
          </w:p>
        </w:tc>
        <w:tc>
          <w:tcPr>
            <w:tcW w:w="100" w:type="dxa"/>
            <w:vAlign w:val="bottom"/>
            <w:shd w:val="clear" w:color="auto" w:fill="D5DCE4"/>
          </w:tcPr>
          <w:p>
            <w:pPr>
              <w:spacing w:after="0"/>
              <w:rPr>
                <w:sz w:val="21"/>
                <w:szCs w:val="21"/>
                <w:color w:val="auto"/>
              </w:rPr>
            </w:pPr>
          </w:p>
        </w:tc>
        <w:tc>
          <w:tcPr>
            <w:tcW w:w="5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(41,872)</w:t>
            </w:r>
          </w:p>
        </w:tc>
      </w:tr>
      <w:tr>
        <w:trPr>
          <w:trHeight w:val="230"/>
        </w:trPr>
        <w:tc>
          <w:tcPr>
            <w:tcW w:w="7540" w:type="dxa"/>
            <w:vAlign w:val="bottom"/>
            <w:gridSpan w:val="2"/>
          </w:tcPr>
          <w:p>
            <w:pPr>
              <w:ind w:left="20"/>
              <w:spacing w:after="0"/>
              <w:rPr>
                <w:sz w:val="20"/>
                <w:szCs w:val="20"/>
                <w:color w:val="auto"/>
              </w:rPr>
            </w:pPr>
            <w:r>
              <w:rPr>
                <w:rFonts w:ascii="Arial" w:cs="Arial" w:eastAsia="Arial" w:hAnsi="Arial"/>
                <w:sz w:val="16"/>
                <w:szCs w:val="16"/>
                <w:color w:val="auto"/>
              </w:rPr>
              <w:t>Adjusted Net Income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167,925</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129,035</w:t>
            </w:r>
          </w:p>
        </w:tc>
      </w:tr>
      <w:tr>
        <w:trPr>
          <w:trHeight w:val="20"/>
        </w:trPr>
        <w:tc>
          <w:tcPr>
            <w:tcW w:w="746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68"/>
        </w:trPr>
        <w:tc>
          <w:tcPr>
            <w:tcW w:w="754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Adjusted Diluted EPS </w:t>
            </w:r>
            <w:r>
              <w:rPr>
                <w:rFonts w:ascii="Arial" w:cs="Arial" w:eastAsia="Arial" w:hAnsi="Arial"/>
                <w:sz w:val="21"/>
                <w:szCs w:val="21"/>
                <w:color w:val="auto"/>
                <w:vertAlign w:val="superscript"/>
              </w:rPr>
              <w:t>(8)</w:t>
            </w:r>
          </w:p>
        </w:tc>
        <w:tc>
          <w:tcPr>
            <w:tcW w:w="200" w:type="dxa"/>
            <w:vAlign w:val="bottom"/>
            <w:tcBorders>
              <w:bottom w:val="single" w:sz="8" w:color="auto"/>
            </w:tcBorders>
            <w:shd w:val="clear" w:color="auto" w:fill="D5DCE4"/>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0.71</w:t>
            </w:r>
          </w:p>
        </w:tc>
        <w:tc>
          <w:tcPr>
            <w:tcW w:w="100" w:type="dxa"/>
            <w:vAlign w:val="bottom"/>
            <w:tcBorders>
              <w:bottom w:val="single" w:sz="8" w:color="D5DCE4"/>
            </w:tcBorders>
            <w:shd w:val="clear" w:color="auto" w:fill="D5DCE4"/>
          </w:tcPr>
          <w:p>
            <w:pPr>
              <w:spacing w:after="0"/>
              <w:rPr>
                <w:sz w:val="22"/>
                <w:szCs w:val="22"/>
                <w:color w:val="auto"/>
              </w:rPr>
            </w:pPr>
          </w:p>
        </w:tc>
        <w:tc>
          <w:tcPr>
            <w:tcW w:w="520" w:type="dxa"/>
            <w:vAlign w:val="bottom"/>
            <w:tcBorders>
              <w:bottom w:val="single" w:sz="8" w:color="auto"/>
            </w:tcBorders>
            <w:shd w:val="clear" w:color="auto" w:fill="D5DCE4"/>
          </w:tcPr>
          <w:p>
            <w:pPr>
              <w:jc w:val="right"/>
              <w:ind w:right="3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0.54</w:t>
            </w:r>
          </w:p>
        </w:tc>
      </w:tr>
      <w:tr>
        <w:trPr>
          <w:trHeight w:val="20"/>
        </w:trPr>
        <w:tc>
          <w:tcPr>
            <w:tcW w:w="746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bottom w:val="single" w:sz="8" w:color="auto"/>
            </w:tcBorders>
          </w:tcPr>
          <w:p>
            <w:pPr>
              <w:spacing w:after="0" w:line="20" w:lineRule="exact"/>
              <w:rPr>
                <w:sz w:val="1"/>
                <w:szCs w:val="1"/>
                <w:color w:val="auto"/>
              </w:rPr>
            </w:pPr>
          </w:p>
        </w:tc>
        <w:tc>
          <w:tcPr>
            <w:tcW w:w="1600" w:type="dxa"/>
            <w:vAlign w:val="bottom"/>
            <w:tcBorders>
              <w:top w:val="single" w:sz="8" w:color="D5DCE4"/>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5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type w:val="continuous"/>
        </w:sectPr>
      </w:pPr>
    </w:p>
    <w:p>
      <w:pPr>
        <w:spacing w:after="0" w:line="65"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5</w:t>
      </w:r>
    </w:p>
    <w:p>
      <w:pPr>
        <w:sectPr>
          <w:pgSz w:w="11900" w:h="16838" w:orient="portrait"/>
          <w:cols w:equalWidth="0" w:num="1">
            <w:col w:w="11240"/>
          </w:cols>
          <w:pgMar w:left="320" w:top="773" w:right="339" w:bottom="1440" w:gutter="0" w:footer="0" w:header="0"/>
          <w:type w:val="continuous"/>
        </w:sectPr>
      </w:pPr>
    </w:p>
    <w:bookmarkStart w:id="8" w:name="page9"/>
    <w:bookmarkEnd w:id="8"/>
    <w:p>
      <w:pPr>
        <w:ind w:left="440" w:right="240" w:hanging="414"/>
        <w:spacing w:after="0" w:line="293"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the reallocation of net income attributable to non-controlling interests from the assumed exchange of all outstanding LLC Interests held by non-controlling interests for shares of Class A or Class B common stock.</w:t>
      </w:r>
    </w:p>
    <w:p>
      <w:pPr>
        <w:ind w:left="440" w:right="260" w:hanging="414"/>
        <w:spacing w:after="0" w:line="293"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ind w:left="440" w:right="380" w:hanging="414"/>
        <w:spacing w:after="0" w:line="293"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ind w:left="440" w:right="460" w:hanging="414"/>
        <w:spacing w:after="0" w:line="293"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w:t>
      </w:r>
    </w:p>
    <w:p>
      <w:pPr>
        <w:ind w:left="440" w:right="160" w:hanging="414"/>
        <w:spacing w:after="0" w:line="293"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ind w:left="440" w:right="100" w:hanging="414"/>
        <w:spacing w:after="0" w:line="271"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spacing w:after="0" w:line="124" w:lineRule="exact"/>
        <w:rPr>
          <w:rFonts w:ascii="Arial" w:cs="Arial" w:eastAsia="Arial" w:hAnsi="Arial"/>
          <w:sz w:val="12"/>
          <w:szCs w:val="12"/>
          <w:color w:val="auto"/>
        </w:rPr>
      </w:pPr>
    </w:p>
    <w:p>
      <w:pPr>
        <w:ind w:left="440" w:right="240" w:hanging="414"/>
        <w:spacing w:after="0" w:line="200" w:lineRule="auto"/>
        <w:tabs>
          <w:tab w:leader="none" w:pos="440" w:val="left"/>
        </w:tabs>
        <w:numPr>
          <w:ilvl w:val="0"/>
          <w:numId w:val="9"/>
        </w:numPr>
        <w:rPr>
          <w:rFonts w:ascii="Arial" w:cs="Arial" w:eastAsia="Arial" w:hAnsi="Arial"/>
          <w:sz w:val="24"/>
          <w:szCs w:val="24"/>
          <w:color w:val="auto"/>
          <w:vertAlign w:val="superscript"/>
        </w:rPr>
      </w:pPr>
      <w:r>
        <w:rPr>
          <w:rFonts w:ascii="Arial" w:cs="Arial" w:eastAsia="Arial" w:hAnsi="Arial"/>
          <w:sz w:val="12"/>
          <w:szCs w:val="12"/>
          <w:color w:val="auto"/>
        </w:rPr>
        <w:t>Represents corporate income taxes at an assumed effective tax rate of 25.0% and 24.5% applied to Adjusted Net Income before income taxes for the three months ended March 31, 2024 and 2023</w:t>
      </w:r>
      <w:r>
        <w:rPr>
          <w:rFonts w:ascii="Arial" w:cs="Arial" w:eastAsia="Arial" w:hAnsi="Arial"/>
          <w:sz w:val="14"/>
          <w:szCs w:val="14"/>
          <w:color w:val="auto"/>
        </w:rPr>
        <w:t>,</w:t>
      </w:r>
      <w:r>
        <w:rPr>
          <w:rFonts w:ascii="Arial" w:cs="Arial" w:eastAsia="Arial" w:hAnsi="Arial"/>
          <w:sz w:val="12"/>
          <w:szCs w:val="12"/>
          <w:color w:val="auto"/>
        </w:rPr>
        <w:t xml:space="preserve"> respectively</w:t>
      </w:r>
      <w:r>
        <w:rPr>
          <w:rFonts w:ascii="Arial" w:cs="Arial" w:eastAsia="Arial" w:hAnsi="Arial"/>
          <w:sz w:val="14"/>
          <w:szCs w:val="14"/>
          <w:color w:val="auto"/>
        </w:rPr>
        <w:t>.</w:t>
      </w:r>
    </w:p>
    <w:p>
      <w:pPr>
        <w:spacing w:after="0" w:line="36" w:lineRule="exact"/>
        <w:rPr>
          <w:rFonts w:ascii="Arial" w:cs="Arial" w:eastAsia="Arial" w:hAnsi="Arial"/>
          <w:sz w:val="24"/>
          <w:szCs w:val="24"/>
          <w:color w:val="auto"/>
          <w:vertAlign w:val="superscript"/>
        </w:rPr>
      </w:pPr>
    </w:p>
    <w:p>
      <w:pPr>
        <w:ind w:left="440" w:right="100" w:hanging="414"/>
        <w:spacing w:after="0" w:line="271"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For a summary of the calculation of Adjusted Diluted EPS, see “Reconciliation of Diluted Weighted Average Shares Outstanding to Adjusted Diluted Weighted Average Shares Outstanding and Adjusted Diluted EPS” below.</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calculation of Adjusted Diluted EPS for the periods presented:</w:t>
      </w:r>
    </w:p>
    <w:p>
      <w:pPr>
        <w:spacing w:after="0" w:line="77" w:lineRule="exact"/>
        <w:rPr>
          <w:sz w:val="20"/>
          <w:szCs w:val="20"/>
          <w:color w:val="auto"/>
        </w:rPr>
      </w:pPr>
    </w:p>
    <w:p>
      <w:pPr>
        <w:ind w:left="8580"/>
        <w:spacing w:after="0"/>
        <w:rPr>
          <w:sz w:val="20"/>
          <w:szCs w:val="20"/>
          <w:color w:val="auto"/>
        </w:rPr>
      </w:pPr>
      <w:r>
        <w:rPr>
          <w:rFonts w:ascii="Arial" w:cs="Arial" w:eastAsia="Arial" w:hAnsi="Arial"/>
          <w:sz w:val="16"/>
          <w:szCs w:val="16"/>
          <w:b w:val="1"/>
          <w:bCs w:val="1"/>
          <w:color w:val="auto"/>
        </w:rPr>
        <w:t>Three Months Ended</w:t>
      </w:r>
    </w:p>
    <w:p>
      <w:pPr>
        <w:sectPr>
          <w:pgSz w:w="11900" w:h="16838" w:orient="portrait"/>
          <w:cols w:equalWidth="0" w:num="1">
            <w:col w:w="11240"/>
          </w:cols>
          <w:pgMar w:left="320" w:top="936" w:right="339" w:bottom="1440" w:gutter="0" w:footer="0" w:header="0"/>
        </w:sectPr>
      </w:pPr>
    </w:p>
    <w:p>
      <w:pPr>
        <w:spacing w:after="0" w:line="127" w:lineRule="exact"/>
        <w:rPr>
          <w:sz w:val="20"/>
          <w:szCs w:val="20"/>
          <w:color w:val="auto"/>
        </w:rPr>
      </w:pPr>
    </w:p>
    <w:p>
      <w:pPr>
        <w:ind w:left="20" w:right="280"/>
        <w:spacing w:after="0" w:line="296" w:lineRule="auto"/>
        <w:rPr>
          <w:sz w:val="20"/>
          <w:szCs w:val="20"/>
          <w:color w:val="auto"/>
        </w:rPr>
      </w:pPr>
      <w:r>
        <w:rPr>
          <w:rFonts w:ascii="Arial" w:cs="Arial" w:eastAsia="Arial" w:hAnsi="Arial"/>
          <w:sz w:val="16"/>
          <w:szCs w:val="16"/>
          <w:b w:val="1"/>
          <w:bCs w:val="1"/>
          <w:color w:val="auto"/>
        </w:rPr>
        <w:t>Reconciliation of Diluted Weighted Average Shares Outstanding to Adjusted Diluted Weighted Average Shares Outstanding and 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Diluted weighted average shares of Class A and Class B common stock outstanding</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Weighted average of other participating securities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line="234" w:lineRule="auto"/>
        <w:rPr>
          <w:sz w:val="20"/>
          <w:szCs w:val="20"/>
          <w:color w:val="auto"/>
        </w:rPr>
      </w:pPr>
      <w:r>
        <w:rPr>
          <w:rFonts w:ascii="Arial" w:cs="Arial" w:eastAsia="Arial" w:hAnsi="Arial"/>
          <w:sz w:val="16"/>
          <w:szCs w:val="16"/>
          <w:color w:val="auto"/>
        </w:rPr>
        <w:t xml:space="preserve">Assumed exchange of LLC Interests for shares of Class A or Class B common stock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center"/>
        <w:ind w:right="7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29210</wp:posOffset>
            </wp:positionV>
            <wp:extent cx="23488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53" w:lineRule="exact"/>
        <w:rPr>
          <w:sz w:val="20"/>
          <w:szCs w:val="20"/>
          <w:color w:val="auto"/>
        </w:rPr>
      </w:pPr>
    </w:p>
    <w:p>
      <w:pPr>
        <w:spacing w:after="0"/>
        <w:tabs>
          <w:tab w:leader="none" w:pos="1880" w:val="left"/>
        </w:tabs>
        <w:rPr>
          <w:sz w:val="20"/>
          <w:szCs w:val="20"/>
          <w:color w:val="auto"/>
        </w:rPr>
      </w:pPr>
      <w:r>
        <w:rPr>
          <w:rFonts w:ascii="Arial" w:cs="Arial" w:eastAsia="Arial" w:hAnsi="Arial"/>
          <w:sz w:val="16"/>
          <w:szCs w:val="16"/>
          <w:b w:val="1"/>
          <w:bCs w:val="1"/>
          <w:color w:val="auto"/>
        </w:rPr>
        <w:t>2024</w:t>
      </w:r>
      <w:r>
        <w:rPr>
          <w:sz w:val="20"/>
          <w:szCs w:val="20"/>
          <w:color w:val="auto"/>
        </w:rPr>
        <w:tab/>
      </w:r>
      <w:r>
        <w:rPr>
          <w:rFonts w:ascii="Arial" w:cs="Arial" w:eastAsia="Arial" w:hAnsi="Arial"/>
          <w:sz w:val="16"/>
          <w:szCs w:val="16"/>
          <w:b w:val="1"/>
          <w:bCs w:val="1"/>
          <w:color w:val="auto"/>
        </w:rPr>
        <w:t>2023</w:t>
      </w:r>
    </w:p>
    <w:p>
      <w:pPr>
        <w:spacing w:after="0" w:line="73" w:lineRule="exact"/>
        <w:rPr>
          <w:sz w:val="20"/>
          <w:szCs w:val="20"/>
          <w:color w:val="auto"/>
        </w:rPr>
      </w:pPr>
    </w:p>
    <w:p>
      <w:pPr>
        <w:ind w:left="120"/>
        <w:spacing w:after="0"/>
        <w:tabs>
          <w:tab w:leader="none" w:pos="1980" w:val="left"/>
        </w:tabs>
        <w:rPr>
          <w:sz w:val="20"/>
          <w:szCs w:val="20"/>
          <w:color w:val="auto"/>
        </w:rPr>
      </w:pPr>
      <w:r>
        <w:rPr>
          <w:rFonts w:ascii="Arial" w:cs="Arial" w:eastAsia="Arial" w:hAnsi="Arial"/>
          <w:sz w:val="16"/>
          <w:szCs w:val="16"/>
          <w:color w:val="auto"/>
        </w:rPr>
        <w:t>214,660,853</w:t>
      </w:r>
      <w:r>
        <w:rPr>
          <w:sz w:val="20"/>
          <w:szCs w:val="20"/>
          <w:color w:val="auto"/>
        </w:rPr>
        <w:tab/>
      </w:r>
      <w:r>
        <w:rPr>
          <w:rFonts w:ascii="Arial" w:cs="Arial" w:eastAsia="Arial" w:hAnsi="Arial"/>
          <w:sz w:val="16"/>
          <w:szCs w:val="16"/>
          <w:color w:val="auto"/>
        </w:rPr>
        <w:t>210,143,734</w:t>
      </w:r>
    </w:p>
    <w:p>
      <w:pPr>
        <w:spacing w:after="0" w:line="59" w:lineRule="exact"/>
        <w:rPr>
          <w:sz w:val="20"/>
          <w:szCs w:val="20"/>
          <w:color w:val="auto"/>
        </w:rPr>
      </w:pPr>
    </w:p>
    <w:p>
      <w:pPr>
        <w:jc w:val="both"/>
        <w:ind w:left="440"/>
        <w:spacing w:after="0"/>
        <w:tabs>
          <w:tab w:leader="none" w:pos="2300" w:val="left"/>
        </w:tabs>
        <w:rPr>
          <w:sz w:val="20"/>
          <w:szCs w:val="20"/>
          <w:color w:val="auto"/>
        </w:rPr>
      </w:pPr>
      <w:r>
        <w:rPr>
          <w:rFonts w:ascii="Arial" w:cs="Arial" w:eastAsia="Arial" w:hAnsi="Arial"/>
          <w:sz w:val="16"/>
          <w:szCs w:val="16"/>
          <w:color w:val="auto"/>
        </w:rPr>
        <w:t>159,957</w:t>
      </w:r>
      <w:r>
        <w:rPr>
          <w:sz w:val="20"/>
          <w:szCs w:val="20"/>
          <w:color w:val="auto"/>
        </w:rPr>
        <w:tab/>
      </w:r>
      <w:r>
        <w:rPr>
          <w:rFonts w:ascii="Arial" w:cs="Arial" w:eastAsia="Arial" w:hAnsi="Arial"/>
          <w:sz w:val="16"/>
          <w:szCs w:val="16"/>
          <w:color w:val="auto"/>
        </w:rPr>
        <w:t>291,772</w:t>
      </w:r>
    </w:p>
    <w:p>
      <w:pPr>
        <w:spacing w:after="0" w:line="59" w:lineRule="exact"/>
        <w:rPr>
          <w:sz w:val="20"/>
          <w:szCs w:val="20"/>
          <w:color w:val="auto"/>
        </w:rPr>
      </w:pPr>
    </w:p>
    <w:p>
      <w:pPr>
        <w:ind w:left="200"/>
        <w:spacing w:after="0"/>
        <w:tabs>
          <w:tab w:leader="none" w:pos="2080" w:val="left"/>
        </w:tabs>
        <w:rPr>
          <w:sz w:val="20"/>
          <w:szCs w:val="20"/>
          <w:color w:val="auto"/>
        </w:rPr>
      </w:pPr>
      <w:r>
        <w:rPr>
          <w:rFonts w:ascii="Arial" w:cs="Arial" w:eastAsia="Arial" w:hAnsi="Arial"/>
          <w:sz w:val="15"/>
          <w:szCs w:val="15"/>
          <w:color w:val="auto"/>
        </w:rPr>
        <w:t>23,077,973</w:t>
      </w:r>
      <w:r>
        <w:rPr>
          <w:sz w:val="20"/>
          <w:szCs w:val="20"/>
          <w:color w:val="auto"/>
        </w:rPr>
        <w:tab/>
      </w:r>
      <w:r>
        <w:rPr>
          <w:rFonts w:ascii="Arial" w:cs="Arial" w:eastAsia="Arial" w:hAnsi="Arial"/>
          <w:sz w:val="15"/>
          <w:szCs w:val="15"/>
          <w:color w:val="auto"/>
        </w:rPr>
        <w:t>26,340,754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36830</wp:posOffset>
            </wp:positionV>
            <wp:extent cx="234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84" w:lineRule="exact"/>
        <w:rPr>
          <w:sz w:val="20"/>
          <w:szCs w:val="20"/>
          <w:color w:val="auto"/>
        </w:rPr>
      </w:pPr>
    </w:p>
    <w:p>
      <w:pPr>
        <w:sectPr>
          <w:pgSz w:w="11900" w:h="16838" w:orient="portrait"/>
          <w:cols w:equalWidth="0" w:num="2">
            <w:col w:w="7540" w:space="720"/>
            <w:col w:w="2980"/>
          </w:cols>
          <w:pgMar w:left="320" w:top="936"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540" w:type="dxa"/>
            <w:vAlign w:val="bottom"/>
          </w:tcPr>
          <w:p>
            <w:pPr>
              <w:ind w:left="20"/>
              <w:spacing w:after="0"/>
              <w:rPr>
                <w:sz w:val="20"/>
                <w:szCs w:val="20"/>
                <w:color w:val="auto"/>
              </w:rPr>
            </w:pPr>
            <w:r>
              <w:rPr>
                <w:rFonts w:ascii="Arial" w:cs="Arial" w:eastAsia="Arial" w:hAnsi="Arial"/>
                <w:sz w:val="16"/>
                <w:szCs w:val="16"/>
                <w:color w:val="auto"/>
              </w:rPr>
              <w:t>Adjusted diluted weighted average shares outstanding</w:t>
            </w:r>
          </w:p>
        </w:tc>
        <w:tc>
          <w:tcPr>
            <w:tcW w:w="4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237,898,783</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236,776,260</w:t>
            </w:r>
          </w:p>
        </w:tc>
      </w:tr>
      <w:tr>
        <w:trPr>
          <w:trHeight w:val="20"/>
        </w:trPr>
        <w:tc>
          <w:tcPr>
            <w:tcW w:w="754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2"/>
        </w:trPr>
        <w:tc>
          <w:tcPr>
            <w:tcW w:w="754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Net Income (in thousands)</w:t>
            </w:r>
          </w:p>
        </w:tc>
        <w:tc>
          <w:tcPr>
            <w:tcW w:w="480" w:type="dxa"/>
            <w:vAlign w:val="bottom"/>
            <w:tcBorders>
              <w:bottom w:val="single" w:sz="8" w:color="auto"/>
            </w:tcBorders>
            <w:shd w:val="clear" w:color="auto" w:fill="D5DCE4"/>
          </w:tcPr>
          <w:p>
            <w:pPr>
              <w:jc w:val="right"/>
              <w:ind w:right="2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167,925</w:t>
            </w:r>
          </w:p>
        </w:tc>
        <w:tc>
          <w:tcPr>
            <w:tcW w:w="100" w:type="dxa"/>
            <w:vAlign w:val="bottom"/>
            <w:tcBorders>
              <w:bottom w:val="single" w:sz="8" w:color="D5DCE4"/>
            </w:tcBorders>
            <w:shd w:val="clear" w:color="auto" w:fill="D5DCE4"/>
          </w:tcPr>
          <w:p>
            <w:pPr>
              <w:spacing w:after="0"/>
              <w:rPr>
                <w:sz w:val="22"/>
                <w:szCs w:val="22"/>
                <w:color w:val="auto"/>
              </w:rPr>
            </w:pPr>
          </w:p>
        </w:tc>
        <w:tc>
          <w:tcPr>
            <w:tcW w:w="46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129,035</w:t>
            </w:r>
          </w:p>
        </w:tc>
      </w:tr>
      <w:tr>
        <w:trPr>
          <w:trHeight w:val="20"/>
        </w:trPr>
        <w:tc>
          <w:tcPr>
            <w:tcW w:w="754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320" w:type="dxa"/>
            <w:vAlign w:val="bottom"/>
            <w:tcBorders>
              <w:top w:val="single" w:sz="8" w:color="D5DCE4"/>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460" w:type="dxa"/>
            <w:vAlign w:val="bottom"/>
            <w:tcBorders>
              <w:top w:val="single" w:sz="8" w:color="D5DCE4"/>
              <w:bottom w:val="single" w:sz="8" w:color="auto"/>
            </w:tcBorders>
          </w:tcPr>
          <w:p>
            <w:pPr>
              <w:spacing w:after="0" w:line="20" w:lineRule="exact"/>
              <w:rPr>
                <w:sz w:val="1"/>
                <w:szCs w:val="1"/>
                <w:color w:val="auto"/>
              </w:rPr>
            </w:pPr>
          </w:p>
        </w:tc>
        <w:tc>
          <w:tcPr>
            <w:tcW w:w="134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7540" w:type="dxa"/>
            <w:vAlign w:val="bottom"/>
          </w:tcPr>
          <w:p>
            <w:pPr>
              <w:ind w:left="20"/>
              <w:spacing w:after="0"/>
              <w:rPr>
                <w:sz w:val="20"/>
                <w:szCs w:val="20"/>
                <w:color w:val="auto"/>
              </w:rPr>
            </w:pPr>
            <w:r>
              <w:rPr>
                <w:rFonts w:ascii="Arial" w:cs="Arial" w:eastAsia="Arial" w:hAnsi="Arial"/>
                <w:sz w:val="16"/>
                <w:szCs w:val="16"/>
                <w:color w:val="auto"/>
              </w:rPr>
              <w:t>Adjusted Diluted EPS</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0.71</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0.54</w:t>
            </w:r>
          </w:p>
        </w:tc>
      </w:tr>
      <w:tr>
        <w:trPr>
          <w:trHeight w:val="20"/>
        </w:trPr>
        <w:tc>
          <w:tcPr>
            <w:tcW w:w="7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Represents weighted average unvested restricted stock units and unsettled vested performance-based restricted stock units issued to certain retired or terminated employees that are entitled to non-</w:t>
      </w:r>
    </w:p>
    <w:p>
      <w:pPr>
        <w:spacing w:after="0" w:line="1" w:lineRule="exact"/>
        <w:rPr>
          <w:sz w:val="20"/>
          <w:szCs w:val="20"/>
          <w:color w:val="auto"/>
        </w:rPr>
      </w:pPr>
    </w:p>
    <w:p>
      <w:pPr>
        <w:ind w:left="440" w:right="40" w:hanging="414"/>
        <w:spacing w:after="0" w:line="293"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forfeitable dividend equivalent rights and are considered participating securities prior to being issued and outstanding shares of common stock in accordance with the two-class method used for purposes of calculating earnings per share.</w:t>
      </w:r>
    </w:p>
    <w:p>
      <w:pPr>
        <w:spacing w:after="0" w:line="27" w:lineRule="exact"/>
        <w:rPr>
          <w:rFonts w:ascii="Arial" w:cs="Arial" w:eastAsia="Arial" w:hAnsi="Arial"/>
          <w:sz w:val="12"/>
          <w:szCs w:val="12"/>
          <w:color w:val="auto"/>
        </w:rPr>
      </w:pPr>
    </w:p>
    <w:p>
      <w:pPr>
        <w:ind w:left="440" w:right="260" w:hanging="414"/>
        <w:spacing w:after="0" w:line="186" w:lineRule="auto"/>
        <w:tabs>
          <w:tab w:leader="none" w:pos="440" w:val="left"/>
        </w:tabs>
        <w:numPr>
          <w:ilvl w:val="0"/>
          <w:numId w:val="10"/>
        </w:numPr>
        <w:rPr>
          <w:rFonts w:ascii="Arial" w:cs="Arial" w:eastAsia="Arial" w:hAnsi="Arial"/>
          <w:sz w:val="22"/>
          <w:szCs w:val="22"/>
          <w:color w:val="auto"/>
          <w:vertAlign w:val="superscript"/>
        </w:rPr>
      </w:pPr>
      <w:r>
        <w:rPr>
          <w:rFonts w:ascii="Arial" w:cs="Arial" w:eastAsia="Arial" w:hAnsi="Arial"/>
          <w:sz w:val="11"/>
          <w:szCs w:val="11"/>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60" w:type="dxa"/>
            <w:vAlign w:val="bottom"/>
            <w:gridSpan w:val="4"/>
          </w:tcPr>
          <w:p>
            <w:pPr>
              <w:jc w:val="center"/>
              <w:ind w:right="339"/>
              <w:spacing w:after="0"/>
              <w:rPr>
                <w:sz w:val="20"/>
                <w:szCs w:val="20"/>
                <w:color w:val="auto"/>
              </w:rPr>
            </w:pPr>
            <w:r>
              <w:rPr>
                <w:rFonts w:ascii="Arial" w:cs="Arial" w:eastAsia="Arial" w:hAnsi="Arial"/>
                <w:sz w:val="16"/>
                <w:szCs w:val="16"/>
                <w:b w:val="1"/>
                <w:bCs w:val="1"/>
                <w:color w:val="auto"/>
              </w:rPr>
              <w:t>Three Months Ended</w:t>
            </w:r>
          </w:p>
        </w:tc>
      </w:tr>
      <w:tr>
        <w:trPr>
          <w:trHeight w:val="258"/>
        </w:trPr>
        <w:tc>
          <w:tcPr>
            <w:tcW w:w="7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center"/>
              <w:ind w:left="799"/>
              <w:spacing w:after="0"/>
              <w:rPr>
                <w:sz w:val="20"/>
                <w:szCs w:val="20"/>
                <w:color w:val="auto"/>
              </w:rPr>
            </w:pPr>
            <w:r>
              <w:rPr>
                <w:rFonts w:ascii="Arial" w:cs="Arial" w:eastAsia="Arial" w:hAnsi="Arial"/>
                <w:sz w:val="16"/>
                <w:szCs w:val="16"/>
                <w:b w:val="1"/>
                <w:bCs w:val="1"/>
                <w:color w:val="auto"/>
              </w:rPr>
              <w:t>March 31,</w:t>
            </w:r>
          </w:p>
        </w:tc>
        <w:tc>
          <w:tcPr>
            <w:tcW w:w="1280" w:type="dxa"/>
            <w:vAlign w:val="bottom"/>
            <w:tcBorders>
              <w:bottom w:val="single" w:sz="8" w:color="auto"/>
            </w:tcBorders>
          </w:tcPr>
          <w:p>
            <w:pPr>
              <w:spacing w:after="0"/>
              <w:rPr>
                <w:sz w:val="22"/>
                <w:szCs w:val="22"/>
                <w:color w:val="auto"/>
              </w:rPr>
            </w:pPr>
          </w:p>
        </w:tc>
      </w:tr>
      <w:tr>
        <w:trPr>
          <w:trHeight w:val="239"/>
        </w:trPr>
        <w:tc>
          <w:tcPr>
            <w:tcW w:w="756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Operating Expenses to Adjusted Expenses</w:t>
            </w:r>
          </w:p>
        </w:tc>
        <w:tc>
          <w:tcPr>
            <w:tcW w:w="420" w:type="dxa"/>
            <w:vAlign w:val="bottom"/>
          </w:tcPr>
          <w:p>
            <w:pPr>
              <w:spacing w:after="0"/>
              <w:rPr>
                <w:sz w:val="20"/>
                <w:szCs w:val="20"/>
                <w:color w:val="auto"/>
              </w:rPr>
            </w:pPr>
          </w:p>
        </w:tc>
        <w:tc>
          <w:tcPr>
            <w:tcW w:w="1380" w:type="dxa"/>
            <w:vAlign w:val="bottom"/>
          </w:tcPr>
          <w:p>
            <w:pPr>
              <w:jc w:val="right"/>
              <w:ind w:right="6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ind w:right="639"/>
              <w:spacing w:after="0"/>
              <w:rPr>
                <w:sz w:val="20"/>
                <w:szCs w:val="20"/>
                <w:color w:val="auto"/>
              </w:rPr>
            </w:pPr>
            <w:r>
              <w:rPr>
                <w:rFonts w:ascii="Arial" w:cs="Arial" w:eastAsia="Arial" w:hAnsi="Arial"/>
                <w:sz w:val="16"/>
                <w:szCs w:val="16"/>
                <w:b w:val="1"/>
                <w:bCs w:val="1"/>
                <w:color w:val="auto"/>
              </w:rPr>
              <w:t>2023</w:t>
            </w:r>
          </w:p>
        </w:tc>
      </w:tr>
      <w:tr>
        <w:trPr>
          <w:trHeight w:val="237"/>
        </w:trPr>
        <w:tc>
          <w:tcPr>
            <w:tcW w:w="73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260" w:type="dxa"/>
            <w:vAlign w:val="bottom"/>
            <w:tcBorders>
              <w:top w:val="single" w:sz="8" w:color="auto"/>
            </w:tcBorders>
            <w:gridSpan w:val="4"/>
          </w:tcPr>
          <w:p>
            <w:pPr>
              <w:jc w:val="center"/>
              <w:ind w:right="319"/>
              <w:spacing w:after="0"/>
              <w:rPr>
                <w:sz w:val="20"/>
                <w:szCs w:val="20"/>
                <w:color w:val="auto"/>
              </w:rPr>
            </w:pPr>
            <w:r>
              <w:rPr>
                <w:rFonts w:ascii="Arial" w:cs="Arial" w:eastAsia="Arial" w:hAnsi="Arial"/>
                <w:sz w:val="16"/>
                <w:szCs w:val="16"/>
                <w:b w:val="1"/>
                <w:bCs w:val="1"/>
                <w:color w:val="auto"/>
              </w:rPr>
              <w:t>(dollars in thousands)</w:t>
            </w:r>
          </w:p>
        </w:tc>
      </w:tr>
      <w:tr>
        <w:trPr>
          <w:trHeight w:val="247"/>
        </w:trPr>
        <w:tc>
          <w:tcPr>
            <w:tcW w:w="75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Operating expenses</w:t>
            </w:r>
          </w:p>
        </w:tc>
        <w:tc>
          <w:tcPr>
            <w:tcW w:w="420" w:type="dxa"/>
            <w:vAlign w:val="bottom"/>
            <w:shd w:val="clear" w:color="auto" w:fill="D5DCE4"/>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241,061</w:t>
            </w:r>
          </w:p>
        </w:tc>
        <w:tc>
          <w:tcPr>
            <w:tcW w:w="80" w:type="dxa"/>
            <w:vAlign w:val="bottom"/>
            <w:shd w:val="clear" w:color="auto" w:fill="D5DCE4"/>
          </w:tcPr>
          <w:p>
            <w:pPr>
              <w:spacing w:after="0"/>
              <w:rPr>
                <w:sz w:val="21"/>
                <w:szCs w:val="21"/>
                <w:color w:val="auto"/>
              </w:rPr>
            </w:pPr>
          </w:p>
        </w:tc>
        <w:tc>
          <w:tcPr>
            <w:tcW w:w="520" w:type="dxa"/>
            <w:vAlign w:val="bottom"/>
            <w:shd w:val="clear" w:color="auto" w:fill="D5DCE4"/>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206,683</w:t>
            </w:r>
          </w:p>
        </w:tc>
      </w:tr>
      <w:tr>
        <w:trPr>
          <w:trHeight w:val="243"/>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(3,614)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(585)</w:t>
            </w:r>
          </w:p>
        </w:tc>
      </w:tr>
      <w:tr>
        <w:trPr>
          <w:trHeight w:val="243"/>
        </w:trPr>
        <w:tc>
          <w:tcPr>
            <w:tcW w:w="75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(2)</w:t>
            </w:r>
          </w:p>
        </w:tc>
        <w:tc>
          <w:tcPr>
            <w:tcW w:w="420" w:type="dxa"/>
            <w:vAlign w:val="bottom"/>
            <w:shd w:val="clear" w:color="auto" w:fill="D5DCE4"/>
          </w:tcPr>
          <w:p>
            <w:pPr>
              <w:spacing w:after="0"/>
              <w:rPr>
                <w:sz w:val="21"/>
                <w:szCs w:val="21"/>
                <w:color w:val="auto"/>
              </w:rPr>
            </w:pPr>
          </w:p>
        </w:tc>
        <w:tc>
          <w:tcPr>
            <w:tcW w:w="13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(34,367)</w:t>
            </w:r>
          </w:p>
        </w:tc>
        <w:tc>
          <w:tcPr>
            <w:tcW w:w="8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(31,617)</w:t>
            </w:r>
          </w:p>
        </w:tc>
      </w:tr>
      <w:tr>
        <w:trPr>
          <w:trHeight w:val="243"/>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(3)</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(1,183)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(850)</w:t>
            </w:r>
          </w:p>
        </w:tc>
      </w:tr>
      <w:tr>
        <w:trPr>
          <w:trHeight w:val="243"/>
        </w:trPr>
        <w:tc>
          <w:tcPr>
            <w:tcW w:w="75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(4)</w:t>
            </w:r>
          </w:p>
        </w:tc>
        <w:tc>
          <w:tcPr>
            <w:tcW w:w="420" w:type="dxa"/>
            <w:vAlign w:val="bottom"/>
            <w:tcBorders>
              <w:bottom w:val="single" w:sz="8" w:color="auto"/>
            </w:tcBorders>
            <w:shd w:val="clear" w:color="auto" w:fill="D5DCE4"/>
          </w:tcPr>
          <w:p>
            <w:pPr>
              <w:spacing w:after="0"/>
              <w:rPr>
                <w:sz w:val="21"/>
                <w:szCs w:val="21"/>
                <w:color w:val="auto"/>
              </w:rPr>
            </w:pPr>
          </w:p>
        </w:tc>
        <w:tc>
          <w:tcPr>
            <w:tcW w:w="13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2,284</w:t>
            </w:r>
          </w:p>
        </w:tc>
        <w:tc>
          <w:tcPr>
            <w:tcW w:w="80" w:type="dxa"/>
            <w:vAlign w:val="bottom"/>
            <w:shd w:val="clear" w:color="auto" w:fill="D5DCE4"/>
          </w:tcPr>
          <w:p>
            <w:pPr>
              <w:spacing w:after="0"/>
              <w:rPr>
                <w:sz w:val="21"/>
                <w:szCs w:val="21"/>
                <w:color w:val="auto"/>
              </w:rPr>
            </w:pPr>
          </w:p>
        </w:tc>
        <w:tc>
          <w:tcPr>
            <w:tcW w:w="5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(2,798)</w:t>
            </w:r>
          </w:p>
        </w:tc>
      </w:tr>
      <w:tr>
        <w:trPr>
          <w:trHeight w:val="237"/>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Adjusted Expenses</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204,181</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170,833</w:t>
            </w:r>
          </w:p>
        </w:tc>
      </w:tr>
      <w:tr>
        <w:trPr>
          <w:trHeight w:val="20"/>
        </w:trPr>
        <w:tc>
          <w:tcPr>
            <w:tcW w:w="7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440" w:right="240" w:hanging="414"/>
        <w:spacing w:after="0" w:line="183" w:lineRule="auto"/>
        <w:tabs>
          <w:tab w:leader="none" w:pos="440" w:val="left"/>
        </w:tabs>
        <w:numPr>
          <w:ilvl w:val="0"/>
          <w:numId w:val="11"/>
        </w:numPr>
        <w:rPr>
          <w:rFonts w:ascii="Arial" w:cs="Arial" w:eastAsia="Arial" w:hAnsi="Arial"/>
          <w:sz w:val="23"/>
          <w:szCs w:val="23"/>
          <w:color w:val="auto"/>
          <w:vertAlign w:val="subscript"/>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spacing w:after="0" w:line="30" w:lineRule="exact"/>
        <w:rPr>
          <w:rFonts w:ascii="Arial" w:cs="Arial" w:eastAsia="Arial" w:hAnsi="Arial"/>
          <w:sz w:val="23"/>
          <w:szCs w:val="23"/>
          <w:color w:val="auto"/>
          <w:vertAlign w:val="subscript"/>
        </w:rPr>
      </w:pPr>
    </w:p>
    <w:p>
      <w:pPr>
        <w:ind w:left="440" w:right="360" w:hanging="414"/>
        <w:spacing w:after="0" w:line="293"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ind w:left="440" w:right="460" w:hanging="414"/>
        <w:spacing w:after="0" w:line="293"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w:t>
      </w:r>
    </w:p>
    <w:p>
      <w:pPr>
        <w:ind w:left="440" w:right="140" w:hanging="414"/>
        <w:spacing w:after="0" w:line="294"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6</w:t>
      </w:r>
    </w:p>
    <w:p>
      <w:pPr>
        <w:sectPr>
          <w:pgSz w:w="11900" w:h="16838" w:orient="portrait"/>
          <w:cols w:equalWidth="0" w:num="1">
            <w:col w:w="11240"/>
          </w:cols>
          <w:pgMar w:left="320" w:top="936"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24"/>
        </w:trPr>
        <w:tc>
          <w:tcPr>
            <w:tcW w:w="7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Trailing Twelve Months Ended March 31,</w:t>
            </w:r>
          </w:p>
        </w:tc>
      </w:tr>
      <w:tr>
        <w:trPr>
          <w:trHeight w:val="239"/>
        </w:trPr>
        <w:tc>
          <w:tcPr>
            <w:tcW w:w="762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Cash Flow from Operating Activities to Free Cash Flow</w:t>
            </w:r>
          </w:p>
        </w:tc>
        <w:tc>
          <w:tcPr>
            <w:tcW w:w="180" w:type="dxa"/>
            <w:vAlign w:val="bottom"/>
          </w:tcPr>
          <w:p>
            <w:pPr>
              <w:spacing w:after="0"/>
              <w:rPr>
                <w:sz w:val="20"/>
                <w:szCs w:val="20"/>
                <w:color w:val="auto"/>
              </w:rPr>
            </w:pPr>
          </w:p>
        </w:tc>
        <w:tc>
          <w:tcPr>
            <w:tcW w:w="1640" w:type="dxa"/>
            <w:vAlign w:val="bottom"/>
          </w:tcPr>
          <w:p>
            <w:pPr>
              <w:jc w:val="right"/>
              <w:ind w:right="65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99"/>
              <w:spacing w:after="0"/>
              <w:rPr>
                <w:sz w:val="20"/>
                <w:szCs w:val="20"/>
                <w:color w:val="auto"/>
              </w:rPr>
            </w:pPr>
            <w:r>
              <w:rPr>
                <w:rFonts w:ascii="Arial" w:cs="Arial" w:eastAsia="Arial" w:hAnsi="Arial"/>
                <w:sz w:val="16"/>
                <w:szCs w:val="16"/>
                <w:b w:val="1"/>
                <w:bCs w:val="1"/>
                <w:color w:val="auto"/>
              </w:rPr>
              <w:t>2023</w:t>
            </w:r>
          </w:p>
        </w:tc>
      </w:tr>
      <w:tr>
        <w:trPr>
          <w:trHeight w:val="237"/>
        </w:trPr>
        <w:tc>
          <w:tcPr>
            <w:tcW w:w="75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440" w:type="dxa"/>
            <w:vAlign w:val="bottom"/>
            <w:tcBorders>
              <w:top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(dollars in thousands)</w:t>
            </w:r>
          </w:p>
        </w:tc>
      </w:tr>
      <w:tr>
        <w:trPr>
          <w:trHeight w:val="247"/>
        </w:trPr>
        <w:tc>
          <w:tcPr>
            <w:tcW w:w="76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Cash flow from operating activities</w:t>
            </w:r>
          </w:p>
        </w:tc>
        <w:tc>
          <w:tcPr>
            <w:tcW w:w="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713,163</w:t>
            </w:r>
          </w:p>
        </w:tc>
        <w:tc>
          <w:tcPr>
            <w:tcW w:w="80" w:type="dxa"/>
            <w:vAlign w:val="bottom"/>
            <w:shd w:val="clear" w:color="auto" w:fill="D5DCE4"/>
          </w:tcPr>
          <w:p>
            <w:pPr>
              <w:spacing w:after="0"/>
              <w:rPr>
                <w:sz w:val="21"/>
                <w:szCs w:val="21"/>
                <w:color w:val="auto"/>
              </w:rPr>
            </w:pPr>
          </w:p>
        </w:tc>
        <w:tc>
          <w:tcPr>
            <w:tcW w:w="380" w:type="dxa"/>
            <w:vAlign w:val="bottom"/>
            <w:shd w:val="clear" w:color="auto" w:fill="D5DCE4"/>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658,419</w:t>
            </w:r>
          </w:p>
        </w:tc>
      </w:tr>
      <w:tr>
        <w:trPr>
          <w:trHeight w:val="235"/>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Less: Capitalization of software development costs</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(44,078)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(37,738)</w:t>
            </w:r>
          </w:p>
        </w:tc>
      </w:tr>
      <w:tr>
        <w:trPr>
          <w:trHeight w:val="244"/>
        </w:trPr>
        <w:tc>
          <w:tcPr>
            <w:tcW w:w="76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Less: Purchases of furniture, equipment and leasehold improvements</w:t>
            </w:r>
          </w:p>
        </w:tc>
        <w:tc>
          <w:tcPr>
            <w:tcW w:w="180" w:type="dxa"/>
            <w:vAlign w:val="bottom"/>
            <w:tcBorders>
              <w:bottom w:val="single" w:sz="8" w:color="auto"/>
            </w:tcBorders>
            <w:shd w:val="clear" w:color="auto" w:fill="D5DCE4"/>
          </w:tcPr>
          <w:p>
            <w:pPr>
              <w:spacing w:after="0"/>
              <w:rPr>
                <w:sz w:val="21"/>
                <w:szCs w:val="21"/>
                <w:color w:val="auto"/>
              </w:rPr>
            </w:pPr>
          </w:p>
        </w:tc>
        <w:tc>
          <w:tcPr>
            <w:tcW w:w="16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(18,239)</w:t>
            </w:r>
          </w:p>
        </w:tc>
        <w:tc>
          <w:tcPr>
            <w:tcW w:w="80" w:type="dxa"/>
            <w:vAlign w:val="bottom"/>
            <w:shd w:val="clear" w:color="auto" w:fill="D5DCE4"/>
          </w:tcPr>
          <w:p>
            <w:pPr>
              <w:spacing w:after="0"/>
              <w:rPr>
                <w:sz w:val="21"/>
                <w:szCs w:val="21"/>
                <w:color w:val="auto"/>
              </w:rPr>
            </w:pPr>
          </w:p>
        </w:tc>
        <w:tc>
          <w:tcPr>
            <w:tcW w:w="380" w:type="dxa"/>
            <w:vAlign w:val="bottom"/>
            <w:tcBorders>
              <w:bottom w:val="single" w:sz="8" w:color="auto"/>
            </w:tcBorders>
            <w:shd w:val="clear" w:color="auto" w:fill="D5DCE4"/>
          </w:tcPr>
          <w:p>
            <w:pPr>
              <w:spacing w:after="0"/>
              <w:rPr>
                <w:sz w:val="21"/>
                <w:szCs w:val="21"/>
                <w:color w:val="auto"/>
              </w:rPr>
            </w:pPr>
          </w:p>
        </w:tc>
        <w:tc>
          <w:tcPr>
            <w:tcW w:w="13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(21,032)</w:t>
            </w:r>
          </w:p>
        </w:tc>
      </w:tr>
      <w:tr>
        <w:trPr>
          <w:trHeight w:val="24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650,846</w:t>
            </w:r>
          </w:p>
        </w:tc>
        <w:tc>
          <w:tcPr>
            <w:tcW w:w="8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599,649</w:t>
            </w:r>
          </w:p>
        </w:tc>
      </w:tr>
      <w:tr>
        <w:trPr>
          <w:trHeight w:val="21"/>
        </w:trPr>
        <w:tc>
          <w:tcPr>
            <w:tcW w:w="7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BASIC AND DILUTED EPS CALCULATIONS (UNAUDITED)</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basic and diluted earnings per share calculations for Tradeweb Markets Inc.:</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00" w:type="dxa"/>
            <w:vAlign w:val="bottom"/>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March 31,</w:t>
            </w:r>
          </w:p>
        </w:tc>
        <w:tc>
          <w:tcPr>
            <w:tcW w:w="1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0" w:type="dxa"/>
            <w:vAlign w:val="bottom"/>
            <w:gridSpan w:val="4"/>
          </w:tcPr>
          <w:p>
            <w:pPr>
              <w:spacing w:after="0"/>
              <w:rPr>
                <w:sz w:val="20"/>
                <w:szCs w:val="20"/>
                <w:color w:val="auto"/>
              </w:rPr>
            </w:pPr>
            <w:r>
              <w:rPr>
                <w:rFonts w:ascii="Arial" w:cs="Arial" w:eastAsia="Arial" w:hAnsi="Arial"/>
                <w:sz w:val="16"/>
                <w:szCs w:val="16"/>
                <w:b w:val="1"/>
                <w:bCs w:val="1"/>
                <w:color w:val="auto"/>
              </w:rPr>
              <w:t>EPS: Net income attributable to Tradeweb Markets Inc.</w:t>
            </w:r>
          </w:p>
        </w:tc>
        <w:tc>
          <w:tcPr>
            <w:tcW w:w="200" w:type="dxa"/>
            <w:vAlign w:val="bottom"/>
          </w:tcPr>
          <w:p>
            <w:pPr>
              <w:spacing w:after="0"/>
              <w:rPr>
                <w:sz w:val="20"/>
                <w:szCs w:val="20"/>
                <w:color w:val="auto"/>
              </w:rPr>
            </w:pPr>
          </w:p>
        </w:tc>
        <w:tc>
          <w:tcPr>
            <w:tcW w:w="1600" w:type="dxa"/>
            <w:vAlign w:val="bottom"/>
          </w:tcPr>
          <w:p>
            <w:pPr>
              <w:jc w:val="right"/>
              <w:ind w:right="6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jc w:val="right"/>
              <w:ind w:right="6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9"/>
        </w:trPr>
        <w:tc>
          <w:tcPr>
            <w:tcW w:w="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(dollars in thousands,</w:t>
            </w:r>
          </w:p>
        </w:tc>
        <w:tc>
          <w:tcPr>
            <w:tcW w:w="80" w:type="dxa"/>
            <w:vAlign w:val="bottom"/>
          </w:tcPr>
          <w:p>
            <w:pPr>
              <w:spacing w:after="0"/>
              <w:rPr>
                <w:sz w:val="17"/>
                <w:szCs w:val="17"/>
                <w:color w:val="auto"/>
              </w:rPr>
            </w:pPr>
          </w:p>
        </w:tc>
        <w:tc>
          <w:tcPr>
            <w:tcW w:w="1820" w:type="dxa"/>
            <w:vAlign w:val="bottom"/>
            <w:tcBorders>
              <w:top w:val="single" w:sz="8" w:color="auto"/>
            </w:tcBorders>
            <w:gridSpan w:val="2"/>
          </w:tcPr>
          <w:p>
            <w:pPr>
              <w:jc w:val="right"/>
              <w:ind w:right="299"/>
              <w:spacing w:after="0"/>
              <w:rPr>
                <w:sz w:val="20"/>
                <w:szCs w:val="20"/>
                <w:color w:val="auto"/>
              </w:rPr>
            </w:pPr>
            <w:r>
              <w:rPr>
                <w:rFonts w:ascii="Arial" w:cs="Arial" w:eastAsia="Arial" w:hAnsi="Arial"/>
                <w:sz w:val="16"/>
                <w:szCs w:val="16"/>
                <w:b w:val="1"/>
                <w:bCs w:val="1"/>
                <w:color w:val="auto"/>
              </w:rPr>
              <w:t>except per share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amounts)</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D5DCE4"/>
            </w:tcBorders>
            <w:shd w:val="clear" w:color="auto" w:fill="D5DCE4"/>
          </w:tcPr>
          <w:p>
            <w:pPr>
              <w:spacing w:after="0"/>
              <w:rPr>
                <w:sz w:val="19"/>
                <w:szCs w:val="19"/>
                <w:color w:val="auto"/>
              </w:rPr>
            </w:pPr>
          </w:p>
        </w:tc>
        <w:tc>
          <w:tcPr>
            <w:tcW w:w="8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6"/>
                <w:szCs w:val="16"/>
                <w:color w:val="auto"/>
                <w:w w:val="99"/>
              </w:rPr>
              <w:t>Numerator:</w:t>
            </w:r>
          </w:p>
        </w:tc>
        <w:tc>
          <w:tcPr>
            <w:tcW w:w="6580" w:type="dxa"/>
            <w:vAlign w:val="bottom"/>
            <w:tcBorders>
              <w:bottom w:val="single" w:sz="8" w:color="D5DCE4"/>
            </w:tcBorders>
            <w:gridSpan w:val="3"/>
            <w:shd w:val="clear" w:color="auto" w:fill="D5DCE4"/>
          </w:tcPr>
          <w:p>
            <w:pPr>
              <w:spacing w:after="0"/>
              <w:rPr>
                <w:sz w:val="19"/>
                <w:szCs w:val="19"/>
                <w:color w:val="auto"/>
              </w:rPr>
            </w:pPr>
          </w:p>
        </w:tc>
        <w:tc>
          <w:tcPr>
            <w:tcW w:w="200" w:type="dxa"/>
            <w:vAlign w:val="bottom"/>
            <w:tcBorders>
              <w:bottom w:val="single" w:sz="8" w:color="D5DCE4"/>
            </w:tcBorders>
            <w:shd w:val="clear" w:color="auto" w:fill="D5DCE4"/>
          </w:tcPr>
          <w:p>
            <w:pPr>
              <w:spacing w:after="0"/>
              <w:rPr>
                <w:sz w:val="19"/>
                <w:szCs w:val="19"/>
                <w:color w:val="auto"/>
              </w:rPr>
            </w:pPr>
          </w:p>
        </w:tc>
        <w:tc>
          <w:tcPr>
            <w:tcW w:w="160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540" w:type="dxa"/>
            <w:vAlign w:val="bottom"/>
            <w:tcBorders>
              <w:bottom w:val="single" w:sz="8" w:color="D5DCE4"/>
            </w:tcBorders>
            <w:shd w:val="clear" w:color="auto" w:fill="D5DCE4"/>
          </w:tcPr>
          <w:p>
            <w:pPr>
              <w:spacing w:after="0"/>
              <w:rPr>
                <w:sz w:val="19"/>
                <w:szCs w:val="19"/>
                <w:color w:val="auto"/>
              </w:rPr>
            </w:pPr>
          </w:p>
        </w:tc>
        <w:tc>
          <w:tcPr>
            <w:tcW w:w="1280" w:type="dxa"/>
            <w:vAlign w:val="bottom"/>
            <w:tcBorders>
              <w:bottom w:val="single" w:sz="8" w:color="D5DCE4"/>
            </w:tcBorders>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00" w:type="dxa"/>
            <w:vAlign w:val="bottom"/>
            <w:gridSpan w:val="4"/>
          </w:tcPr>
          <w:p>
            <w:pPr>
              <w:spacing w:after="0"/>
              <w:rPr>
                <w:sz w:val="20"/>
                <w:szCs w:val="20"/>
                <w:color w:val="auto"/>
              </w:rPr>
            </w:pPr>
            <w:r>
              <w:rPr>
                <w:rFonts w:ascii="Arial" w:cs="Arial" w:eastAsia="Arial" w:hAnsi="Arial"/>
                <w:sz w:val="16"/>
                <w:szCs w:val="16"/>
                <w:color w:val="auto"/>
              </w:rPr>
              <w:t>Net income attributable to Tradeweb Markets Inc.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126,142</w:t>
            </w:r>
          </w:p>
        </w:tc>
        <w:tc>
          <w:tcPr>
            <w:tcW w:w="8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87,856</w:t>
            </w:r>
          </w:p>
        </w:tc>
        <w:tc>
          <w:tcPr>
            <w:tcW w:w="0" w:type="dxa"/>
            <w:vAlign w:val="bottom"/>
          </w:tcPr>
          <w:p>
            <w:pPr>
              <w:spacing w:after="0"/>
              <w:rPr>
                <w:sz w:val="1"/>
                <w:szCs w:val="1"/>
                <w:color w:val="auto"/>
              </w:rPr>
            </w:pPr>
          </w:p>
        </w:tc>
      </w:tr>
      <w:tr>
        <w:trPr>
          <w:trHeight w:val="223"/>
        </w:trPr>
        <w:tc>
          <w:tcPr>
            <w:tcW w:w="20" w:type="dxa"/>
            <w:vAlign w:val="bottom"/>
            <w:shd w:val="clear" w:color="auto" w:fill="D5DCE4"/>
          </w:tcPr>
          <w:p>
            <w:pPr>
              <w:spacing w:after="0"/>
              <w:rPr>
                <w:sz w:val="19"/>
                <w:szCs w:val="19"/>
                <w:color w:val="auto"/>
              </w:rPr>
            </w:pPr>
          </w:p>
        </w:tc>
        <w:tc>
          <w:tcPr>
            <w:tcW w:w="740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Less: Distributed and undistributed earnings allocated to unvested RSUs and unsettled vested</w:t>
            </w:r>
          </w:p>
        </w:tc>
        <w:tc>
          <w:tcPr>
            <w:tcW w:w="200" w:type="dxa"/>
            <w:vAlign w:val="bottom"/>
            <w:shd w:val="clear" w:color="auto" w:fill="D5DCE4"/>
          </w:tcPr>
          <w:p>
            <w:pPr>
              <w:spacing w:after="0"/>
              <w:rPr>
                <w:sz w:val="19"/>
                <w:szCs w:val="19"/>
                <w:color w:val="auto"/>
              </w:rPr>
            </w:pPr>
          </w:p>
        </w:tc>
        <w:tc>
          <w:tcPr>
            <w:tcW w:w="160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54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5DCE4"/>
          </w:tcPr>
          <w:p>
            <w:pPr>
              <w:spacing w:after="0"/>
              <w:rPr>
                <w:sz w:val="20"/>
                <w:szCs w:val="20"/>
                <w:color w:val="auto"/>
              </w:rPr>
            </w:pPr>
          </w:p>
        </w:tc>
        <w:tc>
          <w:tcPr>
            <w:tcW w:w="7400" w:type="dxa"/>
            <w:vAlign w:val="bottom"/>
            <w:gridSpan w:val="4"/>
            <w:shd w:val="clear" w:color="auto" w:fill="D5DCE4"/>
          </w:tcPr>
          <w:p>
            <w:pPr>
              <w:spacing w:after="0" w:line="230" w:lineRule="exact"/>
              <w:rPr>
                <w:sz w:val="20"/>
                <w:szCs w:val="20"/>
                <w:color w:val="auto"/>
              </w:rPr>
            </w:pPr>
            <w:r>
              <w:rPr>
                <w:rFonts w:ascii="Arial" w:cs="Arial" w:eastAsia="Arial" w:hAnsi="Arial"/>
                <w:sz w:val="16"/>
                <w:szCs w:val="16"/>
                <w:color w:val="auto"/>
              </w:rPr>
              <w:t xml:space="preserve">PRSUs </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D5DCE4"/>
          </w:tcPr>
          <w:p>
            <w:pPr>
              <w:spacing w:after="0"/>
              <w:rPr>
                <w:sz w:val="20"/>
                <w:szCs w:val="20"/>
                <w:color w:val="auto"/>
              </w:rPr>
            </w:pP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(95)</w:t>
            </w:r>
          </w:p>
        </w:tc>
        <w:tc>
          <w:tcPr>
            <w:tcW w:w="80" w:type="dxa"/>
            <w:vAlign w:val="bottom"/>
            <w:shd w:val="clear" w:color="auto" w:fill="D5DCE4"/>
          </w:tcPr>
          <w:p>
            <w:pPr>
              <w:spacing w:after="0"/>
              <w:rPr>
                <w:sz w:val="20"/>
                <w:szCs w:val="20"/>
                <w:color w:val="auto"/>
              </w:rPr>
            </w:pPr>
          </w:p>
        </w:tc>
        <w:tc>
          <w:tcPr>
            <w:tcW w:w="54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00" w:type="dxa"/>
            <w:vAlign w:val="bottom"/>
            <w:gridSpan w:val="4"/>
          </w:tcPr>
          <w:p>
            <w:pPr>
              <w:spacing w:after="0"/>
              <w:rPr>
                <w:sz w:val="20"/>
                <w:szCs w:val="20"/>
                <w:color w:val="auto"/>
              </w:rPr>
            </w:pPr>
            <w:r>
              <w:rPr>
                <w:rFonts w:ascii="Arial" w:cs="Arial" w:eastAsia="Arial" w:hAnsi="Arial"/>
                <w:sz w:val="16"/>
                <w:szCs w:val="16"/>
                <w:color w:val="auto"/>
              </w:rPr>
              <w:t>Net income attributable to outstanding shares of Class A and Class B common stock - Basic and</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126,047</w:t>
            </w:r>
          </w:p>
        </w:tc>
        <w:tc>
          <w:tcPr>
            <w:tcW w:w="80" w:type="dxa"/>
            <w:vAlign w:val="bottom"/>
          </w:tcPr>
          <w:p>
            <w:pPr>
              <w:spacing w:after="0"/>
              <w:rPr>
                <w:sz w:val="16"/>
                <w:szCs w:val="16"/>
                <w:color w:val="auto"/>
              </w:rPr>
            </w:pPr>
          </w:p>
        </w:tc>
        <w:tc>
          <w:tcPr>
            <w:tcW w:w="540" w:type="dxa"/>
            <w:vAlign w:val="bottom"/>
            <w:vMerge w:val="restart"/>
          </w:tcPr>
          <w:p>
            <w:pPr>
              <w:jc w:val="right"/>
              <w:ind w:right="339"/>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87,733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7400" w:type="dxa"/>
            <w:vAlign w:val="bottom"/>
            <w:gridSpan w:val="4"/>
          </w:tcPr>
          <w:p>
            <w:pPr>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vMerge w:val="continue"/>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634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634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00" w:type="dxa"/>
            <w:vAlign w:val="bottom"/>
            <w:shd w:val="clear" w:color="auto" w:fill="D5DCE4"/>
          </w:tcPr>
          <w:p>
            <w:pPr>
              <w:spacing w:after="0"/>
              <w:rPr>
                <w:sz w:val="19"/>
                <w:szCs w:val="19"/>
                <w:color w:val="auto"/>
              </w:rPr>
            </w:pPr>
          </w:p>
        </w:tc>
        <w:tc>
          <w:tcPr>
            <w:tcW w:w="160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54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0" w:type="dxa"/>
            <w:vAlign w:val="bottom"/>
            <w:gridSpan w:val="4"/>
          </w:tcPr>
          <w:p>
            <w:pPr>
              <w:spacing w:after="0"/>
              <w:rPr>
                <w:sz w:val="20"/>
                <w:szCs w:val="20"/>
                <w:color w:val="auto"/>
              </w:rPr>
            </w:pPr>
            <w:r>
              <w:rPr>
                <w:rFonts w:ascii="Arial" w:cs="Arial" w:eastAsia="Arial" w:hAnsi="Arial"/>
                <w:sz w:val="16"/>
                <w:szCs w:val="16"/>
                <w:color w:val="auto"/>
              </w:rPr>
              <w:t>Denominator:</w:t>
            </w: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D5DCE4"/>
          </w:tcPr>
          <w:p>
            <w:pPr>
              <w:spacing w:after="0"/>
              <w:rPr>
                <w:sz w:val="21"/>
                <w:szCs w:val="21"/>
                <w:color w:val="auto"/>
              </w:rPr>
            </w:pPr>
          </w:p>
        </w:tc>
        <w:tc>
          <w:tcPr>
            <w:tcW w:w="740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Weighted average shares of Class A and Class B common stock outstanding - Basic</w:t>
            </w:r>
          </w:p>
        </w:tc>
        <w:tc>
          <w:tcPr>
            <w:tcW w:w="20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212,709,872</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208,105,437</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00" w:type="dxa"/>
            <w:vAlign w:val="bottom"/>
            <w:gridSpan w:val="4"/>
          </w:tcPr>
          <w:p>
            <w:pPr>
              <w:ind w:left="120"/>
              <w:spacing w:after="0"/>
              <w:rPr>
                <w:sz w:val="20"/>
                <w:szCs w:val="20"/>
                <w:color w:val="auto"/>
              </w:rPr>
            </w:pPr>
            <w:r>
              <w:rPr>
                <w:rFonts w:ascii="Arial" w:cs="Arial" w:eastAsia="Arial" w:hAnsi="Arial"/>
                <w:sz w:val="16"/>
                <w:szCs w:val="16"/>
                <w:color w:val="auto"/>
              </w:rPr>
              <w:t>Dilutive effect of PRSUs</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500,978</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286,563</w:t>
            </w:r>
          </w:p>
        </w:tc>
        <w:tc>
          <w:tcPr>
            <w:tcW w:w="0" w:type="dxa"/>
            <w:vAlign w:val="bottom"/>
          </w:tcPr>
          <w:p>
            <w:pPr>
              <w:spacing w:after="0"/>
              <w:rPr>
                <w:sz w:val="1"/>
                <w:szCs w:val="1"/>
                <w:color w:val="auto"/>
              </w:rPr>
            </w:pPr>
          </w:p>
        </w:tc>
      </w:tr>
      <w:tr>
        <w:trPr>
          <w:trHeight w:val="251"/>
        </w:trPr>
        <w:tc>
          <w:tcPr>
            <w:tcW w:w="20" w:type="dxa"/>
            <w:vAlign w:val="bottom"/>
            <w:shd w:val="clear" w:color="auto" w:fill="D5DCE4"/>
          </w:tcPr>
          <w:p>
            <w:pPr>
              <w:spacing w:after="0"/>
              <w:rPr>
                <w:sz w:val="21"/>
                <w:szCs w:val="21"/>
                <w:color w:val="auto"/>
              </w:rPr>
            </w:pPr>
          </w:p>
        </w:tc>
        <w:tc>
          <w:tcPr>
            <w:tcW w:w="740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options</w:t>
            </w:r>
          </w:p>
        </w:tc>
        <w:tc>
          <w:tcPr>
            <w:tcW w:w="200" w:type="dxa"/>
            <w:vAlign w:val="bottom"/>
            <w:shd w:val="clear" w:color="auto" w:fill="D5DCE4"/>
          </w:tcPr>
          <w:p>
            <w:pPr>
              <w:spacing w:after="0"/>
              <w:rPr>
                <w:sz w:val="21"/>
                <w:szCs w:val="21"/>
                <w:color w:val="auto"/>
              </w:rPr>
            </w:pP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599,574</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1,469,219</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00" w:type="dxa"/>
            <w:vAlign w:val="bottom"/>
            <w:gridSpan w:val="4"/>
          </w:tcPr>
          <w:p>
            <w:pPr>
              <w:ind w:left="120"/>
              <w:spacing w:after="0"/>
              <w:rPr>
                <w:sz w:val="20"/>
                <w:szCs w:val="20"/>
                <w:color w:val="auto"/>
              </w:rPr>
            </w:pPr>
            <w:r>
              <w:rPr>
                <w:rFonts w:ascii="Arial" w:cs="Arial" w:eastAsia="Arial" w:hAnsi="Arial"/>
                <w:sz w:val="16"/>
                <w:szCs w:val="16"/>
                <w:color w:val="auto"/>
              </w:rPr>
              <w:t>Dilutive effect of RSUs</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444,066</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282,515</w:t>
            </w:r>
          </w:p>
        </w:tc>
        <w:tc>
          <w:tcPr>
            <w:tcW w:w="0" w:type="dxa"/>
            <w:vAlign w:val="bottom"/>
          </w:tcPr>
          <w:p>
            <w:pPr>
              <w:spacing w:after="0"/>
              <w:rPr>
                <w:sz w:val="1"/>
                <w:szCs w:val="1"/>
                <w:color w:val="auto"/>
              </w:rPr>
            </w:pPr>
          </w:p>
        </w:tc>
      </w:tr>
      <w:tr>
        <w:trPr>
          <w:trHeight w:val="244"/>
        </w:trPr>
        <w:tc>
          <w:tcPr>
            <w:tcW w:w="20" w:type="dxa"/>
            <w:vAlign w:val="bottom"/>
            <w:shd w:val="clear" w:color="auto" w:fill="D5DCE4"/>
          </w:tcPr>
          <w:p>
            <w:pPr>
              <w:spacing w:after="0"/>
              <w:rPr>
                <w:sz w:val="21"/>
                <w:szCs w:val="21"/>
                <w:color w:val="auto"/>
              </w:rPr>
            </w:pPr>
          </w:p>
        </w:tc>
        <w:tc>
          <w:tcPr>
            <w:tcW w:w="740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PSUs</w:t>
            </w:r>
          </w:p>
        </w:tc>
        <w:tc>
          <w:tcPr>
            <w:tcW w:w="200" w:type="dxa"/>
            <w:vAlign w:val="bottom"/>
            <w:tcBorders>
              <w:bottom w:val="single" w:sz="8" w:color="auto"/>
            </w:tcBorders>
            <w:shd w:val="clear" w:color="auto" w:fill="D5DCE4"/>
          </w:tcPr>
          <w:p>
            <w:pPr>
              <w:spacing w:after="0"/>
              <w:rPr>
                <w:sz w:val="21"/>
                <w:szCs w:val="21"/>
                <w:color w:val="auto"/>
              </w:rPr>
            </w:pP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406,363</w:t>
            </w:r>
          </w:p>
        </w:tc>
        <w:tc>
          <w:tcPr>
            <w:tcW w:w="80" w:type="dxa"/>
            <w:vAlign w:val="bottom"/>
            <w:shd w:val="clear" w:color="auto" w:fill="D5DCE4"/>
          </w:tcPr>
          <w:p>
            <w:pPr>
              <w:spacing w:after="0"/>
              <w:rPr>
                <w:sz w:val="21"/>
                <w:szCs w:val="21"/>
                <w:color w:val="auto"/>
              </w:rPr>
            </w:pPr>
          </w:p>
        </w:tc>
        <w:tc>
          <w:tcPr>
            <w:tcW w:w="54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gridSpan w:val="4"/>
          </w:tcPr>
          <w:p>
            <w:pPr>
              <w:spacing w:after="0"/>
              <w:rPr>
                <w:sz w:val="20"/>
                <w:szCs w:val="20"/>
                <w:color w:val="auto"/>
              </w:rPr>
            </w:pPr>
            <w:r>
              <w:rPr>
                <w:rFonts w:ascii="Arial" w:cs="Arial" w:eastAsia="Arial" w:hAnsi="Arial"/>
                <w:sz w:val="16"/>
                <w:szCs w:val="16"/>
                <w:color w:val="auto"/>
              </w:rPr>
              <w:t>Weighted average shares of Class A and Class B common stock outstanding - Diluted</w:t>
            </w: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214,660,853</w:t>
            </w:r>
          </w:p>
        </w:tc>
        <w:tc>
          <w:tcPr>
            <w:tcW w:w="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210,143,734</w:t>
            </w: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634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634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00" w:type="dxa"/>
            <w:vAlign w:val="bottom"/>
            <w:shd w:val="clear" w:color="auto" w:fill="D5DCE4"/>
          </w:tcPr>
          <w:p>
            <w:pPr>
              <w:spacing w:after="0"/>
              <w:rPr>
                <w:sz w:val="19"/>
                <w:szCs w:val="19"/>
                <w:color w:val="auto"/>
              </w:rPr>
            </w:pPr>
          </w:p>
        </w:tc>
        <w:tc>
          <w:tcPr>
            <w:tcW w:w="160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54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gridSpan w:val="4"/>
          </w:tcPr>
          <w:p>
            <w:pPr>
              <w:spacing w:after="0"/>
              <w:rPr>
                <w:sz w:val="20"/>
                <w:szCs w:val="20"/>
                <w:color w:val="auto"/>
              </w:rPr>
            </w:pPr>
            <w:r>
              <w:rPr>
                <w:rFonts w:ascii="Arial" w:cs="Arial" w:eastAsia="Arial" w:hAnsi="Arial"/>
                <w:sz w:val="16"/>
                <w:szCs w:val="16"/>
                <w:color w:val="auto"/>
              </w:rPr>
              <w:t>Earnings per share - Basic</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0.59</w:t>
            </w:r>
          </w:p>
        </w:tc>
        <w:tc>
          <w:tcPr>
            <w:tcW w:w="80" w:type="dxa"/>
            <w:vAlign w:val="bottom"/>
          </w:tcPr>
          <w:p>
            <w:pPr>
              <w:spacing w:after="0"/>
              <w:rPr>
                <w:sz w:val="21"/>
                <w:szCs w:val="21"/>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634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D5DCE4"/>
            </w:tcBorders>
            <w:shd w:val="clear" w:color="auto" w:fill="D5DCE4"/>
          </w:tcPr>
          <w:p>
            <w:pPr>
              <w:spacing w:after="0"/>
              <w:rPr>
                <w:sz w:val="22"/>
                <w:szCs w:val="22"/>
                <w:color w:val="auto"/>
              </w:rPr>
            </w:pPr>
          </w:p>
        </w:tc>
        <w:tc>
          <w:tcPr>
            <w:tcW w:w="740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Earnings per share - Diluted</w:t>
            </w:r>
          </w:p>
        </w:tc>
        <w:tc>
          <w:tcPr>
            <w:tcW w:w="200" w:type="dxa"/>
            <w:vAlign w:val="bottom"/>
            <w:tcBorders>
              <w:bottom w:val="single" w:sz="8" w:color="auto"/>
            </w:tcBorders>
            <w:shd w:val="clear" w:color="auto" w:fill="D5DCE4"/>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0.59</w:t>
            </w:r>
          </w:p>
        </w:tc>
        <w:tc>
          <w:tcPr>
            <w:tcW w:w="80" w:type="dxa"/>
            <w:vAlign w:val="bottom"/>
            <w:tcBorders>
              <w:bottom w:val="single" w:sz="8" w:color="D5DCE4"/>
            </w:tcBorders>
            <w:shd w:val="clear" w:color="auto" w:fill="D5DCE4"/>
          </w:tcPr>
          <w:p>
            <w:pPr>
              <w:spacing w:after="0"/>
              <w:rPr>
                <w:sz w:val="22"/>
                <w:szCs w:val="22"/>
                <w:color w:val="auto"/>
              </w:rPr>
            </w:pPr>
          </w:p>
        </w:tc>
        <w:tc>
          <w:tcPr>
            <w:tcW w:w="540" w:type="dxa"/>
            <w:vAlign w:val="bottom"/>
            <w:tcBorders>
              <w:bottom w:val="single" w:sz="8" w:color="auto"/>
            </w:tcBorders>
            <w:shd w:val="clear" w:color="auto" w:fill="D5DCE4"/>
          </w:tcPr>
          <w:p>
            <w:pPr>
              <w:jc w:val="right"/>
              <w:ind w:right="3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634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bottom w:val="single" w:sz="8" w:color="auto"/>
            </w:tcBorders>
          </w:tcPr>
          <w:p>
            <w:pPr>
              <w:spacing w:after="0" w:line="20" w:lineRule="exact"/>
              <w:rPr>
                <w:sz w:val="1"/>
                <w:szCs w:val="1"/>
                <w:color w:val="auto"/>
              </w:rPr>
            </w:pPr>
          </w:p>
        </w:tc>
        <w:tc>
          <w:tcPr>
            <w:tcW w:w="16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4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440" w:right="60" w:hanging="414"/>
        <w:spacing w:after="0" w:line="183" w:lineRule="auto"/>
        <w:tabs>
          <w:tab w:leader="none" w:pos="440" w:val="left"/>
        </w:tabs>
        <w:numPr>
          <w:ilvl w:val="0"/>
          <w:numId w:val="12"/>
        </w:numPr>
        <w:rPr>
          <w:rFonts w:ascii="Arial" w:cs="Arial" w:eastAsia="Arial" w:hAnsi="Arial"/>
          <w:sz w:val="23"/>
          <w:szCs w:val="23"/>
          <w:color w:val="auto"/>
          <w:vertAlign w:val="subscript"/>
        </w:rPr>
      </w:pPr>
      <w:r>
        <w:rPr>
          <w:rFonts w:ascii="Arial" w:cs="Arial" w:eastAsia="Arial" w:hAnsi="Arial"/>
          <w:sz w:val="12"/>
          <w:szCs w:val="12"/>
          <w:color w:val="auto"/>
        </w:rPr>
        <w:t>During the three months ended March 31, 2024 and 2023, there was a total of 159,957 and 291,772, respectively, weighted average unvested RSUs and unsettled vested PRSUs that were considered a participating security for purposes of calculating earnings per share in accordance with the two-class method.</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REVENUES BY ASSET CLASS (UNAUDITED)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8"/>
        </w:trPr>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rPr>
              <w:t>March 31,</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3"/>
        </w:trPr>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6"/>
              </w:rPr>
              <w:t>2024</w:t>
            </w: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19"/>
                <w:szCs w:val="19"/>
                <w:color w:val="auto"/>
              </w:rPr>
            </w:pPr>
          </w:p>
        </w:tc>
        <w:tc>
          <w:tcPr>
            <w:tcW w:w="222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b w:val="1"/>
                <w:bCs w:val="1"/>
                <w:color w:val="auto"/>
              </w:rPr>
              <w:t>% Change</w:t>
            </w:r>
          </w:p>
        </w:tc>
      </w:tr>
      <w:tr>
        <w:trPr>
          <w:trHeight w:val="239"/>
        </w:trPr>
        <w:tc>
          <w:tcPr>
            <w:tcW w:w="212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Revenues</w:t>
            </w: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Variable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Fixed</w:t>
            </w:r>
          </w:p>
        </w:tc>
        <w:tc>
          <w:tcPr>
            <w:tcW w:w="16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Variable</w:t>
            </w:r>
          </w:p>
        </w:tc>
        <w:tc>
          <w:tcPr>
            <w:tcW w:w="16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6"/>
                <w:szCs w:val="16"/>
                <w:b w:val="1"/>
                <w:bCs w:val="1"/>
                <w:color w:val="auto"/>
              </w:rPr>
              <w:t>Fixed</w:t>
            </w: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Variable</w:t>
            </w:r>
          </w:p>
        </w:tc>
        <w:tc>
          <w:tcPr>
            <w:tcW w:w="180" w:type="dxa"/>
            <w:vAlign w:val="bottom"/>
          </w:tcPr>
          <w:p>
            <w:pPr>
              <w:spacing w:after="0"/>
              <w:rPr>
                <w:sz w:val="20"/>
                <w:szCs w:val="20"/>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b w:val="1"/>
                <w:bCs w:val="1"/>
                <w:color w:val="auto"/>
              </w:rPr>
              <w:t>Fixed</w:t>
            </w:r>
          </w:p>
        </w:tc>
        <w:tc>
          <w:tcPr>
            <w:tcW w:w="200" w:type="dxa"/>
            <w:vAlign w:val="bottom"/>
          </w:tcPr>
          <w:p>
            <w:pPr>
              <w:spacing w:after="0"/>
              <w:rPr>
                <w:sz w:val="20"/>
                <w:szCs w:val="20"/>
                <w:color w:val="auto"/>
              </w:rPr>
            </w:pPr>
          </w:p>
        </w:tc>
        <w:tc>
          <w:tcPr>
            <w:tcW w:w="1280" w:type="dxa"/>
            <w:vAlign w:val="bottom"/>
          </w:tcPr>
          <w:p>
            <w:pPr>
              <w:jc w:val="right"/>
              <w:ind w:right="339"/>
              <w:spacing w:after="0"/>
              <w:rPr>
                <w:sz w:val="20"/>
                <w:szCs w:val="20"/>
                <w:color w:val="auto"/>
              </w:rPr>
            </w:pPr>
            <w:r>
              <w:rPr>
                <w:rFonts w:ascii="Arial" w:cs="Arial" w:eastAsia="Arial" w:hAnsi="Arial"/>
                <w:sz w:val="16"/>
                <w:szCs w:val="16"/>
                <w:b w:val="1"/>
                <w:bCs w:val="1"/>
                <w:color w:val="auto"/>
              </w:rPr>
              <w:t>Variable</w:t>
            </w: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Fixed</w:t>
            </w:r>
          </w:p>
        </w:tc>
      </w:tr>
      <w:tr>
        <w:trPr>
          <w:trHeight w:val="236"/>
        </w:trPr>
        <w:tc>
          <w:tcPr>
            <w:tcW w:w="19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47"/>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Rates</w:t>
            </w: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153,697</w:t>
            </w:r>
          </w:p>
        </w:tc>
        <w:tc>
          <w:tcPr>
            <w:tcW w:w="460" w:type="dxa"/>
            <w:vAlign w:val="bottom"/>
            <w:gridSpan w:val="3"/>
            <w:shd w:val="clear" w:color="auto" w:fill="D5DCE4"/>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60,396</w:t>
            </w:r>
          </w:p>
        </w:tc>
        <w:tc>
          <w:tcPr>
            <w:tcW w:w="120" w:type="dxa"/>
            <w:vAlign w:val="bottom"/>
            <w:shd w:val="clear" w:color="auto" w:fill="D5DCE4"/>
          </w:tcPr>
          <w:p>
            <w:pPr>
              <w:spacing w:after="0"/>
              <w:rPr>
                <w:sz w:val="21"/>
                <w:szCs w:val="21"/>
                <w:color w:val="auto"/>
              </w:rPr>
            </w:pP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114,168</w:t>
            </w: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56,337</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39,529</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4,059</w:t>
            </w:r>
          </w:p>
        </w:tc>
        <w:tc>
          <w:tcPr>
            <w:tcW w:w="1480" w:type="dxa"/>
            <w:vAlign w:val="bottom"/>
            <w:gridSpan w:val="2"/>
            <w:shd w:val="clear" w:color="auto" w:fill="D5DCE4"/>
          </w:tcPr>
          <w:p>
            <w:pPr>
              <w:jc w:val="right"/>
              <w:ind w:right="119"/>
              <w:spacing w:after="0"/>
              <w:rPr>
                <w:sz w:val="20"/>
                <w:szCs w:val="20"/>
                <w:color w:val="auto"/>
              </w:rPr>
            </w:pPr>
            <w:r>
              <w:rPr>
                <w:rFonts w:ascii="Arial" w:cs="Arial" w:eastAsia="Arial" w:hAnsi="Arial"/>
                <w:sz w:val="16"/>
                <w:szCs w:val="16"/>
                <w:color w:val="auto"/>
              </w:rPr>
              <w:t>34.6 %</w:t>
            </w:r>
          </w:p>
        </w:tc>
        <w:tc>
          <w:tcPr>
            <w:tcW w:w="9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7.2 %</w:t>
            </w:r>
          </w:p>
        </w:tc>
      </w:tr>
      <w:tr>
        <w:trPr>
          <w:trHeight w:val="235"/>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Credit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108,028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7,811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82,364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6,653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25,664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1,158</w:t>
            </w:r>
          </w:p>
        </w:tc>
        <w:tc>
          <w:tcPr>
            <w:tcW w:w="1480" w:type="dxa"/>
            <w:vAlign w:val="bottom"/>
            <w:gridSpan w:val="2"/>
          </w:tcPr>
          <w:p>
            <w:pPr>
              <w:jc w:val="right"/>
              <w:ind w:right="119"/>
              <w:spacing w:after="0"/>
              <w:rPr>
                <w:sz w:val="20"/>
                <w:szCs w:val="20"/>
                <w:color w:val="auto"/>
              </w:rPr>
            </w:pPr>
            <w:r>
              <w:rPr>
                <w:rFonts w:ascii="Arial" w:cs="Arial" w:eastAsia="Arial" w:hAnsi="Arial"/>
                <w:sz w:val="16"/>
                <w:szCs w:val="16"/>
                <w:color w:val="auto"/>
              </w:rPr>
              <w:t>31.2 %</w:t>
            </w:r>
          </w:p>
        </w:tc>
        <w:tc>
          <w:tcPr>
            <w:tcW w:w="940" w:type="dxa"/>
            <w:vAlign w:val="bottom"/>
          </w:tcPr>
          <w:p>
            <w:pPr>
              <w:jc w:val="right"/>
              <w:spacing w:after="0"/>
              <w:rPr>
                <w:sz w:val="20"/>
                <w:szCs w:val="20"/>
                <w:color w:val="auto"/>
              </w:rPr>
            </w:pPr>
            <w:r>
              <w:rPr>
                <w:rFonts w:ascii="Arial" w:cs="Arial" w:eastAsia="Arial" w:hAnsi="Arial"/>
                <w:sz w:val="16"/>
                <w:szCs w:val="16"/>
                <w:color w:val="auto"/>
              </w:rPr>
              <w:t>17.4 %</w:t>
            </w:r>
          </w:p>
        </w:tc>
      </w:tr>
      <w:tr>
        <w:trPr>
          <w:trHeight w:val="251"/>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Equities</w:t>
            </w:r>
          </w:p>
        </w:tc>
        <w:tc>
          <w:tcPr>
            <w:tcW w:w="16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24,674</w:t>
            </w:r>
          </w:p>
        </w:tc>
        <w:tc>
          <w:tcPr>
            <w:tcW w:w="6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2,376</w:t>
            </w:r>
          </w:p>
        </w:tc>
        <w:tc>
          <w:tcPr>
            <w:tcW w:w="12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23,897</w:t>
            </w: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2,306</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777</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70</w:t>
            </w:r>
          </w:p>
        </w:tc>
        <w:tc>
          <w:tcPr>
            <w:tcW w:w="1480" w:type="dxa"/>
            <w:vAlign w:val="bottom"/>
            <w:gridSpan w:val="2"/>
            <w:shd w:val="clear" w:color="auto" w:fill="D5DCE4"/>
          </w:tcPr>
          <w:p>
            <w:pPr>
              <w:jc w:val="right"/>
              <w:ind w:right="119"/>
              <w:spacing w:after="0"/>
              <w:rPr>
                <w:sz w:val="20"/>
                <w:szCs w:val="20"/>
                <w:color w:val="auto"/>
              </w:rPr>
            </w:pPr>
            <w:r>
              <w:rPr>
                <w:rFonts w:ascii="Arial" w:cs="Arial" w:eastAsia="Arial" w:hAnsi="Arial"/>
                <w:sz w:val="16"/>
                <w:szCs w:val="16"/>
                <w:color w:val="auto"/>
              </w:rPr>
              <w:t>3.3 %</w:t>
            </w:r>
          </w:p>
        </w:tc>
        <w:tc>
          <w:tcPr>
            <w:tcW w:w="9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3.0 %</w:t>
            </w:r>
          </w:p>
        </w:tc>
      </w:tr>
      <w:tr>
        <w:trPr>
          <w:trHeight w:val="235"/>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Money Markets</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12,563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4,228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10,414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4,393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2,149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(165)</w:t>
            </w:r>
          </w:p>
        </w:tc>
        <w:tc>
          <w:tcPr>
            <w:tcW w:w="1480" w:type="dxa"/>
            <w:vAlign w:val="bottom"/>
            <w:gridSpan w:val="2"/>
          </w:tcPr>
          <w:p>
            <w:pPr>
              <w:jc w:val="right"/>
              <w:ind w:right="119"/>
              <w:spacing w:after="0"/>
              <w:rPr>
                <w:sz w:val="20"/>
                <w:szCs w:val="20"/>
                <w:color w:val="auto"/>
              </w:rPr>
            </w:pPr>
            <w:r>
              <w:rPr>
                <w:rFonts w:ascii="Arial" w:cs="Arial" w:eastAsia="Arial" w:hAnsi="Arial"/>
                <w:sz w:val="16"/>
                <w:szCs w:val="16"/>
                <w:color w:val="auto"/>
              </w:rPr>
              <w:t>20.6 %</w:t>
            </w:r>
          </w:p>
        </w:tc>
        <w:tc>
          <w:tcPr>
            <w:tcW w:w="9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51"/>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Market Data</w:t>
            </w:r>
          </w:p>
        </w:tc>
        <w:tc>
          <w:tcPr>
            <w:tcW w:w="16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132</w:t>
            </w:r>
          </w:p>
        </w:tc>
        <w:tc>
          <w:tcPr>
            <w:tcW w:w="6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28,890</w:t>
            </w:r>
          </w:p>
        </w:tc>
        <w:tc>
          <w:tcPr>
            <w:tcW w:w="12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1040" w:type="dxa"/>
            <w:vAlign w:val="bottom"/>
            <w:gridSpan w:val="2"/>
            <w:shd w:val="clear" w:color="auto" w:fill="D5DCE4"/>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22,434</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132</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6,456</w:t>
            </w:r>
          </w:p>
        </w:tc>
        <w:tc>
          <w:tcPr>
            <w:tcW w:w="200" w:type="dxa"/>
            <w:vAlign w:val="bottom"/>
            <w:shd w:val="clear" w:color="auto" w:fill="D5DCE4"/>
          </w:tcPr>
          <w:p>
            <w:pPr>
              <w:spacing w:after="0"/>
              <w:rPr>
                <w:sz w:val="21"/>
                <w:szCs w:val="21"/>
                <w:color w:val="auto"/>
              </w:rPr>
            </w:pPr>
          </w:p>
        </w:tc>
        <w:tc>
          <w:tcPr>
            <w:tcW w:w="128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N/M</w:t>
            </w:r>
          </w:p>
        </w:tc>
        <w:tc>
          <w:tcPr>
            <w:tcW w:w="9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28.8 %</w:t>
            </w:r>
          </w:p>
        </w:tc>
      </w:tr>
      <w:tr>
        <w:trPr>
          <w:trHeight w:val="236"/>
        </w:trPr>
        <w:tc>
          <w:tcPr>
            <w:tcW w:w="212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D5DCE4"/>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5,944</w:t>
            </w:r>
          </w:p>
        </w:tc>
        <w:tc>
          <w:tcPr>
            <w:tcW w:w="120" w:type="dxa"/>
            <w:vAlign w:val="bottom"/>
            <w:tcBorders>
              <w:bottom w:val="single" w:sz="8" w:color="D5DCE4"/>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D5DCE4"/>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6,283</w:t>
            </w:r>
          </w:p>
        </w:tc>
        <w:tc>
          <w:tcPr>
            <w:tcW w:w="20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5DCE4"/>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200" w:type="dxa"/>
            <w:vAlign w:val="bottom"/>
            <w:tcBorders>
              <w:bottom w:val="single" w:sz="8" w:color="D5DCE4"/>
            </w:tcBorders>
          </w:tcPr>
          <w:p>
            <w:pPr>
              <w:spacing w:after="0"/>
              <w:rPr>
                <w:sz w:val="20"/>
                <w:szCs w:val="20"/>
                <w:color w:val="auto"/>
              </w:rPr>
            </w:pPr>
          </w:p>
        </w:tc>
        <w:tc>
          <w:tcPr>
            <w:tcW w:w="1280" w:type="dxa"/>
            <w:vAlign w:val="bottom"/>
            <w:tcBorders>
              <w:bottom w:val="single" w:sz="8" w:color="D5DCE4"/>
            </w:tcBorders>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D5DCE4"/>
            </w:tcBorders>
          </w:tcPr>
          <w:p>
            <w:pPr>
              <w:jc w:val="right"/>
              <w:spacing w:after="0"/>
              <w:rPr>
                <w:sz w:val="20"/>
                <w:szCs w:val="20"/>
                <w:color w:val="auto"/>
              </w:rPr>
            </w:pPr>
            <w:r>
              <w:rPr>
                <w:rFonts w:ascii="Arial" w:cs="Arial" w:eastAsia="Arial" w:hAnsi="Arial"/>
                <w:sz w:val="16"/>
                <w:szCs w:val="16"/>
                <w:color w:val="auto"/>
              </w:rPr>
              <w:t>(5.4)%</w:t>
            </w:r>
          </w:p>
        </w:tc>
      </w:tr>
      <w:tr>
        <w:trPr>
          <w:trHeight w:val="263"/>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Total revenue</w:t>
            </w: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299,094</w:t>
            </w:r>
          </w:p>
        </w:tc>
        <w:tc>
          <w:tcPr>
            <w:tcW w:w="460" w:type="dxa"/>
            <w:vAlign w:val="bottom"/>
            <w:gridSpan w:val="3"/>
            <w:shd w:val="clear" w:color="auto" w:fill="D5DCE4"/>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109,645</w:t>
            </w:r>
          </w:p>
        </w:tc>
        <w:tc>
          <w:tcPr>
            <w:tcW w:w="120" w:type="dxa"/>
            <w:vAlign w:val="bottom"/>
            <w:shd w:val="clear" w:color="auto" w:fill="D5DCE4"/>
          </w:tcPr>
          <w:p>
            <w:pPr>
              <w:spacing w:after="0"/>
              <w:rPr>
                <w:sz w:val="22"/>
                <w:szCs w:val="22"/>
                <w:color w:val="auto"/>
              </w:rPr>
            </w:pP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230,843</w:t>
            </w:r>
          </w:p>
        </w:tc>
        <w:tc>
          <w:tcPr>
            <w:tcW w:w="200" w:type="dxa"/>
            <w:vAlign w:val="bottom"/>
            <w:shd w:val="clear" w:color="auto" w:fill="D5DCE4"/>
          </w:tcPr>
          <w:p>
            <w:pPr>
              <w:spacing w:after="0"/>
              <w:rPr>
                <w:sz w:val="22"/>
                <w:szCs w:val="22"/>
                <w:color w:val="auto"/>
              </w:rPr>
            </w:pP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98,406</w:t>
            </w:r>
          </w:p>
        </w:tc>
        <w:tc>
          <w:tcPr>
            <w:tcW w:w="200" w:type="dxa"/>
            <w:vAlign w:val="bottom"/>
            <w:shd w:val="clear" w:color="auto" w:fill="D5DCE4"/>
          </w:tcPr>
          <w:p>
            <w:pPr>
              <w:spacing w:after="0"/>
              <w:rPr>
                <w:sz w:val="22"/>
                <w:szCs w:val="22"/>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68,251</w:t>
            </w:r>
          </w:p>
        </w:tc>
        <w:tc>
          <w:tcPr>
            <w:tcW w:w="80" w:type="dxa"/>
            <w:vAlign w:val="bottom"/>
            <w:shd w:val="clear" w:color="auto" w:fill="D5DCE4"/>
          </w:tcPr>
          <w:p>
            <w:pPr>
              <w:spacing w:after="0"/>
              <w:rPr>
                <w:sz w:val="22"/>
                <w:szCs w:val="22"/>
                <w:color w:val="auto"/>
              </w:rPr>
            </w:pPr>
          </w:p>
        </w:tc>
        <w:tc>
          <w:tcPr>
            <w:tcW w:w="18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11,239</w:t>
            </w:r>
          </w:p>
        </w:tc>
        <w:tc>
          <w:tcPr>
            <w:tcW w:w="1480" w:type="dxa"/>
            <w:vAlign w:val="bottom"/>
            <w:gridSpan w:val="2"/>
            <w:shd w:val="clear" w:color="auto" w:fill="D5DCE4"/>
          </w:tcPr>
          <w:p>
            <w:pPr>
              <w:jc w:val="right"/>
              <w:ind w:right="119"/>
              <w:spacing w:after="0"/>
              <w:rPr>
                <w:sz w:val="20"/>
                <w:szCs w:val="20"/>
                <w:color w:val="auto"/>
              </w:rPr>
            </w:pPr>
            <w:r>
              <w:rPr>
                <w:rFonts w:ascii="Arial" w:cs="Arial" w:eastAsia="Arial" w:hAnsi="Arial"/>
                <w:sz w:val="16"/>
                <w:szCs w:val="16"/>
                <w:color w:val="auto"/>
              </w:rPr>
              <w:t>29.6 %</w:t>
            </w:r>
          </w:p>
        </w:tc>
        <w:tc>
          <w:tcPr>
            <w:tcW w:w="9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11.4 %</w:t>
            </w:r>
          </w:p>
        </w:tc>
      </w:tr>
      <w:tr>
        <w:trPr>
          <w:trHeight w:val="20"/>
        </w:trPr>
        <w:tc>
          <w:tcPr>
            <w:tcW w:w="194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280" w:type="dxa"/>
            <w:vAlign w:val="bottom"/>
            <w:tcBorders>
              <w:top w:val="single" w:sz="8" w:color="D5DCE4"/>
            </w:tcBorders>
          </w:tcPr>
          <w:p>
            <w:pPr>
              <w:spacing w:after="0" w:line="20" w:lineRule="exact"/>
              <w:rPr>
                <w:sz w:val="1"/>
                <w:szCs w:val="1"/>
                <w:color w:val="auto"/>
              </w:rPr>
            </w:pPr>
          </w:p>
        </w:tc>
        <w:tc>
          <w:tcPr>
            <w:tcW w:w="940" w:type="dxa"/>
            <w:vAlign w:val="bottom"/>
            <w:tcBorders>
              <w:top w:val="single" w:sz="8" w:color="D5DCE4"/>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ectPr>
          <w:pgSz w:w="11900" w:h="16838" w:orient="portrait"/>
          <w:cols w:equalWidth="0" w:num="1">
            <w:col w:w="11240"/>
          </w:cols>
          <w:pgMar w:left="320" w:top="827" w:right="339" w:bottom="8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7</w:t>
      </w:r>
    </w:p>
    <w:p>
      <w:pPr>
        <w:sectPr>
          <w:pgSz w:w="11900" w:h="16838" w:orient="portrait"/>
          <w:cols w:equalWidth="0" w:num="1">
            <w:col w:w="11240"/>
          </w:cols>
          <w:pgMar w:left="320" w:top="827" w:right="339" w:bottom="824"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VARIABLE FEES PER MILLION DOLLARS OF VOLUME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2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1620" w:type="dxa"/>
            <w:vAlign w:val="bottom"/>
          </w:tcPr>
          <w:p>
            <w:pPr>
              <w:spacing w:after="0"/>
              <w:rPr>
                <w:sz w:val="19"/>
                <w:szCs w:val="19"/>
                <w:color w:val="auto"/>
              </w:rPr>
            </w:pPr>
          </w:p>
        </w:tc>
      </w:tr>
      <w:tr>
        <w:trPr>
          <w:trHeight w:val="244"/>
        </w:trPr>
        <w:tc>
          <w:tcPr>
            <w:tcW w:w="64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jc w:val="right"/>
              <w:ind w:right="579"/>
              <w:spacing w:after="0"/>
              <w:rPr>
                <w:sz w:val="20"/>
                <w:szCs w:val="20"/>
                <w:color w:val="auto"/>
              </w:rPr>
            </w:pPr>
            <w:r>
              <w:rPr>
                <w:rFonts w:ascii="Arial" w:cs="Arial" w:eastAsia="Arial" w:hAnsi="Arial"/>
                <w:sz w:val="16"/>
                <w:szCs w:val="16"/>
                <w:b w:val="1"/>
                <w:bCs w:val="1"/>
                <w:color w:val="auto"/>
              </w:rPr>
              <w:t>YoY</w:t>
            </w:r>
          </w:p>
        </w:tc>
      </w:tr>
      <w:tr>
        <w:trPr>
          <w:trHeight w:val="239"/>
        </w:trPr>
        <w:tc>
          <w:tcPr>
            <w:tcW w:w="6460" w:type="dxa"/>
            <w:vAlign w:val="bottom"/>
            <w:tcBorders>
              <w:bottom w:val="single" w:sz="8" w:color="D5DCE4"/>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D5DCE4"/>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D5DCE4"/>
            </w:tcBorders>
          </w:tcPr>
          <w:p>
            <w:pPr>
              <w:spacing w:after="0"/>
              <w:rPr>
                <w:sz w:val="20"/>
                <w:szCs w:val="20"/>
                <w:color w:val="auto"/>
              </w:rPr>
            </w:pPr>
          </w:p>
        </w:tc>
        <w:tc>
          <w:tcPr>
            <w:tcW w:w="16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 Change</w:t>
            </w:r>
          </w:p>
        </w:tc>
      </w:tr>
      <w:tr>
        <w:trPr>
          <w:trHeight w:val="240"/>
        </w:trPr>
        <w:tc>
          <w:tcPr>
            <w:tcW w:w="64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1.98</w:t>
            </w:r>
          </w:p>
        </w:tc>
        <w:tc>
          <w:tcPr>
            <w:tcW w:w="80" w:type="dxa"/>
            <w:vAlign w:val="bottom"/>
            <w:shd w:val="clear" w:color="auto" w:fill="D5DCE4"/>
          </w:tcPr>
          <w:p>
            <w:pPr>
              <w:spacing w:after="0"/>
              <w:rPr>
                <w:sz w:val="20"/>
                <w:szCs w:val="20"/>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2.09</w:t>
            </w:r>
          </w:p>
        </w:tc>
        <w:tc>
          <w:tcPr>
            <w:tcW w:w="80" w:type="dxa"/>
            <w:vAlign w:val="bottom"/>
            <w:shd w:val="clear" w:color="auto" w:fill="D5DCE4"/>
          </w:tcPr>
          <w:p>
            <w:pPr>
              <w:spacing w:after="0"/>
              <w:rPr>
                <w:sz w:val="20"/>
                <w:szCs w:val="20"/>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(5.5)%</w:t>
            </w:r>
          </w:p>
        </w:tc>
      </w:tr>
      <w:tr>
        <w:trPr>
          <w:trHeight w:val="235"/>
        </w:trPr>
        <w:tc>
          <w:tcPr>
            <w:tcW w:w="6460" w:type="dxa"/>
            <w:vAlign w:val="bottom"/>
          </w:tcPr>
          <w:p>
            <w:pPr>
              <w:ind w:left="140"/>
              <w:spacing w:after="0"/>
              <w:rPr>
                <w:sz w:val="20"/>
                <w:szCs w:val="20"/>
                <w:color w:val="auto"/>
              </w:rPr>
            </w:pPr>
            <w:r>
              <w:rPr>
                <w:rFonts w:ascii="Arial" w:cs="Arial" w:eastAsia="Arial" w:hAnsi="Arial"/>
                <w:sz w:val="16"/>
                <w:szCs w:val="16"/>
                <w:color w:val="auto"/>
              </w:rPr>
              <w:t>Rates Cash</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2.56</w:t>
            </w:r>
          </w:p>
        </w:tc>
        <w:tc>
          <w:tcPr>
            <w:tcW w:w="8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2.54</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51"/>
        </w:trPr>
        <w:tc>
          <w:tcPr>
            <w:tcW w:w="64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Rates Derivatives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1.65</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1.78</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(7.2)%</w:t>
            </w:r>
          </w:p>
        </w:tc>
      </w:tr>
      <w:tr>
        <w:trPr>
          <w:trHeight w:val="235"/>
        </w:trPr>
        <w:tc>
          <w:tcPr>
            <w:tcW w:w="6460" w:type="dxa"/>
            <w:vAlign w:val="bottom"/>
          </w:tcPr>
          <w:p>
            <w:pPr>
              <w:ind w:left="240"/>
              <w:spacing w:after="0"/>
              <w:rPr>
                <w:sz w:val="20"/>
                <w:szCs w:val="20"/>
                <w:color w:val="auto"/>
              </w:rPr>
            </w:pPr>
            <w:r>
              <w:rPr>
                <w:rFonts w:ascii="Arial" w:cs="Arial" w:eastAsia="Arial" w:hAnsi="Arial"/>
                <w:sz w:val="16"/>
                <w:szCs w:val="16"/>
                <w:color w:val="auto"/>
              </w:rPr>
              <w:t>Rates Derivatives (greater than 1 year)</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2.49</w:t>
            </w:r>
          </w:p>
        </w:tc>
        <w:tc>
          <w:tcPr>
            <w:tcW w:w="8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3.03</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51"/>
        </w:trPr>
        <w:tc>
          <w:tcPr>
            <w:tcW w:w="6460" w:type="dxa"/>
            <w:vAlign w:val="bottom"/>
            <w:shd w:val="clear" w:color="auto" w:fill="D5DCE4"/>
          </w:tcPr>
          <w:p>
            <w:pPr>
              <w:ind w:left="240"/>
              <w:spacing w:after="0"/>
              <w:rPr>
                <w:sz w:val="20"/>
                <w:szCs w:val="20"/>
                <w:color w:val="auto"/>
              </w:rPr>
            </w:pPr>
            <w:r>
              <w:rPr>
                <w:rFonts w:ascii="Arial" w:cs="Arial" w:eastAsia="Arial" w:hAnsi="Arial"/>
                <w:sz w:val="16"/>
                <w:szCs w:val="16"/>
                <w:color w:val="auto"/>
              </w:rPr>
              <w:t xml:space="preserve">Other Rates Derivatives </w:t>
            </w:r>
            <w:r>
              <w:rPr>
                <w:rFonts w:ascii="Arial" w:cs="Arial" w:eastAsia="Arial" w:hAnsi="Arial"/>
                <w:sz w:val="21"/>
                <w:szCs w:val="21"/>
                <w:color w:val="auto"/>
                <w:vertAlign w:val="superscript"/>
              </w:rPr>
              <w:t>(1)</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0.22</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0.17</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30.1 %</w:t>
            </w:r>
          </w:p>
        </w:tc>
      </w:tr>
      <w:tr>
        <w:trPr>
          <w:trHeight w:val="216"/>
        </w:trPr>
        <w:tc>
          <w:tcPr>
            <w:tcW w:w="6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43"/>
        </w:trPr>
        <w:tc>
          <w:tcPr>
            <w:tcW w:w="64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50.39</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40.75</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23.6 %</w:t>
            </w:r>
          </w:p>
        </w:tc>
      </w:tr>
      <w:tr>
        <w:trPr>
          <w:trHeight w:val="243"/>
        </w:trPr>
        <w:tc>
          <w:tcPr>
            <w:tcW w:w="6460" w:type="dxa"/>
            <w:vAlign w:val="bottom"/>
          </w:tcPr>
          <w:p>
            <w:pPr>
              <w:ind w:left="140"/>
              <w:spacing w:after="0"/>
              <w:rPr>
                <w:sz w:val="20"/>
                <w:szCs w:val="20"/>
                <w:color w:val="auto"/>
              </w:rPr>
            </w:pPr>
            <w:r>
              <w:rPr>
                <w:rFonts w:ascii="Arial" w:cs="Arial" w:eastAsia="Arial" w:hAnsi="Arial"/>
                <w:sz w:val="16"/>
                <w:szCs w:val="16"/>
                <w:color w:val="auto"/>
              </w:rPr>
              <w:t xml:space="preserve">Cash Credit </w:t>
            </w:r>
            <w:r>
              <w:rPr>
                <w:rFonts w:ascii="Arial" w:cs="Arial" w:eastAsia="Arial" w:hAnsi="Arial"/>
                <w:sz w:val="21"/>
                <w:szCs w:val="21"/>
                <w:color w:val="auto"/>
                <w:vertAlign w:val="superscript"/>
              </w:rPr>
              <w:t>(2)</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150.84</w:t>
            </w:r>
          </w:p>
        </w:tc>
        <w:tc>
          <w:tcPr>
            <w:tcW w:w="80" w:type="dxa"/>
            <w:vAlign w:val="bottom"/>
          </w:tcPr>
          <w:p>
            <w:pPr>
              <w:spacing w:after="0"/>
              <w:rPr>
                <w:sz w:val="21"/>
                <w:szCs w:val="21"/>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157.61</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43"/>
        </w:trPr>
        <w:tc>
          <w:tcPr>
            <w:tcW w:w="64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Credit Derivatives, China Bonds and U.S. Cash EP</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6.57</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6.81</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6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43"/>
        </w:trPr>
        <w:tc>
          <w:tcPr>
            <w:tcW w:w="64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14.68</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19.64</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(25.3)%</w:t>
            </w:r>
          </w:p>
        </w:tc>
      </w:tr>
      <w:tr>
        <w:trPr>
          <w:trHeight w:val="235"/>
        </w:trPr>
        <w:tc>
          <w:tcPr>
            <w:tcW w:w="6460" w:type="dxa"/>
            <w:vAlign w:val="bottom"/>
          </w:tcPr>
          <w:p>
            <w:pPr>
              <w:ind w:left="140"/>
              <w:spacing w:after="0"/>
              <w:rPr>
                <w:sz w:val="20"/>
                <w:szCs w:val="20"/>
                <w:color w:val="auto"/>
              </w:rPr>
            </w:pPr>
            <w:r>
              <w:rPr>
                <w:rFonts w:ascii="Arial" w:cs="Arial" w:eastAsia="Arial" w:hAnsi="Arial"/>
                <w:sz w:val="16"/>
                <w:szCs w:val="16"/>
                <w:color w:val="auto"/>
              </w:rPr>
              <w:t>Equities Cash</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25.95</w:t>
            </w:r>
          </w:p>
        </w:tc>
        <w:tc>
          <w:tcPr>
            <w:tcW w:w="8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30.33</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51"/>
        </w:trPr>
        <w:tc>
          <w:tcPr>
            <w:tcW w:w="64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Equities Derivatives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5.06</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7.21</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(29.8)%</w:t>
            </w:r>
          </w:p>
        </w:tc>
      </w:tr>
      <w:tr>
        <w:trPr>
          <w:trHeight w:val="216"/>
        </w:trPr>
        <w:tc>
          <w:tcPr>
            <w:tcW w:w="6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43"/>
        </w:trPr>
        <w:tc>
          <w:tcPr>
            <w:tcW w:w="64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Money Markets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0.36</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0.38</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(6.1)%</w:t>
            </w:r>
          </w:p>
        </w:tc>
      </w:tr>
      <w:tr>
        <w:trPr>
          <w:trHeight w:val="216"/>
        </w:trPr>
        <w:tc>
          <w:tcPr>
            <w:tcW w:w="6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43"/>
        </w:trPr>
        <w:tc>
          <w:tcPr>
            <w:tcW w:w="64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2.56</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2.71</w:t>
            </w:r>
          </w:p>
        </w:tc>
        <w:tc>
          <w:tcPr>
            <w:tcW w:w="80" w:type="dxa"/>
            <w:vAlign w:val="bottom"/>
            <w:shd w:val="clear" w:color="auto" w:fill="D5DCE4"/>
          </w:tcPr>
          <w:p>
            <w:pPr>
              <w:spacing w:after="0"/>
              <w:rPr>
                <w:sz w:val="21"/>
                <w:szCs w:val="21"/>
                <w:color w:val="auto"/>
              </w:rPr>
            </w:pPr>
          </w:p>
        </w:tc>
        <w:tc>
          <w:tcPr>
            <w:tcW w:w="16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(5.5)%</w:t>
            </w:r>
          </w:p>
        </w:tc>
      </w:tr>
      <w:tr>
        <w:trPr>
          <w:trHeight w:val="302"/>
        </w:trPr>
        <w:tc>
          <w:tcPr>
            <w:tcW w:w="6460" w:type="dxa"/>
            <w:vAlign w:val="bottom"/>
          </w:tcPr>
          <w:p>
            <w:pPr>
              <w:ind w:left="20"/>
              <w:spacing w:after="0"/>
              <w:rPr>
                <w:sz w:val="20"/>
                <w:szCs w:val="20"/>
                <w:color w:val="auto"/>
              </w:rPr>
            </w:pPr>
            <w:r>
              <w:rPr>
                <w:rFonts w:ascii="Arial" w:cs="Arial" w:eastAsia="Arial" w:hAnsi="Arial"/>
                <w:sz w:val="16"/>
                <w:szCs w:val="16"/>
                <w:b w:val="1"/>
                <w:bCs w:val="1"/>
                <w:color w:val="auto"/>
              </w:rPr>
              <w:t xml:space="preserve">Total excluding Other Rates Derivatives </w:t>
            </w:r>
            <w:r>
              <w:rPr>
                <w:rFonts w:ascii="Arial" w:cs="Arial" w:eastAsia="Arial" w:hAnsi="Arial"/>
                <w:sz w:val="21"/>
                <w:szCs w:val="21"/>
                <w:b w:val="1"/>
                <w:bCs w:val="1"/>
                <w:color w:val="auto"/>
                <w:vertAlign w:val="superscript"/>
              </w:rPr>
              <w:t>(3)</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2.99</w:t>
            </w:r>
          </w:p>
        </w:tc>
        <w:tc>
          <w:tcPr>
            <w:tcW w:w="8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3.20</w:t>
            </w:r>
          </w:p>
        </w:tc>
        <w:tc>
          <w:tcPr>
            <w:tcW w:w="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(6.6)%</w:t>
            </w:r>
          </w:p>
        </w:tc>
      </w:tr>
    </w:tbl>
    <w:p>
      <w:pPr>
        <w:spacing w:after="0" w:line="44" w:lineRule="exact"/>
        <w:rPr>
          <w:sz w:val="20"/>
          <w:szCs w:val="20"/>
          <w:color w:val="auto"/>
        </w:rPr>
      </w:pPr>
    </w:p>
    <w:p>
      <w:pPr>
        <w:ind w:left="20"/>
        <w:spacing w:after="0"/>
        <w:rPr>
          <w:sz w:val="20"/>
          <w:szCs w:val="20"/>
          <w:color w:val="auto"/>
        </w:rPr>
      </w:pPr>
      <w:r>
        <w:rPr>
          <w:rFonts w:ascii="Arial" w:cs="Arial" w:eastAsia="Arial" w:hAnsi="Arial"/>
          <w:sz w:val="12"/>
          <w:szCs w:val="12"/>
          <w:color w:val="auto"/>
        </w:rPr>
        <w:t>(1)</w:t>
      </w:r>
    </w:p>
    <w:p>
      <w:pPr>
        <w:ind w:left="440"/>
        <w:spacing w:after="0"/>
        <w:rPr>
          <w:sz w:val="20"/>
          <w:szCs w:val="20"/>
          <w:color w:val="auto"/>
        </w:rPr>
      </w:pPr>
      <w:r>
        <w:rPr>
          <w:rFonts w:ascii="Arial" w:cs="Arial" w:eastAsia="Arial" w:hAnsi="Arial"/>
          <w:sz w:val="12"/>
          <w:szCs w:val="12"/>
          <w:color w:val="auto"/>
        </w:rPr>
        <w:t>Includes Swaps/Swaptions of tenor less than 1 year and Rates Futures.</w:t>
      </w:r>
    </w:p>
    <w:p>
      <w:pPr>
        <w:spacing w:after="0" w:line="53" w:lineRule="exact"/>
        <w:rPr>
          <w:sz w:val="20"/>
          <w:szCs w:val="20"/>
          <w:color w:val="auto"/>
        </w:rPr>
      </w:pPr>
    </w:p>
    <w:p>
      <w:pPr>
        <w:ind w:left="440" w:hanging="414"/>
        <w:spacing w:after="0"/>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“Cash Credit” category represents the “Credit” asset class excluding (1) Credit Derivatives (2) China Bonds and (3) U.S. High Grade and High Yield electronically processed (“EP”) activity.</w:t>
      </w:r>
    </w:p>
    <w:p>
      <w:pPr>
        <w:spacing w:after="0" w:line="64" w:lineRule="exact"/>
        <w:rPr>
          <w:rFonts w:ascii="Arial" w:cs="Arial" w:eastAsia="Arial" w:hAnsi="Arial"/>
          <w:sz w:val="12"/>
          <w:szCs w:val="12"/>
          <w:color w:val="auto"/>
        </w:rPr>
      </w:pPr>
    </w:p>
    <w:p>
      <w:pPr>
        <w:ind w:left="440" w:hanging="414"/>
        <w:spacing w:after="0"/>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Included to contextualize the impact of short-tenored Swaps/Swaptions and Rates Futures on totals for all periods presented.</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8</w:t>
      </w:r>
    </w:p>
    <w:p>
      <w:pPr>
        <w:sectPr>
          <w:pgSz w:w="11900" w:h="16838" w:orient="portrait"/>
          <w:cols w:equalWidth="0" w:num="1">
            <w:col w:w="11240"/>
          </w:cols>
          <w:pgMar w:left="320" w:top="77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083566"/>
        </w:rPr>
        <w:t>TRADEWEB MARKETS INC.</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 xml:space="preserve">AVERAGE DAILY VOLUME (UNAUDITED) </w:t>
      </w:r>
      <w:r>
        <w:rPr>
          <w:rFonts w:ascii="Arial" w:cs="Arial" w:eastAsia="Arial" w:hAnsi="Arial"/>
          <w:sz w:val="21"/>
          <w:szCs w:val="21"/>
          <w:b w:val="1"/>
          <w:bCs w:val="1"/>
          <w:color w:val="083566"/>
          <w:vertAlign w:val="superscript"/>
        </w:rPr>
        <w:t>(1)</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ind w:left="760"/>
              <w:spacing w:after="0"/>
              <w:rPr>
                <w:sz w:val="20"/>
                <w:szCs w:val="20"/>
                <w:color w:val="auto"/>
              </w:rPr>
            </w:pPr>
            <w:r>
              <w:rPr>
                <w:rFonts w:ascii="Arial" w:cs="Arial" w:eastAsia="Arial" w:hAnsi="Arial"/>
                <w:sz w:val="16"/>
                <w:szCs w:val="16"/>
                <w:b w:val="1"/>
                <w:bCs w:val="1"/>
                <w:color w:val="auto"/>
              </w:rPr>
              <w:t>2024 Q1</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gridSpan w:val="4"/>
          </w:tcPr>
          <w:p>
            <w:pPr>
              <w:ind w:left="760"/>
              <w:spacing w:after="0"/>
              <w:rPr>
                <w:sz w:val="20"/>
                <w:szCs w:val="20"/>
                <w:color w:val="auto"/>
              </w:rPr>
            </w:pPr>
            <w:r>
              <w:rPr>
                <w:rFonts w:ascii="Arial" w:cs="Arial" w:eastAsia="Arial" w:hAnsi="Arial"/>
                <w:sz w:val="16"/>
                <w:szCs w:val="16"/>
                <w:b w:val="1"/>
                <w:bCs w:val="1"/>
                <w:color w:val="auto"/>
              </w:rPr>
              <w:t>2023 Q1</w:t>
            </w:r>
          </w:p>
        </w:tc>
        <w:tc>
          <w:tcPr>
            <w:tcW w:w="1220" w:type="dxa"/>
            <w:vAlign w:val="bottom"/>
          </w:tcPr>
          <w:p>
            <w:pPr>
              <w:ind w:left="460"/>
              <w:spacing w:after="0"/>
              <w:rPr>
                <w:sz w:val="20"/>
                <w:szCs w:val="20"/>
                <w:color w:val="auto"/>
              </w:rPr>
            </w:pPr>
            <w:r>
              <w:rPr>
                <w:rFonts w:ascii="Arial" w:cs="Arial" w:eastAsia="Arial" w:hAnsi="Arial"/>
                <w:sz w:val="16"/>
                <w:szCs w:val="16"/>
                <w:b w:val="1"/>
                <w:bCs w:val="1"/>
                <w:color w:val="auto"/>
              </w:rPr>
              <w:t>YoY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Class</w:t>
            </w:r>
          </w:p>
        </w:tc>
        <w:tc>
          <w:tcPr>
            <w:tcW w:w="24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Product</w:t>
            </w:r>
          </w:p>
        </w:tc>
        <w:tc>
          <w:tcPr>
            <w:tcW w:w="100" w:type="dxa"/>
            <w:vAlign w:val="bottom"/>
            <w:tcBorders>
              <w:bottom w:val="single" w:sz="8" w:color="D5DCE4"/>
            </w:tcBorders>
          </w:tcPr>
          <w:p>
            <w:pPr>
              <w:spacing w:after="0"/>
              <w:rPr>
                <w:sz w:val="21"/>
                <w:szCs w:val="21"/>
                <w:color w:val="auto"/>
              </w:rPr>
            </w:pPr>
          </w:p>
        </w:tc>
        <w:tc>
          <w:tcPr>
            <w:tcW w:w="13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ADV (USD mm)</w:t>
            </w: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Volume (USD mm)</w:t>
            </w:r>
          </w:p>
        </w:tc>
        <w:tc>
          <w:tcPr>
            <w:tcW w:w="100" w:type="dxa"/>
            <w:vAlign w:val="bottom"/>
            <w:tcBorders>
              <w:bottom w:val="single" w:sz="8" w:color="D5DCE4"/>
            </w:tcBorders>
          </w:tcPr>
          <w:p>
            <w:pPr>
              <w:spacing w:after="0"/>
              <w:rPr>
                <w:sz w:val="21"/>
                <w:szCs w:val="21"/>
                <w:color w:val="auto"/>
              </w:rPr>
            </w:pPr>
          </w:p>
        </w:tc>
        <w:tc>
          <w:tcPr>
            <w:tcW w:w="27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ADV (USD mm) Volume (USD mm)</w:t>
            </w:r>
          </w:p>
        </w:tc>
        <w:tc>
          <w:tcPr>
            <w:tcW w:w="100" w:type="dxa"/>
            <w:vAlign w:val="bottom"/>
            <w:tcBorders>
              <w:bottom w:val="single" w:sz="8" w:color="D5DCE4"/>
            </w:tcBorders>
          </w:tcPr>
          <w:p>
            <w:pPr>
              <w:spacing w:after="0"/>
              <w:rPr>
                <w:sz w:val="21"/>
                <w:szCs w:val="21"/>
                <w:color w:val="auto"/>
              </w:rPr>
            </w:pP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ADV</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9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240" w:type="dxa"/>
            <w:vAlign w:val="bottom"/>
            <w:tcBorders>
              <w:right w:val="single" w:sz="8" w:color="D5DCE4"/>
            </w:tcBorders>
            <w:shd w:val="clear" w:color="auto" w:fill="D5DCE4"/>
          </w:tcPr>
          <w:p>
            <w:pPr>
              <w:spacing w:after="0"/>
              <w:rPr>
                <w:sz w:val="20"/>
                <w:szCs w:val="20"/>
                <w:color w:val="auto"/>
              </w:rPr>
            </w:pPr>
          </w:p>
        </w:tc>
        <w:tc>
          <w:tcPr>
            <w:tcW w:w="300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jc w:val="right"/>
              <w:ind w:right="160"/>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461,826</w:t>
            </w:r>
          </w:p>
        </w:tc>
        <w:tc>
          <w:tcPr>
            <w:tcW w:w="42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28,270,241</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362,707</w:t>
            </w:r>
          </w:p>
        </w:tc>
        <w:tc>
          <w:tcPr>
            <w:tcW w:w="160" w:type="dxa"/>
            <w:vAlign w:val="bottom"/>
            <w:shd w:val="clear" w:color="auto" w:fill="D5DCE4"/>
          </w:tcPr>
          <w:p>
            <w:pPr>
              <w:jc w:val="center"/>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22,574,171</w:t>
            </w:r>
          </w:p>
        </w:tc>
        <w:tc>
          <w:tcPr>
            <w:tcW w:w="10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27.33 %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Government Bonds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196,469</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11,984,583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144,109</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8,934,755</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36.33 %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European Government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50,267</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3,166,836</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42,636</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2,728,696</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17.90 %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Mortgages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204,083</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12,449,078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170,263</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10,556,298</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19.86 %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Other Government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11,007</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669,744</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5,699</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354,422</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93.14 %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798,871</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49,421,660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508,675</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31,989,758</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57.05 %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Swaps/Swaptions ≥ 1Y</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502,364</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31,037,693</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285,896</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17,965,246</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75.72 %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Swaps/Swaptions &lt; 1Y</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288,504</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17,892,088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221,202</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13,926,695</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30.43 %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Futures</w:t>
            </w: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8,003</w:t>
            </w:r>
          </w:p>
        </w:tc>
        <w:tc>
          <w:tcPr>
            <w:tcW w:w="4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491,880</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1,577</w:t>
            </w:r>
          </w:p>
        </w:tc>
        <w:tc>
          <w:tcPr>
            <w:tcW w:w="160" w:type="dxa"/>
            <w:vAlign w:val="bottom"/>
            <w:tcBorders>
              <w:bottom w:val="single" w:sz="8" w:color="auto"/>
            </w:tcBorders>
            <w:shd w:val="clear" w:color="auto" w:fill="D5DCE4"/>
          </w:tcPr>
          <w:p>
            <w:pPr>
              <w:spacing w:after="0"/>
              <w:rPr>
                <w:sz w:val="21"/>
                <w:szCs w:val="21"/>
                <w:color w:val="auto"/>
              </w:rPr>
            </w:pPr>
          </w:p>
        </w:tc>
        <w:tc>
          <w:tcPr>
            <w:tcW w:w="12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97,816</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407.44 %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60" w:type="dxa"/>
            <w:vAlign w:val="bottom"/>
            <w:tcBorders>
              <w:bottom w:val="single" w:sz="8" w:color="D5DCE4"/>
            </w:tcBorders>
          </w:tcPr>
          <w:p>
            <w:pPr>
              <w:spacing w:after="0"/>
              <w:rPr>
                <w:sz w:val="20"/>
                <w:szCs w:val="20"/>
                <w:color w:val="auto"/>
              </w:rPr>
            </w:pPr>
          </w:p>
        </w:tc>
        <w:tc>
          <w:tcPr>
            <w:tcW w:w="240" w:type="dxa"/>
            <w:vAlign w:val="bottom"/>
            <w:tcBorders>
              <w:bottom w:val="single" w:sz="8" w:color="D5DCE4"/>
            </w:tcBorders>
          </w:tcPr>
          <w:p>
            <w:pPr>
              <w:spacing w:after="0"/>
              <w:rPr>
                <w:sz w:val="20"/>
                <w:szCs w:val="20"/>
                <w:color w:val="auto"/>
              </w:rPr>
            </w:pPr>
          </w:p>
        </w:tc>
        <w:tc>
          <w:tcPr>
            <w:tcW w:w="300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1,260,697</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77,691,901</w:t>
            </w:r>
          </w:p>
        </w:tc>
        <w:tc>
          <w:tcPr>
            <w:tcW w:w="10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871,381</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54,563,928</w:t>
            </w:r>
          </w:p>
        </w:tc>
        <w:tc>
          <w:tcPr>
            <w:tcW w:w="10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44.68 %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240" w:type="dxa"/>
            <w:vAlign w:val="bottom"/>
            <w:tcBorders>
              <w:right w:val="single" w:sz="8" w:color="D5DCE4"/>
            </w:tcBorders>
            <w:shd w:val="clear" w:color="auto" w:fill="D5DCE4"/>
          </w:tcPr>
          <w:p>
            <w:pPr>
              <w:spacing w:after="0"/>
              <w:rPr>
                <w:sz w:val="20"/>
                <w:szCs w:val="20"/>
                <w:color w:val="auto"/>
              </w:rPr>
            </w:pPr>
          </w:p>
        </w:tc>
        <w:tc>
          <w:tcPr>
            <w:tcW w:w="300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17,418</w:t>
            </w:r>
          </w:p>
        </w:tc>
        <w:tc>
          <w:tcPr>
            <w:tcW w:w="42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1,061,689</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11,497</w:t>
            </w:r>
          </w:p>
        </w:tc>
        <w:tc>
          <w:tcPr>
            <w:tcW w:w="16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714,885</w:t>
            </w:r>
          </w:p>
        </w:tc>
        <w:tc>
          <w:tcPr>
            <w:tcW w:w="10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51.50 %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High Grade - Fully Electronic</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6,709</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409,248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4,134</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256,281</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62.31 %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3240" w:type="dxa"/>
            <w:vAlign w:val="bottom"/>
            <w:tcBorders>
              <w:right w:val="single" w:sz="8" w:color="D5DCE4"/>
            </w:tcBorders>
            <w:gridSpan w:val="3"/>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U.S. High Grade - Electronically Processed</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3,413</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208,203</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3,137</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194,474</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8.81 %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High Yield - Fully Electronic</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749</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45,670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674</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41,777</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960" w:type="dxa"/>
            <w:vAlign w:val="bottom"/>
            <w:shd w:val="clear" w:color="auto" w:fill="D5DCE4"/>
          </w:tcPr>
          <w:p>
            <w:pPr>
              <w:spacing w:after="0"/>
              <w:rPr>
                <w:sz w:val="18"/>
                <w:szCs w:val="18"/>
                <w:color w:val="auto"/>
              </w:rPr>
            </w:pPr>
          </w:p>
        </w:tc>
        <w:tc>
          <w:tcPr>
            <w:tcW w:w="240" w:type="dxa"/>
            <w:vAlign w:val="bottom"/>
            <w:tcBorders>
              <w:right w:val="single" w:sz="8" w:color="D5DCE4"/>
            </w:tcBorders>
            <w:shd w:val="clear" w:color="auto" w:fill="D5DCE4"/>
          </w:tcPr>
          <w:p>
            <w:pPr>
              <w:spacing w:after="0"/>
              <w:rPr>
                <w:sz w:val="18"/>
                <w:szCs w:val="18"/>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U.S. High Yield - Electronically</w:t>
            </w:r>
          </w:p>
        </w:tc>
        <w:tc>
          <w:tcPr>
            <w:tcW w:w="320" w:type="dxa"/>
            <w:vAlign w:val="bottom"/>
            <w:shd w:val="clear" w:color="auto" w:fill="D5DCE4"/>
          </w:tcPr>
          <w:p>
            <w:pPr>
              <w:spacing w:after="0"/>
              <w:rPr>
                <w:sz w:val="18"/>
                <w:szCs w:val="18"/>
                <w:color w:val="auto"/>
              </w:rPr>
            </w:pPr>
          </w:p>
        </w:tc>
        <w:tc>
          <w:tcPr>
            <w:tcW w:w="102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324</w:t>
            </w:r>
          </w:p>
        </w:tc>
        <w:tc>
          <w:tcPr>
            <w:tcW w:w="420" w:type="dxa"/>
            <w:vAlign w:val="bottom"/>
            <w:shd w:val="clear" w:color="auto" w:fill="D5DCE4"/>
          </w:tcPr>
          <w:p>
            <w:pPr>
              <w:spacing w:after="0"/>
              <w:rPr>
                <w:sz w:val="18"/>
                <w:szCs w:val="18"/>
                <w:color w:val="auto"/>
              </w:rPr>
            </w:pPr>
          </w:p>
        </w:tc>
        <w:tc>
          <w:tcPr>
            <w:tcW w:w="102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19,771</w:t>
            </w:r>
          </w:p>
        </w:tc>
        <w:tc>
          <w:tcPr>
            <w:tcW w:w="100" w:type="dxa"/>
            <w:vAlign w:val="bottom"/>
            <w:tcBorders>
              <w:right w:val="single" w:sz="8" w:color="D5DCE4"/>
            </w:tcBorders>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040" w:type="dxa"/>
            <w:vAlign w:val="bottom"/>
            <w:tcBorders>
              <w:right w:val="single" w:sz="8" w:color="D5DCE4"/>
            </w:tcBorders>
            <w:vMerge w:val="restart"/>
            <w:shd w:val="clear" w:color="auto" w:fill="D5DCE4"/>
          </w:tcPr>
          <w:p>
            <w:pPr>
              <w:jc w:val="right"/>
              <w:ind w:right="19"/>
              <w:spacing w:after="0"/>
              <w:rPr>
                <w:sz w:val="20"/>
                <w:szCs w:val="20"/>
                <w:color w:val="auto"/>
              </w:rPr>
            </w:pPr>
            <w:r>
              <w:rPr>
                <w:rFonts w:ascii="Arial" w:cs="Arial" w:eastAsia="Arial" w:hAnsi="Arial"/>
                <w:sz w:val="16"/>
                <w:szCs w:val="16"/>
                <w:color w:val="auto"/>
              </w:rPr>
              <w:t>373</w:t>
            </w:r>
          </w:p>
        </w:tc>
        <w:tc>
          <w:tcPr>
            <w:tcW w:w="160" w:type="dxa"/>
            <w:vAlign w:val="bottom"/>
            <w:shd w:val="clear" w:color="auto" w:fill="D5DCE4"/>
          </w:tcPr>
          <w:p>
            <w:pPr>
              <w:spacing w:after="0"/>
              <w:rPr>
                <w:sz w:val="18"/>
                <w:szCs w:val="18"/>
                <w:color w:val="auto"/>
              </w:rPr>
            </w:pPr>
          </w:p>
        </w:tc>
        <w:tc>
          <w:tcPr>
            <w:tcW w:w="126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23,102</w:t>
            </w:r>
          </w:p>
        </w:tc>
        <w:tc>
          <w:tcPr>
            <w:tcW w:w="100" w:type="dxa"/>
            <w:vAlign w:val="bottom"/>
            <w:tcBorders>
              <w:right w:val="single" w:sz="8" w:color="D5DCE4"/>
            </w:tcBorders>
            <w:shd w:val="clear" w:color="auto" w:fill="D5DCE4"/>
          </w:tcPr>
          <w:p>
            <w:pPr>
              <w:spacing w:after="0"/>
              <w:rPr>
                <w:sz w:val="18"/>
                <w:szCs w:val="18"/>
                <w:color w:val="auto"/>
              </w:rPr>
            </w:pPr>
          </w:p>
        </w:tc>
        <w:tc>
          <w:tcPr>
            <w:tcW w:w="122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60" w:type="dxa"/>
            <w:vAlign w:val="bottom"/>
            <w:shd w:val="clear" w:color="auto" w:fill="D5DCE4"/>
          </w:tcPr>
          <w:p>
            <w:pPr>
              <w:spacing w:after="0"/>
              <w:rPr>
                <w:sz w:val="10"/>
                <w:szCs w:val="10"/>
                <w:color w:val="auto"/>
              </w:rPr>
            </w:pPr>
          </w:p>
        </w:tc>
        <w:tc>
          <w:tcPr>
            <w:tcW w:w="240" w:type="dxa"/>
            <w:vAlign w:val="bottom"/>
            <w:tcBorders>
              <w:right w:val="single" w:sz="8" w:color="D5DCE4"/>
            </w:tcBorders>
            <w:shd w:val="clear" w:color="auto" w:fill="D5DCE4"/>
          </w:tcPr>
          <w:p>
            <w:pPr>
              <w:spacing w:after="0"/>
              <w:rPr>
                <w:sz w:val="10"/>
                <w:szCs w:val="10"/>
                <w:color w:val="auto"/>
              </w:rPr>
            </w:pPr>
          </w:p>
        </w:tc>
        <w:tc>
          <w:tcPr>
            <w:tcW w:w="3000" w:type="dxa"/>
            <w:vAlign w:val="bottom"/>
            <w:tcBorders>
              <w:right w:val="single" w:sz="8" w:color="D5DCE4"/>
            </w:tcBorders>
            <w:gridSpan w:val="2"/>
            <w:vMerge w:val="restart"/>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Processed</w:t>
            </w:r>
          </w:p>
        </w:tc>
        <w:tc>
          <w:tcPr>
            <w:tcW w:w="320" w:type="dxa"/>
            <w:vAlign w:val="bottom"/>
            <w:shd w:val="clear" w:color="auto" w:fill="D5DCE4"/>
          </w:tcPr>
          <w:p>
            <w:pPr>
              <w:spacing w:after="0"/>
              <w:rPr>
                <w:sz w:val="10"/>
                <w:szCs w:val="10"/>
                <w:color w:val="auto"/>
              </w:rPr>
            </w:pPr>
          </w:p>
        </w:tc>
        <w:tc>
          <w:tcPr>
            <w:tcW w:w="1020" w:type="dxa"/>
            <w:vAlign w:val="bottom"/>
            <w:tcBorders>
              <w:right w:val="single" w:sz="8" w:color="D5DCE4"/>
            </w:tcBorders>
            <w:vMerge w:val="continue"/>
            <w:shd w:val="clear" w:color="auto" w:fill="D5DCE4"/>
          </w:tcPr>
          <w:p>
            <w:pPr>
              <w:spacing w:after="0"/>
              <w:rPr>
                <w:sz w:val="10"/>
                <w:szCs w:val="10"/>
                <w:color w:val="auto"/>
              </w:rPr>
            </w:pPr>
          </w:p>
        </w:tc>
        <w:tc>
          <w:tcPr>
            <w:tcW w:w="420" w:type="dxa"/>
            <w:vAlign w:val="bottom"/>
            <w:shd w:val="clear" w:color="auto" w:fill="D5DCE4"/>
          </w:tcPr>
          <w:p>
            <w:pPr>
              <w:spacing w:after="0"/>
              <w:rPr>
                <w:sz w:val="10"/>
                <w:szCs w:val="10"/>
                <w:color w:val="auto"/>
              </w:rPr>
            </w:pPr>
          </w:p>
        </w:tc>
        <w:tc>
          <w:tcPr>
            <w:tcW w:w="102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320" w:type="dxa"/>
            <w:vAlign w:val="bottom"/>
            <w:shd w:val="clear" w:color="auto" w:fill="D5DCE4"/>
          </w:tcPr>
          <w:p>
            <w:pPr>
              <w:spacing w:after="0"/>
              <w:rPr>
                <w:sz w:val="10"/>
                <w:szCs w:val="10"/>
                <w:color w:val="auto"/>
              </w:rPr>
            </w:pPr>
          </w:p>
        </w:tc>
        <w:tc>
          <w:tcPr>
            <w:tcW w:w="1040" w:type="dxa"/>
            <w:vAlign w:val="bottom"/>
            <w:tcBorders>
              <w:right w:val="single" w:sz="8" w:color="D5DCE4"/>
            </w:tcBorders>
            <w:vMerge w:val="continue"/>
            <w:shd w:val="clear" w:color="auto" w:fill="D5DCE4"/>
          </w:tcPr>
          <w:p>
            <w:pPr>
              <w:spacing w:after="0"/>
              <w:rPr>
                <w:sz w:val="10"/>
                <w:szCs w:val="10"/>
                <w:color w:val="auto"/>
              </w:rPr>
            </w:pPr>
          </w:p>
        </w:tc>
        <w:tc>
          <w:tcPr>
            <w:tcW w:w="160" w:type="dxa"/>
            <w:vAlign w:val="bottom"/>
            <w:shd w:val="clear" w:color="auto" w:fill="D5DCE4"/>
          </w:tcPr>
          <w:p>
            <w:pPr>
              <w:spacing w:after="0"/>
              <w:rPr>
                <w:sz w:val="10"/>
                <w:szCs w:val="10"/>
                <w:color w:val="auto"/>
              </w:rPr>
            </w:pPr>
          </w:p>
        </w:tc>
        <w:tc>
          <w:tcPr>
            <w:tcW w:w="126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1220" w:type="dxa"/>
            <w:vAlign w:val="bottom"/>
            <w:vMerge w:val="continue"/>
            <w:shd w:val="clear" w:color="auto" w:fill="D5DCE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960" w:type="dxa"/>
            <w:vAlign w:val="bottom"/>
            <w:tcBorders>
              <w:bottom w:val="single" w:sz="8" w:color="D5DCE4"/>
            </w:tcBorders>
            <w:shd w:val="clear" w:color="auto" w:fill="D5DCE4"/>
          </w:tcPr>
          <w:p>
            <w:pPr>
              <w:spacing w:after="0"/>
              <w:rPr>
                <w:sz w:val="9"/>
                <w:szCs w:val="9"/>
                <w:color w:val="auto"/>
              </w:rPr>
            </w:pPr>
          </w:p>
        </w:tc>
        <w:tc>
          <w:tcPr>
            <w:tcW w:w="240" w:type="dxa"/>
            <w:vAlign w:val="bottom"/>
            <w:tcBorders>
              <w:bottom w:val="single" w:sz="8" w:color="D5DCE4"/>
              <w:right w:val="single" w:sz="8" w:color="D5DCE4"/>
            </w:tcBorders>
            <w:shd w:val="clear" w:color="auto" w:fill="D5DCE4"/>
          </w:tcPr>
          <w:p>
            <w:pPr>
              <w:spacing w:after="0"/>
              <w:rPr>
                <w:sz w:val="9"/>
                <w:szCs w:val="9"/>
                <w:color w:val="auto"/>
              </w:rPr>
            </w:pPr>
          </w:p>
        </w:tc>
        <w:tc>
          <w:tcPr>
            <w:tcW w:w="3000" w:type="dxa"/>
            <w:vAlign w:val="bottom"/>
            <w:tcBorders>
              <w:bottom w:val="single" w:sz="8" w:color="D5DCE4"/>
              <w:right w:val="single" w:sz="8" w:color="D5DCE4"/>
            </w:tcBorders>
            <w:gridSpan w:val="2"/>
            <w:vMerge w:val="continue"/>
            <w:shd w:val="clear" w:color="auto" w:fill="D5DCE4"/>
          </w:tcPr>
          <w:p>
            <w:pPr>
              <w:spacing w:after="0"/>
              <w:rPr>
                <w:sz w:val="9"/>
                <w:szCs w:val="9"/>
                <w:color w:val="auto"/>
              </w:rPr>
            </w:pPr>
          </w:p>
        </w:tc>
        <w:tc>
          <w:tcPr>
            <w:tcW w:w="320" w:type="dxa"/>
            <w:vAlign w:val="bottom"/>
            <w:tcBorders>
              <w:bottom w:val="single" w:sz="8" w:color="D5DCE4"/>
            </w:tcBorders>
            <w:shd w:val="clear" w:color="auto" w:fill="D5DCE4"/>
          </w:tcPr>
          <w:p>
            <w:pPr>
              <w:spacing w:after="0"/>
              <w:rPr>
                <w:sz w:val="9"/>
                <w:szCs w:val="9"/>
                <w:color w:val="auto"/>
              </w:rPr>
            </w:pPr>
          </w:p>
        </w:tc>
        <w:tc>
          <w:tcPr>
            <w:tcW w:w="1020" w:type="dxa"/>
            <w:vAlign w:val="bottom"/>
            <w:tcBorders>
              <w:bottom w:val="single" w:sz="8" w:color="D5DCE4"/>
              <w:right w:val="single" w:sz="8" w:color="D5DCE4"/>
            </w:tcBorders>
            <w:shd w:val="clear" w:color="auto" w:fill="D5DCE4"/>
          </w:tcPr>
          <w:p>
            <w:pPr>
              <w:spacing w:after="0"/>
              <w:rPr>
                <w:sz w:val="9"/>
                <w:szCs w:val="9"/>
                <w:color w:val="auto"/>
              </w:rPr>
            </w:pPr>
          </w:p>
        </w:tc>
        <w:tc>
          <w:tcPr>
            <w:tcW w:w="420" w:type="dxa"/>
            <w:vAlign w:val="bottom"/>
            <w:tcBorders>
              <w:bottom w:val="single" w:sz="8" w:color="D5DCE4"/>
            </w:tcBorders>
            <w:shd w:val="clear" w:color="auto" w:fill="D5DCE4"/>
          </w:tcPr>
          <w:p>
            <w:pPr>
              <w:spacing w:after="0"/>
              <w:rPr>
                <w:sz w:val="9"/>
                <w:szCs w:val="9"/>
                <w:color w:val="auto"/>
              </w:rPr>
            </w:pPr>
          </w:p>
        </w:tc>
        <w:tc>
          <w:tcPr>
            <w:tcW w:w="1020" w:type="dxa"/>
            <w:vAlign w:val="bottom"/>
            <w:tcBorders>
              <w:bottom w:val="single" w:sz="8" w:color="D5DCE4"/>
            </w:tcBorders>
            <w:shd w:val="clear" w:color="auto" w:fill="D5DCE4"/>
          </w:tcPr>
          <w:p>
            <w:pPr>
              <w:spacing w:after="0"/>
              <w:rPr>
                <w:sz w:val="9"/>
                <w:szCs w:val="9"/>
                <w:color w:val="auto"/>
              </w:rPr>
            </w:pPr>
          </w:p>
        </w:tc>
        <w:tc>
          <w:tcPr>
            <w:tcW w:w="100" w:type="dxa"/>
            <w:vAlign w:val="bottom"/>
            <w:tcBorders>
              <w:bottom w:val="single" w:sz="8" w:color="D5DCE4"/>
              <w:right w:val="single" w:sz="8" w:color="D5DCE4"/>
            </w:tcBorders>
            <w:shd w:val="clear" w:color="auto" w:fill="D5DCE4"/>
          </w:tcPr>
          <w:p>
            <w:pPr>
              <w:spacing w:after="0"/>
              <w:rPr>
                <w:sz w:val="9"/>
                <w:szCs w:val="9"/>
                <w:color w:val="auto"/>
              </w:rPr>
            </w:pPr>
          </w:p>
        </w:tc>
        <w:tc>
          <w:tcPr>
            <w:tcW w:w="320" w:type="dxa"/>
            <w:vAlign w:val="bottom"/>
            <w:tcBorders>
              <w:bottom w:val="single" w:sz="8" w:color="D5DCE4"/>
            </w:tcBorders>
            <w:shd w:val="clear" w:color="auto" w:fill="D5DCE4"/>
          </w:tcPr>
          <w:p>
            <w:pPr>
              <w:spacing w:after="0"/>
              <w:rPr>
                <w:sz w:val="9"/>
                <w:szCs w:val="9"/>
                <w:color w:val="auto"/>
              </w:rPr>
            </w:pPr>
          </w:p>
        </w:tc>
        <w:tc>
          <w:tcPr>
            <w:tcW w:w="1040" w:type="dxa"/>
            <w:vAlign w:val="bottom"/>
            <w:tcBorders>
              <w:bottom w:val="single" w:sz="8" w:color="D5DCE4"/>
              <w:right w:val="single" w:sz="8" w:color="D5DCE4"/>
            </w:tcBorders>
            <w:shd w:val="clear" w:color="auto" w:fill="D5DCE4"/>
          </w:tcPr>
          <w:p>
            <w:pPr>
              <w:spacing w:after="0"/>
              <w:rPr>
                <w:sz w:val="9"/>
                <w:szCs w:val="9"/>
                <w:color w:val="auto"/>
              </w:rPr>
            </w:pPr>
          </w:p>
        </w:tc>
        <w:tc>
          <w:tcPr>
            <w:tcW w:w="160" w:type="dxa"/>
            <w:vAlign w:val="bottom"/>
            <w:tcBorders>
              <w:bottom w:val="single" w:sz="8" w:color="D5DCE4"/>
            </w:tcBorders>
            <w:shd w:val="clear" w:color="auto" w:fill="D5DCE4"/>
          </w:tcPr>
          <w:p>
            <w:pPr>
              <w:spacing w:after="0"/>
              <w:rPr>
                <w:sz w:val="9"/>
                <w:szCs w:val="9"/>
                <w:color w:val="auto"/>
              </w:rPr>
            </w:pPr>
          </w:p>
        </w:tc>
        <w:tc>
          <w:tcPr>
            <w:tcW w:w="1260" w:type="dxa"/>
            <w:vAlign w:val="bottom"/>
            <w:tcBorders>
              <w:bottom w:val="single" w:sz="8" w:color="D5DCE4"/>
            </w:tcBorders>
            <w:shd w:val="clear" w:color="auto" w:fill="D5DCE4"/>
          </w:tcPr>
          <w:p>
            <w:pPr>
              <w:spacing w:after="0"/>
              <w:rPr>
                <w:sz w:val="9"/>
                <w:szCs w:val="9"/>
                <w:color w:val="auto"/>
              </w:rPr>
            </w:pPr>
          </w:p>
        </w:tc>
        <w:tc>
          <w:tcPr>
            <w:tcW w:w="100" w:type="dxa"/>
            <w:vAlign w:val="bottom"/>
            <w:tcBorders>
              <w:bottom w:val="single" w:sz="8" w:color="D5DCE4"/>
              <w:right w:val="single" w:sz="8" w:color="D5DCE4"/>
            </w:tcBorders>
            <w:shd w:val="clear" w:color="auto" w:fill="D5DCE4"/>
          </w:tcPr>
          <w:p>
            <w:pPr>
              <w:spacing w:after="0"/>
              <w:rPr>
                <w:sz w:val="9"/>
                <w:szCs w:val="9"/>
                <w:color w:val="auto"/>
              </w:rPr>
            </w:pPr>
          </w:p>
        </w:tc>
        <w:tc>
          <w:tcPr>
            <w:tcW w:w="1220" w:type="dxa"/>
            <w:vAlign w:val="bottom"/>
            <w:tcBorders>
              <w:bottom w:val="single" w:sz="8" w:color="D5DCE4"/>
            </w:tcBorders>
            <w:shd w:val="clear" w:color="auto" w:fill="D5DCE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European Credit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2,519</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158,725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2,046</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130,939</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23.15 %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Municipal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323</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19,701</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311</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19,306</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3.72 %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Chinese Bonds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3,094</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182,546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714</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42,133</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333.26 %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Other Credit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287</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17,824</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109</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6,874</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163.71 %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17,502</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1,082,282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20,806</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1,306,491</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(15.88)%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Swaps</w:t>
            </w: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17,502</w:t>
            </w:r>
          </w:p>
        </w:tc>
        <w:tc>
          <w:tcPr>
            <w:tcW w:w="4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1,082,282</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20,806</w:t>
            </w:r>
          </w:p>
        </w:tc>
        <w:tc>
          <w:tcPr>
            <w:tcW w:w="160" w:type="dxa"/>
            <w:vAlign w:val="bottom"/>
            <w:tcBorders>
              <w:bottom w:val="single" w:sz="8" w:color="auto"/>
            </w:tcBorders>
            <w:shd w:val="clear" w:color="auto" w:fill="D5DCE4"/>
          </w:tcPr>
          <w:p>
            <w:pPr>
              <w:spacing w:after="0"/>
              <w:rPr>
                <w:sz w:val="21"/>
                <w:szCs w:val="21"/>
                <w:color w:val="auto"/>
              </w:rPr>
            </w:pPr>
          </w:p>
        </w:tc>
        <w:tc>
          <w:tcPr>
            <w:tcW w:w="12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1,306,491</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(15.88)%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60" w:type="dxa"/>
            <w:vAlign w:val="bottom"/>
            <w:tcBorders>
              <w:bottom w:val="single" w:sz="8" w:color="D5DCE4"/>
            </w:tcBorders>
          </w:tcPr>
          <w:p>
            <w:pPr>
              <w:spacing w:after="0"/>
              <w:rPr>
                <w:sz w:val="20"/>
                <w:szCs w:val="20"/>
                <w:color w:val="auto"/>
              </w:rPr>
            </w:pPr>
          </w:p>
        </w:tc>
        <w:tc>
          <w:tcPr>
            <w:tcW w:w="240" w:type="dxa"/>
            <w:vAlign w:val="bottom"/>
            <w:tcBorders>
              <w:bottom w:val="single" w:sz="8" w:color="D5DCE4"/>
            </w:tcBorders>
          </w:tcPr>
          <w:p>
            <w:pPr>
              <w:spacing w:after="0"/>
              <w:rPr>
                <w:sz w:val="20"/>
                <w:szCs w:val="20"/>
                <w:color w:val="auto"/>
              </w:rPr>
            </w:pPr>
          </w:p>
        </w:tc>
        <w:tc>
          <w:tcPr>
            <w:tcW w:w="300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34,920</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2,143,970</w:t>
            </w:r>
          </w:p>
        </w:tc>
        <w:tc>
          <w:tcPr>
            <w:tcW w:w="10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32,303</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2,021,376</w:t>
            </w:r>
          </w:p>
        </w:tc>
        <w:tc>
          <w:tcPr>
            <w:tcW w:w="10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240" w:type="dxa"/>
            <w:vAlign w:val="bottom"/>
            <w:tcBorders>
              <w:right w:val="single" w:sz="8" w:color="D5DCE4"/>
            </w:tcBorders>
            <w:shd w:val="clear" w:color="auto" w:fill="D5DCE4"/>
          </w:tcPr>
          <w:p>
            <w:pPr>
              <w:spacing w:after="0"/>
              <w:rPr>
                <w:sz w:val="20"/>
                <w:szCs w:val="20"/>
                <w:color w:val="auto"/>
              </w:rPr>
            </w:pPr>
          </w:p>
        </w:tc>
        <w:tc>
          <w:tcPr>
            <w:tcW w:w="300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12,613</w:t>
            </w:r>
          </w:p>
        </w:tc>
        <w:tc>
          <w:tcPr>
            <w:tcW w:w="42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775,061</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10,491</w:t>
            </w:r>
          </w:p>
        </w:tc>
        <w:tc>
          <w:tcPr>
            <w:tcW w:w="16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656,093</w:t>
            </w:r>
          </w:p>
        </w:tc>
        <w:tc>
          <w:tcPr>
            <w:tcW w:w="10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20.23 %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ETFs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9,771</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596,044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7,663</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475,099</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27.51 %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European ETFs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2,842</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179,017</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2,828</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180,994</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0.48 %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14,838</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906,382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9,043</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562,478</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64.09 %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Convertibles/Swaps/Options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10,364</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633,167</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6,056</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376,950</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71.13 %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60" w:type="dxa"/>
            <w:vAlign w:val="bottom"/>
            <w:tcBorders>
              <w:bottom w:val="single" w:sz="8" w:color="D5DCE4"/>
            </w:tcBorders>
          </w:tcPr>
          <w:p>
            <w:pPr>
              <w:spacing w:after="0"/>
              <w:rPr>
                <w:sz w:val="20"/>
                <w:szCs w:val="20"/>
                <w:color w:val="auto"/>
              </w:rPr>
            </w:pPr>
          </w:p>
        </w:tc>
        <w:tc>
          <w:tcPr>
            <w:tcW w:w="240" w:type="dxa"/>
            <w:vAlign w:val="bottom"/>
            <w:tcBorders>
              <w:bottom w:val="single" w:sz="8" w:color="D5DCE4"/>
            </w:tcBorders>
          </w:tcPr>
          <w:p>
            <w:pPr>
              <w:spacing w:after="0"/>
              <w:rPr>
                <w:sz w:val="20"/>
                <w:szCs w:val="20"/>
                <w:color w:val="auto"/>
              </w:rPr>
            </w:pPr>
          </w:p>
        </w:tc>
        <w:tc>
          <w:tcPr>
            <w:tcW w:w="3000" w:type="dxa"/>
            <w:vAlign w:val="bottom"/>
            <w:tcBorders>
              <w:bottom w:val="single" w:sz="8" w:color="D5DCE4"/>
            </w:tcBorders>
            <w:gridSpan w:val="2"/>
          </w:tcPr>
          <w:p>
            <w:pPr>
              <w:jc w:val="right"/>
              <w:ind w:right="120"/>
              <w:spacing w:after="0"/>
              <w:rPr>
                <w:sz w:val="20"/>
                <w:szCs w:val="20"/>
                <w:color w:val="auto"/>
              </w:rPr>
            </w:pPr>
            <w:r>
              <w:rPr>
                <w:rFonts w:ascii="Arial" w:cs="Arial" w:eastAsia="Arial" w:hAnsi="Arial"/>
                <w:sz w:val="16"/>
                <w:szCs w:val="16"/>
                <w:i w:val="1"/>
                <w:iCs w:val="1"/>
                <w:color w:val="auto"/>
              </w:rPr>
              <w:t>Futures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4,475</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273,215</w:t>
            </w:r>
          </w:p>
        </w:tc>
        <w:tc>
          <w:tcPr>
            <w:tcW w:w="10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2,987</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185,528</w:t>
            </w:r>
          </w:p>
        </w:tc>
        <w:tc>
          <w:tcPr>
            <w:tcW w:w="10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27,451</w:t>
            </w:r>
          </w:p>
        </w:tc>
        <w:tc>
          <w:tcPr>
            <w:tcW w:w="4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1,681,443</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19,534</w:t>
            </w:r>
          </w:p>
        </w:tc>
        <w:tc>
          <w:tcPr>
            <w:tcW w:w="160" w:type="dxa"/>
            <w:vAlign w:val="bottom"/>
            <w:tcBorders>
              <w:bottom w:val="single" w:sz="8" w:color="auto"/>
            </w:tcBorders>
            <w:shd w:val="clear" w:color="auto" w:fill="D5DCE4"/>
          </w:tcPr>
          <w:p>
            <w:pPr>
              <w:spacing w:after="0"/>
              <w:rPr>
                <w:sz w:val="21"/>
                <w:szCs w:val="21"/>
                <w:color w:val="auto"/>
              </w:rPr>
            </w:pPr>
          </w:p>
        </w:tc>
        <w:tc>
          <w:tcPr>
            <w:tcW w:w="12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1,218,571</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40.53 %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96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Money</w:t>
            </w:r>
          </w:p>
        </w:tc>
        <w:tc>
          <w:tcPr>
            <w:tcW w:w="240" w:type="dxa"/>
            <w:vAlign w:val="bottom"/>
          </w:tcPr>
          <w:p>
            <w:pPr>
              <w:spacing w:after="0"/>
              <w:rPr>
                <w:sz w:val="15"/>
                <w:szCs w:val="15"/>
                <w:color w:val="auto"/>
              </w:rPr>
            </w:pPr>
          </w:p>
        </w:tc>
        <w:tc>
          <w:tcPr>
            <w:tcW w:w="3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576,573</w:t>
            </w:r>
          </w:p>
        </w:tc>
        <w:tc>
          <w:tcPr>
            <w:tcW w:w="4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35,371,612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442,401</w:t>
            </w: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27,583,799</w:t>
            </w: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30.33 %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Markets</w:t>
            </w:r>
          </w:p>
        </w:tc>
        <w:tc>
          <w:tcPr>
            <w:tcW w:w="240" w:type="dxa"/>
            <w:vAlign w:val="bottom"/>
          </w:tcPr>
          <w:p>
            <w:pPr>
              <w:spacing w:after="0"/>
              <w:rPr>
                <w:sz w:val="12"/>
                <w:szCs w:val="12"/>
                <w:color w:val="auto"/>
              </w:rPr>
            </w:pPr>
          </w:p>
        </w:tc>
        <w:tc>
          <w:tcPr>
            <w:tcW w:w="30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9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Repurchase Agreements (Repo)</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557,392</w:t>
            </w:r>
          </w:p>
        </w:tc>
        <w:tc>
          <w:tcPr>
            <w:tcW w:w="42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34,198,898</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426,145</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26,574,942</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30.80 %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60" w:type="dxa"/>
            <w:vAlign w:val="bottom"/>
            <w:tcBorders>
              <w:bottom w:val="single" w:sz="8" w:color="D5DCE4"/>
            </w:tcBorders>
          </w:tcPr>
          <w:p>
            <w:pPr>
              <w:spacing w:after="0"/>
              <w:rPr>
                <w:sz w:val="20"/>
                <w:szCs w:val="20"/>
                <w:color w:val="auto"/>
              </w:rPr>
            </w:pPr>
          </w:p>
        </w:tc>
        <w:tc>
          <w:tcPr>
            <w:tcW w:w="240" w:type="dxa"/>
            <w:vAlign w:val="bottom"/>
            <w:tcBorders>
              <w:bottom w:val="single" w:sz="8" w:color="D5DCE4"/>
            </w:tcBorders>
          </w:tcPr>
          <w:p>
            <w:pPr>
              <w:spacing w:after="0"/>
              <w:rPr>
                <w:sz w:val="20"/>
                <w:szCs w:val="20"/>
                <w:color w:val="auto"/>
              </w:rPr>
            </w:pPr>
          </w:p>
        </w:tc>
        <w:tc>
          <w:tcPr>
            <w:tcW w:w="3000" w:type="dxa"/>
            <w:vAlign w:val="bottom"/>
            <w:tcBorders>
              <w:bottom w:val="single" w:sz="8" w:color="D5DCE4"/>
            </w:tcBorders>
            <w:gridSpan w:val="2"/>
          </w:tcPr>
          <w:p>
            <w:pPr>
              <w:jc w:val="right"/>
              <w:ind w:right="120"/>
              <w:spacing w:after="0"/>
              <w:rPr>
                <w:sz w:val="20"/>
                <w:szCs w:val="20"/>
                <w:color w:val="auto"/>
              </w:rPr>
            </w:pPr>
            <w:r>
              <w:rPr>
                <w:rFonts w:ascii="Arial" w:cs="Arial" w:eastAsia="Arial" w:hAnsi="Arial"/>
                <w:sz w:val="16"/>
                <w:szCs w:val="16"/>
                <w:i w:val="1"/>
                <w:iCs w:val="1"/>
                <w:color w:val="auto"/>
              </w:rPr>
              <w:t>Other Money Markets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19,180</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1,172,715</w:t>
            </w:r>
          </w:p>
        </w:tc>
        <w:tc>
          <w:tcPr>
            <w:tcW w:w="10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16,257</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1,008,856</w:t>
            </w:r>
          </w:p>
        </w:tc>
        <w:tc>
          <w:tcPr>
            <w:tcW w:w="10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60" w:type="dxa"/>
            <w:vAlign w:val="bottom"/>
            <w:shd w:val="clear" w:color="auto" w:fill="D5DCE4"/>
          </w:tcPr>
          <w:p>
            <w:pPr>
              <w:spacing w:after="0"/>
              <w:rPr>
                <w:sz w:val="20"/>
                <w:szCs w:val="20"/>
                <w:color w:val="auto"/>
              </w:rPr>
            </w:pPr>
          </w:p>
        </w:tc>
        <w:tc>
          <w:tcPr>
            <w:tcW w:w="240" w:type="dxa"/>
            <w:vAlign w:val="bottom"/>
            <w:tcBorders>
              <w:right w:val="single" w:sz="8" w:color="D5DCE4"/>
            </w:tcBorders>
            <w:shd w:val="clear" w:color="auto" w:fill="D5DCE4"/>
          </w:tcPr>
          <w:p>
            <w:pPr>
              <w:spacing w:after="0"/>
              <w:rPr>
                <w:sz w:val="20"/>
                <w:szCs w:val="20"/>
                <w:color w:val="auto"/>
              </w:rPr>
            </w:pPr>
          </w:p>
        </w:tc>
        <w:tc>
          <w:tcPr>
            <w:tcW w:w="300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shd w:val="clear" w:color="auto" w:fill="D5DCE4"/>
          </w:tcPr>
          <w:p>
            <w:pPr>
              <w:spacing w:after="0"/>
              <w:rPr>
                <w:sz w:val="20"/>
                <w:szCs w:val="20"/>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576,573</w:t>
            </w:r>
          </w:p>
        </w:tc>
        <w:tc>
          <w:tcPr>
            <w:tcW w:w="420" w:type="dxa"/>
            <w:vAlign w:val="bottom"/>
            <w:tcBorders>
              <w:bottom w:val="single" w:sz="8" w:color="auto"/>
            </w:tcBorders>
            <w:shd w:val="clear" w:color="auto" w:fill="D5DCE4"/>
          </w:tcPr>
          <w:p>
            <w:pPr>
              <w:spacing w:after="0"/>
              <w:rPr>
                <w:sz w:val="20"/>
                <w:szCs w:val="20"/>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35,371,612</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04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442,401</w:t>
            </w:r>
          </w:p>
        </w:tc>
        <w:tc>
          <w:tcPr>
            <w:tcW w:w="160" w:type="dxa"/>
            <w:vAlign w:val="bottom"/>
            <w:tcBorders>
              <w:bottom w:val="single" w:sz="8" w:color="auto"/>
            </w:tcBorders>
            <w:shd w:val="clear" w:color="auto" w:fill="D5DCE4"/>
          </w:tcPr>
          <w:p>
            <w:pPr>
              <w:spacing w:after="0"/>
              <w:rPr>
                <w:sz w:val="20"/>
                <w:szCs w:val="20"/>
                <w:color w:val="auto"/>
              </w:rPr>
            </w:pPr>
          </w:p>
        </w:tc>
        <w:tc>
          <w:tcPr>
            <w:tcW w:w="12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27,583,799</w:t>
            </w:r>
          </w:p>
        </w:tc>
        <w:tc>
          <w:tcPr>
            <w:tcW w:w="100" w:type="dxa"/>
            <w:vAlign w:val="bottom"/>
            <w:tcBorders>
              <w:right w:val="single" w:sz="8" w:color="D5DCE4"/>
            </w:tcBorders>
            <w:shd w:val="clear" w:color="auto" w:fill="D5DCE4"/>
          </w:tcPr>
          <w:p>
            <w:pPr>
              <w:spacing w:after="0"/>
              <w:rPr>
                <w:sz w:val="20"/>
                <w:szCs w:val="20"/>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30.33 %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960" w:type="dxa"/>
            <w:vAlign w:val="bottom"/>
            <w:tcBorders>
              <w:bottom w:val="single" w:sz="8" w:color="D5DCE4"/>
            </w:tcBorders>
          </w:tcPr>
          <w:p>
            <w:pPr>
              <w:spacing w:after="0"/>
              <w:rPr>
                <w:sz w:val="17"/>
                <w:szCs w:val="17"/>
                <w:color w:val="auto"/>
              </w:rPr>
            </w:pPr>
          </w:p>
        </w:tc>
        <w:tc>
          <w:tcPr>
            <w:tcW w:w="240" w:type="dxa"/>
            <w:vAlign w:val="bottom"/>
            <w:tcBorders>
              <w:bottom w:val="single" w:sz="8" w:color="D5DCE4"/>
            </w:tcBorders>
          </w:tcPr>
          <w:p>
            <w:pPr>
              <w:spacing w:after="0"/>
              <w:rPr>
                <w:sz w:val="17"/>
                <w:szCs w:val="17"/>
                <w:color w:val="auto"/>
              </w:rPr>
            </w:pPr>
          </w:p>
        </w:tc>
        <w:tc>
          <w:tcPr>
            <w:tcW w:w="2900" w:type="dxa"/>
            <w:vAlign w:val="bottom"/>
            <w:tcBorders>
              <w:bottom w:val="single" w:sz="8" w:color="D5DCE4"/>
            </w:tcBorders>
          </w:tcPr>
          <w:p>
            <w:pPr>
              <w:spacing w:after="0"/>
              <w:rPr>
                <w:sz w:val="17"/>
                <w:szCs w:val="17"/>
                <w:color w:val="auto"/>
              </w:rPr>
            </w:pPr>
          </w:p>
        </w:tc>
        <w:tc>
          <w:tcPr>
            <w:tcW w:w="100" w:type="dxa"/>
            <w:vAlign w:val="bottom"/>
            <w:tcBorders>
              <w:bottom w:val="single" w:sz="8" w:color="D5DCE4"/>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960" w:type="dxa"/>
            <w:vAlign w:val="bottom"/>
            <w:shd w:val="clear" w:color="auto" w:fill="D5DCE4"/>
          </w:tcPr>
          <w:p>
            <w:pPr>
              <w:spacing w:after="0"/>
              <w:rPr>
                <w:sz w:val="16"/>
                <w:szCs w:val="16"/>
                <w:color w:val="auto"/>
              </w:rPr>
            </w:pPr>
          </w:p>
        </w:tc>
        <w:tc>
          <w:tcPr>
            <w:tcW w:w="240" w:type="dxa"/>
            <w:vAlign w:val="bottom"/>
            <w:tcBorders>
              <w:right w:val="single" w:sz="8" w:color="D5DCE4"/>
            </w:tcBorders>
            <w:shd w:val="clear" w:color="auto" w:fill="D5DCE4"/>
          </w:tcPr>
          <w:p>
            <w:pPr>
              <w:spacing w:after="0"/>
              <w:rPr>
                <w:sz w:val="16"/>
                <w:szCs w:val="16"/>
                <w:color w:val="auto"/>
              </w:rPr>
            </w:pPr>
          </w:p>
        </w:tc>
        <w:tc>
          <w:tcPr>
            <w:tcW w:w="2900" w:type="dxa"/>
            <w:vAlign w:val="bottom"/>
            <w:shd w:val="clear" w:color="auto" w:fill="D5DCE4"/>
          </w:tcPr>
          <w:p>
            <w:pPr>
              <w:spacing w:after="0"/>
              <w:rPr>
                <w:sz w:val="16"/>
                <w:szCs w:val="16"/>
                <w:color w:val="auto"/>
              </w:rPr>
            </w:pPr>
          </w:p>
        </w:tc>
        <w:tc>
          <w:tcPr>
            <w:tcW w:w="100" w:type="dxa"/>
            <w:vAlign w:val="bottom"/>
            <w:tcBorders>
              <w:right w:val="single" w:sz="8" w:color="auto"/>
            </w:tcBorders>
            <w:shd w:val="clear" w:color="auto" w:fill="D5DCE4"/>
          </w:tcPr>
          <w:p>
            <w:pPr>
              <w:spacing w:after="0"/>
              <w:rPr>
                <w:sz w:val="16"/>
                <w:szCs w:val="16"/>
                <w:color w:val="auto"/>
              </w:rPr>
            </w:pPr>
          </w:p>
        </w:tc>
        <w:tc>
          <w:tcPr>
            <w:tcW w:w="320" w:type="dxa"/>
            <w:vAlign w:val="bottom"/>
            <w:shd w:val="clear" w:color="auto" w:fill="D5DCE4"/>
          </w:tcPr>
          <w:p>
            <w:pPr>
              <w:spacing w:after="0"/>
              <w:rPr>
                <w:sz w:val="16"/>
                <w:szCs w:val="16"/>
                <w:color w:val="auto"/>
              </w:rPr>
            </w:pPr>
          </w:p>
        </w:tc>
        <w:tc>
          <w:tcPr>
            <w:tcW w:w="1020" w:type="dxa"/>
            <w:vAlign w:val="bottom"/>
            <w:tcBorders>
              <w:right w:val="single" w:sz="8" w:color="auto"/>
            </w:tcBorders>
            <w:shd w:val="clear" w:color="auto" w:fill="D5DCE4"/>
          </w:tcPr>
          <w:p>
            <w:pPr>
              <w:spacing w:after="0"/>
              <w:rPr>
                <w:sz w:val="16"/>
                <w:szCs w:val="16"/>
                <w:color w:val="auto"/>
              </w:rPr>
            </w:pPr>
          </w:p>
        </w:tc>
        <w:tc>
          <w:tcPr>
            <w:tcW w:w="420" w:type="dxa"/>
            <w:vAlign w:val="bottom"/>
            <w:shd w:val="clear" w:color="auto" w:fill="D5DCE4"/>
          </w:tcPr>
          <w:p>
            <w:pPr>
              <w:spacing w:after="0"/>
              <w:rPr>
                <w:sz w:val="16"/>
                <w:szCs w:val="16"/>
                <w:color w:val="auto"/>
              </w:rPr>
            </w:pPr>
          </w:p>
        </w:tc>
        <w:tc>
          <w:tcPr>
            <w:tcW w:w="1020" w:type="dxa"/>
            <w:vAlign w:val="bottom"/>
            <w:shd w:val="clear" w:color="auto" w:fill="D5DCE4"/>
          </w:tcPr>
          <w:p>
            <w:pPr>
              <w:spacing w:after="0"/>
              <w:rPr>
                <w:sz w:val="16"/>
                <w:szCs w:val="16"/>
                <w:color w:val="auto"/>
              </w:rPr>
            </w:pPr>
          </w:p>
        </w:tc>
        <w:tc>
          <w:tcPr>
            <w:tcW w:w="100" w:type="dxa"/>
            <w:vAlign w:val="bottom"/>
            <w:tcBorders>
              <w:right w:val="single" w:sz="8" w:color="auto"/>
            </w:tcBorders>
            <w:shd w:val="clear" w:color="auto" w:fill="D5DCE4"/>
          </w:tcPr>
          <w:p>
            <w:pPr>
              <w:spacing w:after="0"/>
              <w:rPr>
                <w:sz w:val="16"/>
                <w:szCs w:val="16"/>
                <w:color w:val="auto"/>
              </w:rPr>
            </w:pPr>
          </w:p>
        </w:tc>
        <w:tc>
          <w:tcPr>
            <w:tcW w:w="320" w:type="dxa"/>
            <w:vAlign w:val="bottom"/>
            <w:shd w:val="clear" w:color="auto" w:fill="D5DCE4"/>
          </w:tcPr>
          <w:p>
            <w:pPr>
              <w:spacing w:after="0"/>
              <w:rPr>
                <w:sz w:val="16"/>
                <w:szCs w:val="16"/>
                <w:color w:val="auto"/>
              </w:rPr>
            </w:pPr>
          </w:p>
        </w:tc>
        <w:tc>
          <w:tcPr>
            <w:tcW w:w="1040" w:type="dxa"/>
            <w:vAlign w:val="bottom"/>
            <w:tcBorders>
              <w:right w:val="single" w:sz="8" w:color="auto"/>
            </w:tcBorders>
            <w:shd w:val="clear" w:color="auto" w:fill="D5DCE4"/>
          </w:tcPr>
          <w:p>
            <w:pPr>
              <w:spacing w:after="0"/>
              <w:rPr>
                <w:sz w:val="16"/>
                <w:szCs w:val="16"/>
                <w:color w:val="auto"/>
              </w:rPr>
            </w:pPr>
          </w:p>
        </w:tc>
        <w:tc>
          <w:tcPr>
            <w:tcW w:w="160" w:type="dxa"/>
            <w:vAlign w:val="bottom"/>
            <w:shd w:val="clear" w:color="auto" w:fill="D5DCE4"/>
          </w:tcPr>
          <w:p>
            <w:pPr>
              <w:spacing w:after="0"/>
              <w:rPr>
                <w:sz w:val="16"/>
                <w:szCs w:val="16"/>
                <w:color w:val="auto"/>
              </w:rPr>
            </w:pPr>
          </w:p>
        </w:tc>
        <w:tc>
          <w:tcPr>
            <w:tcW w:w="1360" w:type="dxa"/>
            <w:vAlign w:val="bottom"/>
            <w:tcBorders>
              <w:right w:val="single" w:sz="8" w:color="auto"/>
            </w:tcBorders>
            <w:gridSpan w:val="2"/>
            <w:shd w:val="clear" w:color="auto" w:fill="D5DCE4"/>
          </w:tcPr>
          <w:p>
            <w:pPr>
              <w:jc w:val="center"/>
              <w:ind w:right="260"/>
              <w:spacing w:after="0"/>
              <w:rPr>
                <w:sz w:val="20"/>
                <w:szCs w:val="20"/>
                <w:color w:val="auto"/>
              </w:rPr>
            </w:pPr>
            <w:r>
              <w:rPr>
                <w:rFonts w:ascii="Arial" w:cs="Arial" w:eastAsia="Arial" w:hAnsi="Arial"/>
                <w:sz w:val="16"/>
                <w:szCs w:val="16"/>
                <w:b w:val="1"/>
                <w:bCs w:val="1"/>
                <w:color w:val="auto"/>
              </w:rPr>
              <w:t>Volume (USD</w:t>
            </w:r>
          </w:p>
        </w:tc>
        <w:tc>
          <w:tcPr>
            <w:tcW w:w="1220" w:type="dxa"/>
            <w:vAlign w:val="bottom"/>
            <w:shd w:val="clear" w:color="auto" w:fill="D5DCE4"/>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60" w:type="dxa"/>
            <w:vAlign w:val="bottom"/>
            <w:shd w:val="clear" w:color="auto" w:fill="D5DCE4"/>
          </w:tcPr>
          <w:p>
            <w:pPr>
              <w:spacing w:after="0"/>
              <w:rPr>
                <w:sz w:val="20"/>
                <w:szCs w:val="20"/>
                <w:color w:val="auto"/>
              </w:rPr>
            </w:pPr>
          </w:p>
        </w:tc>
        <w:tc>
          <w:tcPr>
            <w:tcW w:w="240" w:type="dxa"/>
            <w:vAlign w:val="bottom"/>
            <w:tcBorders>
              <w:right w:val="single" w:sz="8" w:color="D5DCE4"/>
            </w:tcBorders>
            <w:shd w:val="clear" w:color="auto" w:fill="D5DCE4"/>
          </w:tcPr>
          <w:p>
            <w:pPr>
              <w:spacing w:after="0"/>
              <w:rPr>
                <w:sz w:val="20"/>
                <w:szCs w:val="20"/>
                <w:color w:val="auto"/>
              </w:rPr>
            </w:pPr>
          </w:p>
        </w:tc>
        <w:tc>
          <w:tcPr>
            <w:tcW w:w="2900" w:type="dxa"/>
            <w:vAlign w:val="bottom"/>
            <w:tcBorders>
              <w:bottom w:val="single" w:sz="8" w:color="auto"/>
            </w:tcBorders>
            <w:shd w:val="clear" w:color="auto" w:fill="D5DCE4"/>
          </w:tcPr>
          <w:p>
            <w:pPr>
              <w:spacing w:after="0"/>
              <w:rPr>
                <w:sz w:val="20"/>
                <w:szCs w:val="20"/>
                <w:color w:val="auto"/>
              </w:rPr>
            </w:pPr>
          </w:p>
        </w:tc>
        <w:tc>
          <w:tcPr>
            <w:tcW w:w="100" w:type="dxa"/>
            <w:vAlign w:val="bottom"/>
            <w:tcBorders>
              <w:bottom w:val="single" w:sz="8" w:color="auto"/>
              <w:right w:val="single" w:sz="8" w:color="auto"/>
            </w:tcBorders>
            <w:shd w:val="clear" w:color="auto" w:fill="D5DCE4"/>
          </w:tcPr>
          <w:p>
            <w:pPr>
              <w:spacing w:after="0"/>
              <w:rPr>
                <w:sz w:val="20"/>
                <w:szCs w:val="20"/>
                <w:color w:val="auto"/>
              </w:rPr>
            </w:pPr>
          </w:p>
        </w:tc>
        <w:tc>
          <w:tcPr>
            <w:tcW w:w="1340" w:type="dxa"/>
            <w:vAlign w:val="bottom"/>
            <w:tcBorders>
              <w:bottom w:val="single" w:sz="8" w:color="auto"/>
              <w:right w:val="single" w:sz="8" w:color="auto"/>
            </w:tcBorders>
            <w:gridSpan w:val="2"/>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ADV (USD mm)</w:t>
            </w:r>
          </w:p>
        </w:tc>
        <w:tc>
          <w:tcPr>
            <w:tcW w:w="1540" w:type="dxa"/>
            <w:vAlign w:val="bottom"/>
            <w:tcBorders>
              <w:bottom w:val="single" w:sz="8" w:color="auto"/>
              <w:right w:val="single" w:sz="8" w:color="auto"/>
            </w:tcBorders>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Volume (USD mm)</w:t>
            </w:r>
          </w:p>
        </w:tc>
        <w:tc>
          <w:tcPr>
            <w:tcW w:w="1360" w:type="dxa"/>
            <w:vAlign w:val="bottom"/>
            <w:tcBorders>
              <w:bottom w:val="single" w:sz="8" w:color="auto"/>
              <w:right w:val="single" w:sz="8" w:color="auto"/>
            </w:tcBorders>
            <w:gridSpan w:val="2"/>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ADV (USD mm)</w:t>
            </w:r>
          </w:p>
        </w:tc>
        <w:tc>
          <w:tcPr>
            <w:tcW w:w="160" w:type="dxa"/>
            <w:vAlign w:val="bottom"/>
            <w:tcBorders>
              <w:bottom w:val="single" w:sz="8" w:color="auto"/>
            </w:tcBorders>
            <w:shd w:val="clear" w:color="auto" w:fill="D5DCE4"/>
          </w:tcPr>
          <w:p>
            <w:pPr>
              <w:spacing w:after="0"/>
              <w:rPr>
                <w:sz w:val="20"/>
                <w:szCs w:val="20"/>
                <w:color w:val="auto"/>
              </w:rPr>
            </w:pPr>
          </w:p>
        </w:tc>
        <w:tc>
          <w:tcPr>
            <w:tcW w:w="1360" w:type="dxa"/>
            <w:vAlign w:val="bottom"/>
            <w:tcBorders>
              <w:bottom w:val="single" w:sz="8" w:color="auto"/>
              <w:right w:val="single" w:sz="8" w:color="auto"/>
            </w:tcBorders>
            <w:gridSpan w:val="2"/>
            <w:shd w:val="clear" w:color="auto" w:fill="D5DCE4"/>
          </w:tcPr>
          <w:p>
            <w:pPr>
              <w:jc w:val="center"/>
              <w:ind w:right="260"/>
              <w:spacing w:after="0"/>
              <w:rPr>
                <w:sz w:val="20"/>
                <w:szCs w:val="20"/>
                <w:color w:val="auto"/>
              </w:rPr>
            </w:pPr>
            <w:r>
              <w:rPr>
                <w:rFonts w:ascii="Arial" w:cs="Arial" w:eastAsia="Arial" w:hAnsi="Arial"/>
                <w:sz w:val="16"/>
                <w:szCs w:val="16"/>
                <w:b w:val="1"/>
                <w:bCs w:val="1"/>
                <w:color w:val="auto"/>
              </w:rPr>
              <w:t>mm)</w:t>
            </w:r>
          </w:p>
        </w:tc>
        <w:tc>
          <w:tcPr>
            <w:tcW w:w="1220" w:type="dxa"/>
            <w:vAlign w:val="bottom"/>
            <w:tcBorders>
              <w:bottom w:val="single" w:sz="8" w:color="auto"/>
            </w:tcBorders>
            <w:shd w:val="clear" w:color="auto" w:fill="D5DCE4"/>
          </w:tcPr>
          <w:p>
            <w:pPr>
              <w:ind w:left="460"/>
              <w:spacing w:after="0"/>
              <w:rPr>
                <w:sz w:val="20"/>
                <w:szCs w:val="20"/>
                <w:color w:val="auto"/>
              </w:rPr>
            </w:pPr>
            <w:r>
              <w:rPr>
                <w:rFonts w:ascii="Arial" w:cs="Arial" w:eastAsia="Arial" w:hAnsi="Arial"/>
                <w:sz w:val="16"/>
                <w:szCs w:val="16"/>
                <w:b w:val="1"/>
                <w:bCs w:val="1"/>
                <w:color w:val="auto"/>
              </w:rPr>
              <w:t>YoY</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0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1,899,641</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116,888,926</w:t>
            </w:r>
          </w:p>
        </w:tc>
        <w:tc>
          <w:tcPr>
            <w:tcW w:w="10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1,365,620</w:t>
            </w: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85,387,674</w:t>
            </w:r>
          </w:p>
        </w:tc>
        <w:tc>
          <w:tcPr>
            <w:tcW w:w="1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39.1 %</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bl>
    <w:p>
      <w:pPr>
        <w:spacing w:after="0" w:line="365" w:lineRule="exact"/>
        <w:rPr>
          <w:sz w:val="20"/>
          <w:szCs w:val="20"/>
          <w:color w:val="auto"/>
        </w:rPr>
      </w:pPr>
    </w:p>
    <w:p>
      <w:pPr>
        <w:ind w:left="440" w:right="520" w:hanging="414"/>
        <w:spacing w:after="0" w:line="294" w:lineRule="auto"/>
        <w:tabs>
          <w:tab w:leader="none" w:pos="4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acquired Yieldbroker on August 31, 2023 and acquired r8fin on January 19, 2024. Total volume reported includes volumes from each acquired business subsequent to the closing date of the applicable acquisition.</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access historical traded volumes, go to </w:t>
      </w:r>
      <w:r>
        <w:rPr>
          <w:rFonts w:ascii="Arial" w:cs="Arial" w:eastAsia="Arial" w:hAnsi="Arial"/>
          <w:sz w:val="16"/>
          <w:szCs w:val="16"/>
          <w:u w:val="single" w:color="auto"/>
          <w:color w:val="0E32E1"/>
        </w:rPr>
        <w:t>https://www.tradeweb.com/newsroom/monthly-activity-reports/</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9</w:t>
      </w:r>
    </w:p>
    <w:p>
      <w:pPr>
        <w:sectPr>
          <w:pgSz w:w="11900" w:h="16838" w:orient="portrait"/>
          <w:cols w:equalWidth="0" w:num="1">
            <w:col w:w="11240"/>
          </w:cols>
          <w:pgMar w:left="320" w:top="77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83566"/>
        </w:rPr>
        <w:t>BASIS OF PRESENTATION</w:t>
      </w:r>
    </w:p>
    <w:p>
      <w:pPr>
        <w:spacing w:after="0" w:line="11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Tradeweb Markets Inc. (unless the context otherwise requires, together with its subsidiaries, referred to as “we,” “our,” “Tradeweb,” “Tradeweb Markets” or the “Company”) closed its IPO on April 8, 2019. As a result of certain reorganization transactions (the “Reorganization Transactions”) completed in connection with the IPO, on April 4, 2019, Tradeweb Markets Inc. became a holding company whose only material assets consist of its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w:t>
      </w:r>
    </w:p>
    <w:p>
      <w:pPr>
        <w:spacing w:after="0" w:line="190"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Numerical figures included in this release have been subject to rounding adjustments and as a result totals may not be the arithmetic aggregation of the amounts that precede them and figures expressed as percentages may not total 100%.</w:t>
      </w:r>
    </w:p>
    <w:p>
      <w:pPr>
        <w:spacing w:after="0" w:line="16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Please refer to the Company's previously filed Quarterly Reports on Form 10-Q and Annual Report on Form 10-K for capitalized terms not otherwise defined herein.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UNAUDITED INTERIM RESULTS</w:t>
      </w:r>
    </w:p>
    <w:p>
      <w:pPr>
        <w:spacing w:after="0" w:line="23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interim financial results presented herein for the three months ended March 31, 2024 and 2023 are unaudited. Operating results for interim periods are not necessarily indicative of the results that may be expected for the full year.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FORWARD-LOOKING STATEMENTS</w:t>
      </w:r>
    </w:p>
    <w:p>
      <w:pPr>
        <w:spacing w:after="0" w:line="23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This release contains forward-looking statements within the meaning of the federal securities laws. Statements related to, among other things, our guidance, including full-year 2024 guidance and full-year 2024 and 2025 revenue guidance related to the LSEG market data license agreement, pending acquisitions, future performance, the industry and markets in which we operate, our expectations, beliefs, plans, strategies, objectives, prospects and assumptions and future events are forward-looking statements.</w:t>
      </w:r>
    </w:p>
    <w:p>
      <w:pPr>
        <w:spacing w:after="0" w:line="17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the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events or performance and future events, our actual results of operations, financial condition or liquidity, and the development of the industry and markets in which we operate, may differ materially from the forward-looking statements contained in this release. In addition, even if future events, our results of operations, financial condition, or liquidity, and events in the industry and markets in which we operate, are consistent with the forward-looking statements contained in this release, they may not be predictive of events,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NON-GAAP FINANCIAL MEASURES</w:t>
      </w:r>
    </w:p>
    <w:p>
      <w:pPr>
        <w:spacing w:after="0" w:line="235"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This release contains “non-GAAP financial measures,” including Adjusted EBITDA, Adjusted EBITDA margin, Adjusted EBIT, Adjusted EBIT margin, Adjusted Net Income, Adjusted Net Income per diluted share ("Adjusted Diluted EPS"), Adjusted Expenses, Free Cash Flow and constant currency change, which are supplemental financial measures that are not calculated and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19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173" w:lineRule="exact"/>
        <w:rPr>
          <w:sz w:val="20"/>
          <w:szCs w:val="20"/>
          <w:color w:val="auto"/>
        </w:rPr>
      </w:pPr>
    </w:p>
    <w:p>
      <w:pPr>
        <w:ind w:right="360"/>
        <w:spacing w:after="0" w:line="271"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16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We use Adjusted Expenses as a supplemental metric to evaluate our underlying operating performance over time by removing items that are not related to day-to-day operations or are non-cash expenses.</w:t>
      </w:r>
    </w:p>
    <w:p>
      <w:pPr>
        <w:sectPr>
          <w:pgSz w:w="11900" w:h="16838" w:orient="portrait"/>
          <w:cols w:equalWidth="0" w:num="1">
            <w:col w:w="11240"/>
          </w:cols>
          <w:pgMar w:left="320" w:top="989" w:right="339" w:bottom="1440" w:gutter="0" w:footer="0" w:header="0"/>
        </w:sectPr>
      </w:pPr>
    </w:p>
    <w:p>
      <w:pPr>
        <w:spacing w:after="0" w:line="245" w:lineRule="exact"/>
        <w:rPr>
          <w:sz w:val="20"/>
          <w:szCs w:val="20"/>
          <w:color w:val="auto"/>
        </w:rPr>
      </w:pPr>
    </w:p>
    <w:p>
      <w:pPr>
        <w:ind w:left="10480"/>
        <w:spacing w:after="0"/>
        <w:rPr>
          <w:sz w:val="20"/>
          <w:szCs w:val="20"/>
          <w:color w:val="auto"/>
        </w:rPr>
      </w:pPr>
      <w:r>
        <w:rPr>
          <w:rFonts w:ascii="Arial" w:cs="Arial" w:eastAsia="Arial" w:hAnsi="Arial"/>
          <w:sz w:val="17"/>
          <w:szCs w:val="17"/>
          <w:color w:val="auto"/>
        </w:rPr>
        <w:t>Page | 10</w:t>
      </w:r>
    </w:p>
    <w:p>
      <w:pPr>
        <w:sectPr>
          <w:pgSz w:w="11900" w:h="16838" w:orient="portrait"/>
          <w:cols w:equalWidth="0" w:num="1">
            <w:col w:w="11240"/>
          </w:cols>
          <w:pgMar w:left="320" w:top="989" w:right="339" w:bottom="1440" w:gutter="0" w:footer="0" w:header="0"/>
          <w:type w:val="continuous"/>
        </w:sectPr>
      </w:pPr>
    </w:p>
    <w:bookmarkStart w:id="13" w:name="page14"/>
    <w:bookmarkEnd w:id="13"/>
    <w:p>
      <w:pPr>
        <w:ind w:right="160"/>
        <w:spacing w:after="0" w:line="286" w:lineRule="auto"/>
        <w:rPr>
          <w:sz w:val="20"/>
          <w:szCs w:val="20"/>
          <w:color w:val="auto"/>
        </w:rPr>
      </w:pPr>
      <w:r>
        <w:rPr>
          <w:rFonts w:ascii="Arial" w:cs="Arial" w:eastAsia="Arial" w:hAnsi="Arial"/>
          <w:sz w:val="16"/>
          <w:szCs w:val="16"/>
          <w:color w:val="auto"/>
        </w:rPr>
        <w:t>We use Free Cash Flow to assess our liquidity in a way that considers the amount of cash generated from our core operations after non-acquisition related expenditures for capitalized software development costs and furniture, equipment and leasehold improvements.</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present certain changes on a “constant currency” basis. Since our consolidated financial statements are presented in U.S. dollars, we must translate non-U.S. dollar revenues and expenses into U.S. dollars. Constant currency change, which is a non-GAAP financial measure, is defined as change excluding the effects of foreign currency fluctuations. Constant currency information is calculated by translating the current period and prior period’s results using the annual average exchange rates for the prior period. We use constant currency change as a supplemental metric to evaluate our underlying performance between periods by removing the impact of foreign currency fluctuations. We present certain constant currency change information because we believe it provides investors and analysts a useful comparison of our results and trends between periods. This information should be considered in addition to, not as a substitute for, results reported in accordance with GAAP.</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net income margin, earnings per share, operating income, operating expenses, cash flow from operating activities or any other financial measure prepared or derived in accordance with GAAP. You are encouraged to evaluate each adjustment included in the reconciliations. In addition, in evaluating Adjusted EBITDA, Adjusted EBITDA margin, Adjusted EBIT, Adjusted EBIT margin, Adjusted EBT, Adjusted Net Income, Adjusted Diluted EPS, Adjusted Expenses and Free Cash Flow, you should be aware that in the future, we may incur expenses similar to the adjustments in the presentation of these non-GAAP financial measures.</w:t>
      </w:r>
    </w:p>
    <w:p>
      <w:pPr>
        <w:spacing w:after="0" w:line="176"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MARKET AND INDUSTRY DATA</w:t>
      </w:r>
    </w:p>
    <w:p>
      <w:pPr>
        <w:spacing w:after="0" w:line="23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This release includes estimates regarding market and industry data that we prepared based on our management’s knowledge and experience in the markets in which we operate, together with information obtained from various sources, including publicly available information, industry reports and publications, surveys, our clients, trade and business organizations and other contacts in the markets in which we operate. In presenting this information, we have made certain assumptions that we believe to be reasonable based on such data and other similar sources and on our knowledge of, and our experience to date in, the markets in which we operate. While such information is believed to be reliable for the purposes used herein, no representations are made as to the accuracy or completeness thereof and we take no responsibility for such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SOCIAL MEDIA</w:t>
      </w:r>
    </w:p>
    <w:p>
      <w:pPr>
        <w:spacing w:after="0" w:line="23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Investors and others should note that Tradeweb announces material financial and operational information using its investor relations website, press releases, SEC filings and public conference calls and webcasts. Information about Tradeweb, its business and its results of operations may also be announced by posts on the Company’s accounts on the following social media channels: Instagram, LinkedIn and X (formerly Twitter).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11</w:t>
      </w:r>
    </w:p>
    <w:sectPr>
      <w:pgSz w:w="11900" w:h="16838" w:orient="portrait"/>
      <w:cols w:equalWidth="0" w:num="1">
        <w:col w:w="11240"/>
      </w:cols>
      <w:pgMar w:left="320" w:top="9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2"/>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2024-04-25T06:13:25Z</dcterms:created>
  <dcterms:modified xsi:type="dcterms:W3CDTF">2024-04-25T06:13:25Z</dcterms:modified>
</cp:coreProperties>
</file>