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8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333-230115</w:t>
      </w:r>
    </w:p>
    <w:p>
      <w:pPr>
        <w:spacing w:after="0" w:line="165"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51435</wp:posOffset>
            </wp:positionV>
            <wp:extent cx="186944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944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40,000,000 Shares</w:t>
      </w:r>
    </w:p>
    <w:p>
      <w:pPr>
        <w:spacing w:after="0" w:line="91"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Tradeweb Markets Inc.</w:t>
      </w:r>
    </w:p>
    <w:p>
      <w:pPr>
        <w:spacing w:after="0" w:line="91"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Class A Common Stock</w:t>
      </w:r>
    </w:p>
    <w:p>
      <w:pPr>
        <w:spacing w:after="0" w:line="104" w:lineRule="exact"/>
        <w:rPr>
          <w:sz w:val="24"/>
          <w:szCs w:val="24"/>
          <w:color w:val="auto"/>
        </w:rPr>
      </w:pPr>
    </w:p>
    <w:p>
      <w:pPr>
        <w:ind w:left="860"/>
        <w:spacing w:after="0"/>
        <w:rPr>
          <w:sz w:val="20"/>
          <w:szCs w:val="20"/>
          <w:color w:val="auto"/>
        </w:rPr>
      </w:pPr>
      <w:r>
        <w:rPr>
          <w:rFonts w:ascii="Arial" w:cs="Arial" w:eastAsia="Arial" w:hAnsi="Arial"/>
          <w:sz w:val="16"/>
          <w:szCs w:val="16"/>
          <w:color w:val="auto"/>
        </w:rPr>
        <w:t>This is the initial public offering of Tradeweb Markets Inc. We are selling 40,000,000 shares of our Class A common stock.</w:t>
      </w:r>
    </w:p>
    <w:p>
      <w:pPr>
        <w:spacing w:after="0" w:line="22" w:lineRule="exact"/>
        <w:rPr>
          <w:sz w:val="24"/>
          <w:szCs w:val="24"/>
          <w:color w:val="auto"/>
        </w:rPr>
      </w:pPr>
    </w:p>
    <w:p>
      <w:pPr>
        <w:jc w:val="both"/>
        <w:ind w:left="500" w:right="80" w:firstLine="360"/>
        <w:spacing w:after="0" w:line="227"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is $27.00 per share of our Class A common stock. We have been approved to list our Class A common stock on the Nasdaq Global Select Market (“Nasdaq”) under the symbol “TW.”</w:t>
      </w:r>
    </w:p>
    <w:p>
      <w:pPr>
        <w:spacing w:after="0" w:line="1" w:lineRule="exact"/>
        <w:rPr>
          <w:sz w:val="24"/>
          <w:szCs w:val="24"/>
          <w:color w:val="auto"/>
        </w:rPr>
      </w:pPr>
    </w:p>
    <w:p>
      <w:pPr>
        <w:ind w:left="500" w:right="160" w:firstLine="360"/>
        <w:spacing w:after="0" w:line="231"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6,000,000 additional shares of Class A common stock.</w:t>
      </w:r>
    </w:p>
    <w:p>
      <w:pPr>
        <w:ind w:left="500" w:right="160" w:firstLine="360"/>
        <w:spacing w:after="0" w:line="224" w:lineRule="auto"/>
        <w:rPr>
          <w:sz w:val="20"/>
          <w:szCs w:val="20"/>
          <w:color w:val="auto"/>
        </w:rPr>
      </w:pPr>
      <w:r>
        <w:rPr>
          <w:rFonts w:ascii="Arial" w:cs="Arial" w:eastAsia="Arial" w:hAnsi="Arial"/>
          <w:sz w:val="16"/>
          <w:szCs w:val="16"/>
          <w:color w:val="auto"/>
        </w:rPr>
        <w:t>We will use the net proceeds that we receive from this offering to purchase issued and outstanding common membership units, which we refer to as “LLC Interests,” in Tradeweb Markets LLC, which we refer to as “TWM LLC,” from certain of the Bank Stockholders (as defined below). There is no public market for the LLC Interests. The purchase price for the LLC Interests will be equal to the public offering price of our Class A common stock, less the underwriting discounts and commissions referred to below.</w:t>
      </w:r>
    </w:p>
    <w:p>
      <w:pPr>
        <w:spacing w:after="0" w:line="2" w:lineRule="exact"/>
        <w:rPr>
          <w:sz w:val="24"/>
          <w:szCs w:val="24"/>
          <w:color w:val="auto"/>
        </w:rPr>
      </w:pPr>
    </w:p>
    <w:p>
      <w:pPr>
        <w:ind w:left="500" w:right="40" w:firstLine="360"/>
        <w:spacing w:after="0" w:line="217" w:lineRule="auto"/>
        <w:rPr>
          <w:sz w:val="20"/>
          <w:szCs w:val="20"/>
          <w:color w:val="auto"/>
        </w:rPr>
      </w:pPr>
      <w:r>
        <w:rPr>
          <w:rFonts w:ascii="Arial" w:cs="Arial" w:eastAsia="Arial" w:hAnsi="Arial"/>
          <w:sz w:val="16"/>
          <w:szCs w:val="16"/>
          <w:color w:val="auto"/>
        </w:rPr>
        <w:t>We will have four classes of authorized common stock after this offering: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will not have any of the economic rights (including the rights to dividends) provided to holders of Class A common stock and Class B common stock. Upon completion of this offering, all of our Class B common stock will be held by the Refinitiv Direct Owner (as defined below) and all of our Class C common stock and Class D common stock will be held by the Continuing LLC Owners (as defined below), as the case may be, on a one-to-one basis with the number of LLC Interests they own.</w:t>
      </w:r>
    </w:p>
    <w:p>
      <w:pPr>
        <w:spacing w:after="0" w:line="3" w:lineRule="exact"/>
        <w:rPr>
          <w:sz w:val="24"/>
          <w:szCs w:val="24"/>
          <w:color w:val="auto"/>
        </w:rPr>
      </w:pPr>
    </w:p>
    <w:p>
      <w:pPr>
        <w:ind w:left="500" w:right="40" w:firstLine="360"/>
        <w:spacing w:after="0" w:line="215" w:lineRule="auto"/>
        <w:rPr>
          <w:sz w:val="20"/>
          <w:szCs w:val="20"/>
          <w:color w:val="auto"/>
        </w:rPr>
      </w:pPr>
      <w:r>
        <w:rPr>
          <w:rFonts w:ascii="Arial" w:cs="Arial" w:eastAsia="Arial" w:hAnsi="Arial"/>
          <w:sz w:val="16"/>
          <w:szCs w:val="16"/>
          <w:color w:val="auto"/>
        </w:rPr>
        <w:t>Immediately following this offering, the holders of our Class A common stock issued in this offering collectively will hold 29.2% of the economic interest in us and 2.3% of the combined voting power in us, the Refinitiv LLC Owner (as defined below) and the Refinitiv Direct Owner, respectively, through their ownership of Class D common stock and Class B common stock, collectively will hold 70.8% of the economic interest in us and 68.2% of the combined voting power in us, and the Other LLC Owners (as defined below), through their ownership of Class C common stock and/or Class D common stock, as the case may be, collectively will hold no economic interest in us and the remaining 29.5% of the combined voting power in us. We will be a holding company, and upon completion of this offering and the application of the net proceeds therefrom, our principal asset will be the LLC Interests we acquire from certain of the Bank Stockholders and the LLC Interests we receive as a result of the Refinitiv Contribution (as defined below), representing an aggregate 61.6% economic interest in TWM LLC. The remaining 38.4% economic interest in TWM LLC will be owned by the Continuing LLC Owners through their ownership of LLC Interests. We will be the sole manager of TWM LLC. As the sole manager, we will operate and control all of the business and affairs of TWM LLC, and through TWM LLC and its subsidiaries, we will conduct our business.</w:t>
      </w:r>
    </w:p>
    <w:p>
      <w:pPr>
        <w:ind w:left="500" w:right="80" w:firstLine="360"/>
        <w:spacing w:after="0" w:line="237" w:lineRule="auto"/>
        <w:rPr>
          <w:sz w:val="20"/>
          <w:szCs w:val="20"/>
          <w:color w:val="auto"/>
        </w:rPr>
      </w:pPr>
      <w:r>
        <w:rPr>
          <w:rFonts w:ascii="Arial" w:cs="Arial" w:eastAsia="Arial" w:hAnsi="Arial"/>
          <w:sz w:val="16"/>
          <w:szCs w:val="16"/>
          <w:color w:val="auto"/>
        </w:rPr>
        <w:t>After the completion of this offering, the Refinitiv Owners (as defined herein) will continue to own a majority of the combined voting power in us. As a result, we will be a “controlled company” within the meaning of the corporate governance standards of Nasdaq.</w:t>
      </w:r>
    </w:p>
    <w:p>
      <w:pPr>
        <w:spacing w:after="0" w:line="1" w:lineRule="exact"/>
        <w:rPr>
          <w:sz w:val="24"/>
          <w:szCs w:val="24"/>
          <w:color w:val="auto"/>
        </w:rPr>
      </w:pPr>
    </w:p>
    <w:p>
      <w:pPr>
        <w:ind w:left="500" w:right="100" w:firstLine="360"/>
        <w:spacing w:after="0" w:line="227"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will be subject to reduced reporting requirements. This prospectus complies with the requirements that apply to an issuer that is an emerging growth company.</w:t>
      </w:r>
    </w:p>
    <w:p>
      <w:pPr>
        <w:ind w:left="860"/>
        <w:spacing w:after="0" w:line="221"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Investing in our Class A common stock involves risks. See “Risk Factors” beginning on page </w:t>
      </w:r>
      <w:hyperlink w:anchor="page38">
        <w:r>
          <w:rPr>
            <w:rFonts w:ascii="Arial" w:cs="Arial" w:eastAsia="Arial" w:hAnsi="Arial"/>
            <w:sz w:val="15"/>
            <w:szCs w:val="15"/>
            <w:b w:val="1"/>
            <w:bCs w:val="1"/>
            <w:color w:val="0000EE"/>
          </w:rPr>
          <w:t>29</w:t>
        </w:r>
        <w:r>
          <w:rPr>
            <w:rFonts w:ascii="Arial" w:cs="Arial" w:eastAsia="Arial" w:hAnsi="Arial"/>
            <w:sz w:val="15"/>
            <w:szCs w:val="15"/>
            <w:b w:val="1"/>
            <w:bCs w:val="1"/>
            <w:color w:val="auto"/>
          </w:rPr>
          <w:t xml:space="preserve"> </w:t>
        </w:r>
      </w:hyperlink>
      <w:r>
        <w:rPr>
          <w:rFonts w:ascii="Arial" w:cs="Arial" w:eastAsia="Arial" w:hAnsi="Arial"/>
          <w:sz w:val="15"/>
          <w:szCs w:val="15"/>
          <w:b w:val="1"/>
          <w:bCs w:val="1"/>
          <w:color w:val="auto"/>
        </w:rPr>
        <w:t>to read about factors you should</w:t>
      </w:r>
    </w:p>
    <w:tbl>
      <w:tblPr>
        <w:tblLayout w:type="fixed"/>
        <w:tblInd w:w="500" w:type="dxa"/>
        <w:tblCellMar>
          <w:top w:w="0" w:type="dxa"/>
          <w:left w:w="0" w:type="dxa"/>
          <w:bottom w:w="0" w:type="dxa"/>
          <w:right w:w="0" w:type="dxa"/>
        </w:tblCellMar>
      </w:tblPr>
      <w:tr>
        <w:trPr>
          <w:trHeight w:val="223"/>
        </w:trPr>
        <w:tc>
          <w:tcPr>
            <w:tcW w:w="6760" w:type="dxa"/>
            <w:vAlign w:val="bottom"/>
            <w:gridSpan w:val="2"/>
          </w:tcPr>
          <w:p>
            <w:pPr>
              <w:spacing w:after="0"/>
              <w:rPr>
                <w:sz w:val="20"/>
                <w:szCs w:val="20"/>
                <w:color w:val="auto"/>
              </w:rPr>
            </w:pPr>
            <w:r>
              <w:rPr>
                <w:rFonts w:ascii="Arial" w:cs="Arial" w:eastAsia="Arial" w:hAnsi="Arial"/>
                <w:sz w:val="16"/>
                <w:szCs w:val="16"/>
                <w:b w:val="1"/>
                <w:bCs w:val="1"/>
                <w:color w:val="auto"/>
              </w:rPr>
              <w:t>consider before buying shares of our Class A common stock.</w:t>
            </w:r>
          </w:p>
        </w:tc>
        <w:tc>
          <w:tcPr>
            <w:tcW w:w="16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9"/>
                <w:szCs w:val="19"/>
                <w:color w:val="auto"/>
              </w:rPr>
            </w:pPr>
          </w:p>
        </w:tc>
        <w:tc>
          <w:tcPr>
            <w:tcW w:w="94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6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7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Price to public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27.000</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1,080,000,000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160" w:type="dxa"/>
            <w:vAlign w:val="bottom"/>
            <w:gridSpan w:val="3"/>
          </w:tcPr>
          <w:p>
            <w:pPr>
              <w:spacing w:after="0" w:line="216"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1.755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70,200,000</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before expenses, to Tradeweb Markets Inc.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25.245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1,009,800,000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-402590</wp:posOffset>
            </wp:positionV>
            <wp:extent cx="5076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7682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102870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54" w:lineRule="exact"/>
        <w:rPr>
          <w:sz w:val="24"/>
          <w:szCs w:val="24"/>
          <w:color w:val="auto"/>
        </w:rPr>
      </w:pPr>
    </w:p>
    <w:p>
      <w:pPr>
        <w:ind w:left="860" w:right="2400" w:hanging="366"/>
        <w:spacing w:after="0" w:line="293" w:lineRule="auto"/>
        <w:tabs>
          <w:tab w:leader="none" w:pos="860" w:val="left"/>
        </w:tabs>
        <w:numPr>
          <w:ilvl w:val="0"/>
          <w:numId w:val="1"/>
        </w:numPr>
        <w:rPr>
          <w:rFonts w:ascii="Arial" w:cs="Arial" w:eastAsia="Arial" w:hAnsi="Arial"/>
          <w:sz w:val="15"/>
          <w:szCs w:val="15"/>
          <w:color w:val="auto"/>
        </w:rPr>
      </w:pPr>
      <w:r>
        <w:rPr>
          <w:rFonts w:ascii="Arial" w:cs="Arial" w:eastAsia="Arial" w:hAnsi="Arial"/>
          <w:sz w:val="15"/>
          <w:szCs w:val="15"/>
          <w:color w:val="auto"/>
        </w:rPr>
        <w:t>See “Underwriting (Conflicts of Interest)” for additional information regarding underwriting compensation. Delivery of the shares of Class A common stock will be made on or about April 8, 2019.</w:t>
      </w:r>
    </w:p>
    <w:p>
      <w:pPr>
        <w:spacing w:after="0" w:line="1" w:lineRule="exact"/>
        <w:rPr>
          <w:sz w:val="24"/>
          <w:szCs w:val="24"/>
          <w:color w:val="auto"/>
        </w:rPr>
      </w:pPr>
    </w:p>
    <w:p>
      <w:pPr>
        <w:ind w:left="500" w:right="140" w:firstLine="360"/>
        <w:spacing w:after="0" w:line="237" w:lineRule="auto"/>
        <w:rPr>
          <w:sz w:val="20"/>
          <w:szCs w:val="20"/>
          <w:color w:val="auto"/>
        </w:rPr>
      </w:pPr>
      <w:r>
        <w:rPr>
          <w:rFonts w:ascii="Arial" w:cs="Arial" w:eastAsia="Arial" w:hAnsi="Arial"/>
          <w:sz w:val="16"/>
          <w:szCs w:val="16"/>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ectPr>
          <w:pgSz w:w="11900" w:h="16838" w:orient="portrait"/>
          <w:cols w:equalWidth="0" w:num="1">
            <w:col w:w="10240"/>
          </w:cols>
          <w:pgMar w:left="240" w:top="239" w:right="1419" w:bottom="1440" w:gutter="0" w:footer="0" w:header="0"/>
        </w:sectPr>
      </w:pPr>
    </w:p>
    <w:p>
      <w:pPr>
        <w:spacing w:after="0" w:line="52" w:lineRule="exact"/>
        <w:rPr>
          <w:sz w:val="24"/>
          <w:szCs w:val="24"/>
          <w:color w:val="auto"/>
        </w:rPr>
      </w:pPr>
    </w:p>
    <w:p>
      <w:pPr>
        <w:ind w:left="500"/>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180"/>
        <w:spacing w:after="0"/>
        <w:rPr>
          <w:sz w:val="20"/>
          <w:szCs w:val="20"/>
          <w:color w:val="auto"/>
        </w:rPr>
      </w:pPr>
      <w:r>
        <w:rPr>
          <w:rFonts w:ascii="Arial" w:cs="Arial" w:eastAsia="Arial" w:hAnsi="Arial"/>
          <w:sz w:val="23"/>
          <w:szCs w:val="23"/>
          <w:b w:val="1"/>
          <w:bCs w:val="1"/>
          <w:color w:val="auto"/>
        </w:rPr>
        <w:t>Citigroup</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20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Morgan Stanley</w:t>
      </w:r>
    </w:p>
    <w:p>
      <w:pPr>
        <w:spacing w:after="0" w:line="163" w:lineRule="exact"/>
        <w:rPr>
          <w:sz w:val="24"/>
          <w:szCs w:val="24"/>
          <w:color w:val="auto"/>
        </w:rPr>
      </w:pPr>
    </w:p>
    <w:p>
      <w:pPr>
        <w:sectPr>
          <w:pgSz w:w="11900" w:h="16838" w:orient="portrait"/>
          <w:cols w:equalWidth="0" w:num="4">
            <w:col w:w="1960" w:space="720"/>
            <w:col w:w="1220" w:space="720"/>
            <w:col w:w="3160" w:space="720"/>
            <w:col w:w="1740"/>
          </w:cols>
          <w:pgMar w:left="240" w:top="239" w:right="1419" w:bottom="1440" w:gutter="0" w:footer="0" w:header="0"/>
          <w:type w:val="continuous"/>
        </w:sectPr>
      </w:pPr>
    </w:p>
    <w:p>
      <w:pPr>
        <w:jc w:val="center"/>
        <w:ind w:left="540"/>
        <w:spacing w:after="0"/>
        <w:rPr>
          <w:sz w:val="20"/>
          <w:szCs w:val="20"/>
          <w:color w:val="auto"/>
        </w:rPr>
      </w:pPr>
      <w:r>
        <w:rPr>
          <w:rFonts w:ascii="Arial" w:cs="Arial" w:eastAsia="Arial" w:hAnsi="Arial"/>
          <w:sz w:val="22"/>
          <w:szCs w:val="22"/>
          <w:b w:val="1"/>
          <w:bCs w:val="1"/>
          <w:color w:val="auto"/>
        </w:rPr>
        <w:t>BofA Merrill Lynch</w:t>
      </w:r>
    </w:p>
    <w:p>
      <w:pPr>
        <w:spacing w:after="0" w:line="28" w:lineRule="exact"/>
        <w:rPr>
          <w:sz w:val="24"/>
          <w:szCs w:val="24"/>
          <w:color w:val="auto"/>
        </w:rPr>
      </w:pPr>
    </w:p>
    <w:p>
      <w:pPr>
        <w:jc w:val="center"/>
        <w:ind w:left="540"/>
        <w:spacing w:after="0"/>
        <w:rPr>
          <w:sz w:val="20"/>
          <w:szCs w:val="20"/>
          <w:color w:val="auto"/>
        </w:rPr>
      </w:pPr>
      <w:r>
        <w:rPr>
          <w:rFonts w:ascii="Arial" w:cs="Arial" w:eastAsia="Arial" w:hAnsi="Arial"/>
          <w:sz w:val="19"/>
          <w:szCs w:val="19"/>
          <w:b w:val="1"/>
          <w:bCs w:val="1"/>
          <w:color w:val="auto"/>
        </w:rPr>
        <w:t>Deutsche Bank Securities</w:t>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Arial" w:cs="Arial" w:eastAsia="Arial" w:hAnsi="Arial"/>
          <w:sz w:val="22"/>
          <w:szCs w:val="22"/>
          <w:b w:val="1"/>
          <w:bCs w:val="1"/>
          <w:color w:val="auto"/>
        </w:rPr>
        <w:t>Barclays</w:t>
      </w:r>
    </w:p>
    <w:p>
      <w:pPr>
        <w:spacing w:after="0" w:line="28" w:lineRule="exact"/>
        <w:rPr>
          <w:sz w:val="24"/>
          <w:szCs w:val="24"/>
          <w:color w:val="auto"/>
        </w:rPr>
      </w:pPr>
    </w:p>
    <w:p>
      <w:pPr>
        <w:jc w:val="center"/>
        <w:ind w:right="520"/>
        <w:spacing w:after="0"/>
        <w:rPr>
          <w:sz w:val="20"/>
          <w:szCs w:val="20"/>
          <w:color w:val="auto"/>
        </w:rPr>
      </w:pPr>
      <w:r>
        <w:rPr>
          <w:rFonts w:ascii="Arial" w:cs="Arial" w:eastAsia="Arial" w:hAnsi="Arial"/>
          <w:sz w:val="19"/>
          <w:szCs w:val="19"/>
          <w:b w:val="1"/>
          <w:bCs w:val="1"/>
          <w:color w:val="auto"/>
        </w:rPr>
        <w:t>UBS Investment Bank</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Arial" w:cs="Arial" w:eastAsia="Arial" w:hAnsi="Arial"/>
          <w:sz w:val="22"/>
          <w:szCs w:val="22"/>
          <w:b w:val="1"/>
          <w:bCs w:val="1"/>
          <w:color w:val="auto"/>
        </w:rPr>
        <w:t>Credit Suisse</w:t>
      </w:r>
    </w:p>
    <w:p>
      <w:pPr>
        <w:spacing w:after="0" w:line="28" w:lineRule="exact"/>
        <w:rPr>
          <w:sz w:val="24"/>
          <w:szCs w:val="24"/>
          <w:color w:val="auto"/>
        </w:rPr>
      </w:pPr>
    </w:p>
    <w:p>
      <w:pPr>
        <w:jc w:val="center"/>
        <w:ind w:right="560"/>
        <w:spacing w:after="0"/>
        <w:rPr>
          <w:sz w:val="20"/>
          <w:szCs w:val="20"/>
          <w:color w:val="auto"/>
        </w:rPr>
      </w:pPr>
      <w:r>
        <w:rPr>
          <w:rFonts w:ascii="Arial" w:cs="Arial" w:eastAsia="Arial" w:hAnsi="Arial"/>
          <w:sz w:val="19"/>
          <w:szCs w:val="19"/>
          <w:b w:val="1"/>
          <w:bCs w:val="1"/>
          <w:color w:val="auto"/>
        </w:rPr>
        <w:t>Wells Fargo Securities</w:t>
      </w:r>
    </w:p>
    <w:p>
      <w:pPr>
        <w:spacing w:after="0" w:line="64" w:lineRule="exact"/>
        <w:rPr>
          <w:sz w:val="24"/>
          <w:szCs w:val="24"/>
          <w:color w:val="auto"/>
        </w:rPr>
      </w:pPr>
    </w:p>
    <w:p>
      <w:pPr>
        <w:sectPr>
          <w:pgSz w:w="11900" w:h="16838" w:orient="portrait"/>
          <w:cols w:equalWidth="0" w:num="3">
            <w:col w:w="3600" w:space="720"/>
            <w:col w:w="2580" w:space="720"/>
            <w:col w:w="2620"/>
          </w:cols>
          <w:pgMar w:left="240" w:top="239" w:right="1419" w:bottom="1440" w:gutter="0" w:footer="0" w:header="0"/>
          <w:type w:val="continuous"/>
        </w:sectPr>
      </w:pPr>
    </w:p>
    <w:p>
      <w:pPr>
        <w:ind w:left="2540"/>
        <w:spacing w:after="0"/>
        <w:rPr>
          <w:sz w:val="20"/>
          <w:szCs w:val="20"/>
          <w:color w:val="auto"/>
        </w:rPr>
      </w:pPr>
      <w:r>
        <w:rPr>
          <w:rFonts w:ascii="Arial" w:cs="Arial" w:eastAsia="Arial" w:hAnsi="Arial"/>
          <w:sz w:val="16"/>
          <w:szCs w:val="16"/>
          <w:b w:val="1"/>
          <w:bCs w:val="1"/>
          <w:color w:val="auto"/>
        </w:rPr>
        <w:t>Jefferies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Sandler O’Neill + Partners, L.P.</w:t>
      </w:r>
    </w:p>
    <w:p>
      <w:pPr>
        <w:spacing w:after="0" w:line="162" w:lineRule="exact"/>
        <w:rPr>
          <w:sz w:val="24"/>
          <w:szCs w:val="24"/>
          <w:color w:val="auto"/>
        </w:rPr>
      </w:pPr>
    </w:p>
    <w:p>
      <w:pPr>
        <w:sectPr>
          <w:pgSz w:w="11900" w:h="16838" w:orient="portrait"/>
          <w:cols w:equalWidth="0" w:num="2">
            <w:col w:w="5900" w:space="720"/>
            <w:col w:w="3620"/>
          </w:cols>
          <w:pgMar w:left="240" w:top="239" w:right="1419" w:bottom="1440" w:gutter="0" w:footer="0" w:header="0"/>
          <w:type w:val="continuous"/>
        </w:sectPr>
      </w:pPr>
    </w:p>
    <w:p>
      <w:pPr>
        <w:ind w:left="3940"/>
        <w:spacing w:after="0"/>
        <w:rPr>
          <w:sz w:val="20"/>
          <w:szCs w:val="20"/>
          <w:color w:val="auto"/>
        </w:rPr>
      </w:pPr>
      <w:r>
        <w:rPr>
          <w:rFonts w:ascii="Arial" w:cs="Arial" w:eastAsia="Arial" w:hAnsi="Arial"/>
          <w:sz w:val="14"/>
          <w:szCs w:val="14"/>
          <w:color w:val="auto"/>
        </w:rPr>
        <w:t>The date of this prospectus is April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68345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0"/>
        </w:trPr>
        <w:tc>
          <w:tcPr>
            <w:tcW w:w="2660" w:type="dxa"/>
            <w:vAlign w:val="bottom"/>
            <w:gridSpan w:val="13"/>
            <w:shd w:val="clear" w:color="auto" w:fill="CCEEFF"/>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MARKET AND INDUSTRY DATA</w:t>
              </w:r>
            </w:hyperlink>
          </w:p>
        </w:tc>
        <w:tc>
          <w:tcPr>
            <w:tcW w:w="5020" w:type="dxa"/>
            <w:vAlign w:val="bottom"/>
            <w:gridSpan w:val="17"/>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3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CERTAIN TRADEMARKS, TRADE NAMES AND SERVICE MARKS</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14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80" w:type="dxa"/>
            <w:vAlign w:val="bottom"/>
            <w:gridSpan w:val="30"/>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BASIS OF PRESENTATION</w:t>
              </w:r>
            </w:hyperlink>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USE OF NON-GAAP FINANCIAL MEASURES</w:t>
              </w:r>
            </w:hyperlink>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jc w:val="right"/>
              <w:ind w:right="140"/>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v</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100" w:type="dxa"/>
            <w:vAlign w:val="bottom"/>
            <w:gridSpan w:val="9"/>
            <w:shd w:val="clear" w:color="auto" w:fill="CCEEFF"/>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PROSPECTUS SUMMARY</w:t>
              </w:r>
            </w:hyperlink>
          </w:p>
        </w:tc>
        <w:tc>
          <w:tcPr>
            <w:tcW w:w="5580" w:type="dxa"/>
            <w:vAlign w:val="bottom"/>
            <w:gridSpan w:val="21"/>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0">
              <w:r>
                <w:rPr>
                  <w:rFonts w:ascii="Arial" w:cs="Arial" w:eastAsia="Arial" w:hAnsi="Arial"/>
                  <w:sz w:val="18"/>
                  <w:szCs w:val="18"/>
                  <w:color w:val="0000EE"/>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10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580" w:type="dxa"/>
            <w:vAlign w:val="bottom"/>
            <w:gridSpan w:val="21"/>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38">
              <w:r>
                <w:rPr>
                  <w:rFonts w:ascii="Arial" w:cs="Arial" w:eastAsia="Arial" w:hAnsi="Arial"/>
                  <w:sz w:val="18"/>
                  <w:szCs w:val="18"/>
                  <w:color w:val="0000EE"/>
                </w:rPr>
                <w:t>29</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00" w:type="dxa"/>
            <w:vAlign w:val="bottom"/>
            <w:gridSpan w:val="24"/>
            <w:shd w:val="clear" w:color="auto" w:fill="CCEEFF"/>
          </w:tcPr>
          <w:p>
            <w:pPr>
              <w:spacing w:after="0"/>
              <w:rPr>
                <w:rFonts w:ascii="Arial" w:cs="Arial" w:eastAsia="Arial" w:hAnsi="Arial"/>
                <w:sz w:val="18"/>
                <w:szCs w:val="18"/>
                <w:color w:val="0000EE"/>
                <w:w w:val="96"/>
              </w:rPr>
            </w:pPr>
            <w:hyperlink w:anchor="page73">
              <w:r>
                <w:rPr>
                  <w:rFonts w:ascii="Arial" w:cs="Arial" w:eastAsia="Arial" w:hAnsi="Arial"/>
                  <w:sz w:val="18"/>
                  <w:szCs w:val="18"/>
                  <w:color w:val="0000EE"/>
                  <w:w w:val="96"/>
                </w:rPr>
                <w:t>CAUTIONARY NOTE REGARDING FORWARD-LOOKING STATEMENTS</w:t>
              </w:r>
            </w:hyperlink>
          </w:p>
        </w:tc>
        <w:tc>
          <w:tcPr>
            <w:tcW w:w="1880" w:type="dxa"/>
            <w:vAlign w:val="bottom"/>
            <w:gridSpan w:val="6"/>
            <w:shd w:val="clear" w:color="auto" w:fill="CCEEFF"/>
          </w:tcPr>
          <w:p>
            <w:pPr>
              <w:spacing w:after="0"/>
              <w:rPr>
                <w:sz w:val="19"/>
                <w:szCs w:val="19"/>
                <w:color w:val="auto"/>
              </w:rPr>
            </w:pPr>
          </w:p>
        </w:tc>
        <w:tc>
          <w:tcPr>
            <w:tcW w:w="220" w:type="dxa"/>
            <w:vAlign w:val="bottom"/>
            <w:tcBorders>
              <w:right w:val="single" w:sz="8" w:color="CCEEFF"/>
            </w:tcBorders>
            <w:gridSpan w:val="2"/>
            <w:shd w:val="clear" w:color="auto" w:fill="CCEEFF"/>
          </w:tcPr>
          <w:p>
            <w:pPr>
              <w:spacing w:after="0"/>
              <w:rPr>
                <w:sz w:val="19"/>
                <w:szCs w:val="19"/>
                <w:color w:val="auto"/>
              </w:rPr>
            </w:pPr>
          </w:p>
        </w:tc>
        <w:tc>
          <w:tcPr>
            <w:tcW w:w="320" w:type="dxa"/>
            <w:vAlign w:val="bottom"/>
            <w:gridSpan w:val="4"/>
            <w:shd w:val="clear" w:color="auto" w:fill="CCEEFF"/>
          </w:tcPr>
          <w:p>
            <w:pPr>
              <w:jc w:val="right"/>
              <w:ind w:right="14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00" w:type="dxa"/>
            <w:vAlign w:val="bottom"/>
            <w:gridSpan w:val="2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THE REORGANIZATION TRANSACTIONS</w:t>
              </w:r>
            </w:hyperlink>
          </w:p>
        </w:tc>
        <w:tc>
          <w:tcPr>
            <w:tcW w:w="1880" w:type="dxa"/>
            <w:vAlign w:val="bottom"/>
            <w:gridSpan w:val="6"/>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USE OF PROCEEDS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0">
              <w:r>
                <w:rPr>
                  <w:rFonts w:ascii="Arial" w:cs="Arial" w:eastAsia="Arial" w:hAnsi="Arial"/>
                  <w:sz w:val="18"/>
                  <w:szCs w:val="18"/>
                  <w:color w:val="0000EE"/>
                </w:rPr>
                <w:t>71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DIVIDEND POLICY</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81">
              <w:r>
                <w:rPr>
                  <w:rFonts w:ascii="Arial" w:cs="Arial" w:eastAsia="Arial" w:hAnsi="Arial"/>
                  <w:sz w:val="18"/>
                  <w:szCs w:val="18"/>
                  <w:color w:val="0000EE"/>
                </w:rPr>
                <w:t>72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CAPITALIZATION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2">
              <w:r>
                <w:rPr>
                  <w:rFonts w:ascii="Arial" w:cs="Arial" w:eastAsia="Arial" w:hAnsi="Arial"/>
                  <w:sz w:val="18"/>
                  <w:szCs w:val="18"/>
                  <w:color w:val="0000EE"/>
                </w:rPr>
                <w:t>73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460" w:type="dxa"/>
            <w:vAlign w:val="bottom"/>
            <w:gridSpan w:val="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DILUTION</w:t>
              </w:r>
            </w:hyperlink>
          </w:p>
        </w:tc>
        <w:tc>
          <w:tcPr>
            <w:tcW w:w="6220" w:type="dxa"/>
            <w:vAlign w:val="bottom"/>
            <w:gridSpan w:val="24"/>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75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SELECTED HISTORICAL CONSOLIDATED FINANCIAL AND OTHER DATA</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6">
              <w:r>
                <w:rPr>
                  <w:rFonts w:ascii="Arial" w:cs="Arial" w:eastAsia="Arial" w:hAnsi="Arial"/>
                  <w:sz w:val="18"/>
                  <w:szCs w:val="18"/>
                  <w:color w:val="0000EE"/>
                </w:rPr>
                <w:t>77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040" w:type="dxa"/>
            <w:vAlign w:val="bottom"/>
            <w:gridSpan w:val="2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UNAUDITED PRO FORMA CONSOLIDATED FINANCIAL INFORMATION</w:t>
              </w:r>
            </w:hyperlink>
          </w:p>
        </w:tc>
        <w:tc>
          <w:tcPr>
            <w:tcW w:w="1640" w:type="dxa"/>
            <w:vAlign w:val="bottom"/>
            <w:gridSpan w:val="3"/>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83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670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8"/>
              </w:rPr>
            </w:pPr>
            <w:hyperlink w:anchor="page102">
              <w:r>
                <w:rPr>
                  <w:rFonts w:ascii="Arial" w:cs="Arial" w:eastAsia="Arial" w:hAnsi="Arial"/>
                  <w:sz w:val="18"/>
                  <w:szCs w:val="18"/>
                  <w:color w:val="0000EE"/>
                  <w:w w:val="98"/>
                </w:rPr>
                <w:t>MANAGEMENT’S DISCUSSION AND ANALYSIS OF FINANCIAL CONDITION AND</w:t>
              </w:r>
            </w:hyperlink>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2200" w:type="dxa"/>
            <w:vAlign w:val="bottom"/>
            <w:gridSpan w:val="10"/>
            <w:shd w:val="clear" w:color="auto" w:fill="CCEEFF"/>
          </w:tcPr>
          <w:p>
            <w:pPr>
              <w:spacing w:after="0" w:line="19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RESULTS OF OPERATIONS</w:t>
              </w:r>
            </w:hyperlink>
          </w:p>
        </w:tc>
        <w:tc>
          <w:tcPr>
            <w:tcW w:w="5300" w:type="dxa"/>
            <w:vAlign w:val="bottom"/>
            <w:gridSpan w:val="19"/>
            <w:shd w:val="clear" w:color="auto" w:fill="CCEEFF"/>
          </w:tcPr>
          <w:p>
            <w:pPr>
              <w:spacing w:after="0"/>
              <w:rPr>
                <w:sz w:val="17"/>
                <w:szCs w:val="17"/>
                <w:color w:val="auto"/>
              </w:rPr>
            </w:pPr>
          </w:p>
        </w:tc>
        <w:tc>
          <w:tcPr>
            <w:tcW w:w="220" w:type="dxa"/>
            <w:vAlign w:val="bottom"/>
            <w:tcBorders>
              <w:right w:val="single" w:sz="8" w:color="CCEEFF"/>
            </w:tcBorders>
            <w:gridSpan w:val="2"/>
            <w:shd w:val="clear" w:color="auto" w:fill="CCEEFF"/>
          </w:tcPr>
          <w:p>
            <w:pPr>
              <w:spacing w:after="0"/>
              <w:rPr>
                <w:sz w:val="17"/>
                <w:szCs w:val="17"/>
                <w:color w:val="auto"/>
              </w:rPr>
            </w:pPr>
          </w:p>
        </w:tc>
        <w:tc>
          <w:tcPr>
            <w:tcW w:w="320" w:type="dxa"/>
            <w:vAlign w:val="bottom"/>
            <w:gridSpan w:val="4"/>
            <w:shd w:val="clear" w:color="auto" w:fill="CCEEFF"/>
          </w:tcPr>
          <w:p>
            <w:pPr>
              <w:jc w:val="right"/>
              <w:ind w:right="140"/>
              <w:spacing w:after="0" w:line="196"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93</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BUSINESS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36">
              <w:r>
                <w:rPr>
                  <w:rFonts w:ascii="Arial" w:cs="Arial" w:eastAsia="Arial" w:hAnsi="Arial"/>
                  <w:sz w:val="18"/>
                  <w:szCs w:val="18"/>
                  <w:color w:val="0000EE"/>
                </w:rPr>
                <w:t>127</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MANAGEMENT</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58">
              <w:r>
                <w:rPr>
                  <w:rFonts w:ascii="Arial" w:cs="Arial" w:eastAsia="Arial" w:hAnsi="Arial"/>
                  <w:sz w:val="18"/>
                  <w:szCs w:val="18"/>
                  <w:color w:val="0000EE"/>
                </w:rPr>
                <w:t>149</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EXECUTIVE COMPENSATION</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64">
              <w:r>
                <w:rPr>
                  <w:rFonts w:ascii="Arial" w:cs="Arial" w:eastAsia="Arial" w:hAnsi="Arial"/>
                  <w:sz w:val="18"/>
                  <w:szCs w:val="18"/>
                  <w:color w:val="0000EE"/>
                </w:rPr>
                <w:t>155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PRINCIPAL STOCKHOLDERS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81">
              <w:r>
                <w:rPr>
                  <w:rFonts w:ascii="Arial" w:cs="Arial" w:eastAsia="Arial" w:hAnsi="Arial"/>
                  <w:sz w:val="18"/>
                  <w:szCs w:val="18"/>
                  <w:color w:val="0000EE"/>
                </w:rPr>
                <w:t>172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CERTAIN RELATIONSHIPS AND RELATED PARTY TRANSACTIONS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84">
              <w:r>
                <w:rPr>
                  <w:rFonts w:ascii="Arial" w:cs="Arial" w:eastAsia="Arial" w:hAnsi="Arial"/>
                  <w:sz w:val="18"/>
                  <w:szCs w:val="18"/>
                  <w:color w:val="0000EE"/>
                </w:rPr>
                <w:t>175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880" w:type="dxa"/>
            <w:vAlign w:val="bottom"/>
            <w:gridSpan w:val="14"/>
            <w:shd w:val="clear" w:color="auto" w:fill="CCEEFF"/>
          </w:tcPr>
          <w:p>
            <w:pPr>
              <w:spacing w:after="0"/>
              <w:rPr>
                <w:rFonts w:ascii="Arial" w:cs="Arial" w:eastAsia="Arial" w:hAnsi="Arial"/>
                <w:sz w:val="18"/>
                <w:szCs w:val="18"/>
                <w:color w:val="0000EE"/>
                <w:w w:val="95"/>
              </w:rPr>
            </w:pPr>
            <w:hyperlink w:anchor="page194">
              <w:r>
                <w:rPr>
                  <w:rFonts w:ascii="Arial" w:cs="Arial" w:eastAsia="Arial" w:hAnsi="Arial"/>
                  <w:sz w:val="18"/>
                  <w:szCs w:val="18"/>
                  <w:color w:val="0000EE"/>
                  <w:w w:val="95"/>
                </w:rPr>
                <w:t>DESCRIPTION OF CAPITAL STOCK</w:t>
              </w:r>
            </w:hyperlink>
          </w:p>
        </w:tc>
        <w:tc>
          <w:tcPr>
            <w:tcW w:w="4800" w:type="dxa"/>
            <w:vAlign w:val="bottom"/>
            <w:gridSpan w:val="16"/>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94">
              <w:r>
                <w:rPr>
                  <w:rFonts w:ascii="Arial" w:cs="Arial" w:eastAsia="Arial" w:hAnsi="Arial"/>
                  <w:sz w:val="18"/>
                  <w:szCs w:val="18"/>
                  <w:color w:val="0000EE"/>
                </w:rPr>
                <w:t>185</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DESCRIPTION OF CERTAIN INDEBTEDNESS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204">
              <w:r>
                <w:rPr>
                  <w:rFonts w:ascii="Arial" w:cs="Arial" w:eastAsia="Arial" w:hAnsi="Arial"/>
                  <w:sz w:val="18"/>
                  <w:szCs w:val="18"/>
                  <w:color w:val="0000EE"/>
                </w:rPr>
                <w:t>195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SHARES ELIGIBLE FOR FUTURE SALE</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05">
              <w:r>
                <w:rPr>
                  <w:rFonts w:ascii="Arial" w:cs="Arial" w:eastAsia="Arial" w:hAnsi="Arial"/>
                  <w:sz w:val="18"/>
                  <w:szCs w:val="18"/>
                  <w:color w:val="0000EE"/>
                </w:rPr>
                <w:t>196</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30"/>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MATERIAL U.S. FEDERAL TAX CONSIDERATIONS FOR NON-U.S. HOLDERS OF OUR</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6900" w:type="dxa"/>
            <w:vAlign w:val="bottom"/>
            <w:tcBorders>
              <w:top w:val="single" w:sz="8" w:color="0000EE"/>
            </w:tcBorders>
            <w:gridSpan w:val="29"/>
          </w:tcPr>
          <w:p>
            <w:pPr>
              <w:ind w:left="18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COMMON STOCK</w:t>
              </w:r>
            </w:hyperlink>
          </w:p>
        </w:tc>
        <w:tc>
          <w:tcPr>
            <w:tcW w:w="780" w:type="dxa"/>
            <w:vAlign w:val="bottom"/>
          </w:tcPr>
          <w:p>
            <w:pPr>
              <w:spacing w:after="0"/>
              <w:rPr>
                <w:sz w:val="17"/>
                <w:szCs w:val="17"/>
                <w:color w:val="auto"/>
              </w:rPr>
            </w:pPr>
          </w:p>
        </w:tc>
        <w:tc>
          <w:tcPr>
            <w:tcW w:w="540" w:type="dxa"/>
            <w:vAlign w:val="bottom"/>
            <w:gridSpan w:val="6"/>
          </w:tcPr>
          <w:p>
            <w:pPr>
              <w:jc w:val="right"/>
              <w:ind w:right="14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199</w:t>
              </w:r>
            </w:hyperlink>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3720" w:type="dxa"/>
            <w:vAlign w:val="bottom"/>
            <w:gridSpan w:val="20"/>
            <w:shd w:val="clear" w:color="auto" w:fill="CCEEFF"/>
          </w:tcPr>
          <w:p>
            <w:pPr>
              <w:spacing w:after="0"/>
              <w:rPr>
                <w:rFonts w:ascii="Arial" w:cs="Arial" w:eastAsia="Arial" w:hAnsi="Arial"/>
                <w:sz w:val="18"/>
                <w:szCs w:val="18"/>
                <w:color w:val="0000EE"/>
                <w:w w:val="96"/>
              </w:rPr>
            </w:pPr>
            <w:hyperlink w:anchor="page212">
              <w:r>
                <w:rPr>
                  <w:rFonts w:ascii="Arial" w:cs="Arial" w:eastAsia="Arial" w:hAnsi="Arial"/>
                  <w:sz w:val="18"/>
                  <w:szCs w:val="18"/>
                  <w:color w:val="0000EE"/>
                  <w:w w:val="96"/>
                </w:rPr>
                <w:t>UNDERWRITING (CONFLICTS OF INTEREST)</w:t>
              </w:r>
            </w:hyperlink>
          </w:p>
        </w:tc>
        <w:tc>
          <w:tcPr>
            <w:tcW w:w="3960" w:type="dxa"/>
            <w:vAlign w:val="bottom"/>
            <w:gridSpan w:val="10"/>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12">
              <w:r>
                <w:rPr>
                  <w:rFonts w:ascii="Arial" w:cs="Arial" w:eastAsia="Arial" w:hAnsi="Arial"/>
                  <w:sz w:val="18"/>
                  <w:szCs w:val="18"/>
                  <w:color w:val="0000EE"/>
                </w:rPr>
                <w:t>203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720" w:type="dxa"/>
            <w:vAlign w:val="bottom"/>
            <w:gridSpan w:val="20"/>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LEGAL MATTERS</w:t>
              </w:r>
            </w:hyperlink>
          </w:p>
        </w:tc>
        <w:tc>
          <w:tcPr>
            <w:tcW w:w="3960" w:type="dxa"/>
            <w:vAlign w:val="bottom"/>
            <w:gridSpan w:val="10"/>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5"/>
          </w:tcPr>
          <w:p>
            <w:pPr>
              <w:jc w:val="right"/>
              <w:ind w:right="140"/>
              <w:spacing w:after="0"/>
              <w:rPr>
                <w:rFonts w:ascii="Arial" w:cs="Arial" w:eastAsia="Arial" w:hAnsi="Arial"/>
                <w:sz w:val="18"/>
                <w:szCs w:val="18"/>
                <w:color w:val="0000EE"/>
                <w:w w:val="79"/>
              </w:rPr>
            </w:pPr>
            <w:hyperlink w:anchor="page220">
              <w:r>
                <w:rPr>
                  <w:rFonts w:ascii="Arial" w:cs="Arial" w:eastAsia="Arial" w:hAnsi="Arial"/>
                  <w:sz w:val="18"/>
                  <w:szCs w:val="18"/>
                  <w:color w:val="0000EE"/>
                  <w:w w:val="79"/>
                </w:rPr>
                <w:t>211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40" w:type="dxa"/>
            <w:vAlign w:val="bottom"/>
            <w:gridSpan w:val="25"/>
            <w:shd w:val="clear" w:color="auto" w:fill="CCEEFF"/>
          </w:tcPr>
          <w:p>
            <w:pPr>
              <w:spacing w:after="0"/>
              <w:rPr>
                <w:rFonts w:ascii="Arial" w:cs="Arial" w:eastAsia="Arial" w:hAnsi="Arial"/>
                <w:sz w:val="18"/>
                <w:szCs w:val="18"/>
                <w:color w:val="0000EE"/>
                <w:w w:val="96"/>
              </w:rPr>
            </w:pPr>
            <w:hyperlink w:anchor="page220">
              <w:r>
                <w:rPr>
                  <w:rFonts w:ascii="Arial" w:cs="Arial" w:eastAsia="Arial" w:hAnsi="Arial"/>
                  <w:sz w:val="18"/>
                  <w:szCs w:val="18"/>
                  <w:color w:val="0000EE"/>
                  <w:w w:val="96"/>
                </w:rPr>
                <w:t>CHANGE IN INDEPENDENT REGISTERED PUBLIC ACCOUNTING FIRM</w:t>
              </w:r>
            </w:hyperlink>
          </w:p>
        </w:tc>
        <w:tc>
          <w:tcPr>
            <w:tcW w:w="1840" w:type="dxa"/>
            <w:vAlign w:val="bottom"/>
            <w:gridSpan w:val="5"/>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gridSpan w:val="5"/>
            <w:shd w:val="clear" w:color="auto" w:fill="CCEEFF"/>
          </w:tcPr>
          <w:p>
            <w:pPr>
              <w:jc w:val="right"/>
              <w:ind w:right="140"/>
              <w:spacing w:after="0"/>
              <w:rPr>
                <w:rFonts w:ascii="Arial" w:cs="Arial" w:eastAsia="Arial" w:hAnsi="Arial"/>
                <w:sz w:val="18"/>
                <w:szCs w:val="18"/>
                <w:color w:val="0000EE"/>
                <w:w w:val="79"/>
              </w:rPr>
            </w:pPr>
            <w:hyperlink w:anchor="page220">
              <w:r>
                <w:rPr>
                  <w:rFonts w:ascii="Arial" w:cs="Arial" w:eastAsia="Arial" w:hAnsi="Arial"/>
                  <w:sz w:val="18"/>
                  <w:szCs w:val="18"/>
                  <w:color w:val="0000EE"/>
                  <w:w w:val="79"/>
                </w:rPr>
                <w:t>211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40" w:type="dxa"/>
            <w:vAlign w:val="bottom"/>
            <w:gridSpan w:val="25"/>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EXPERTS</w:t>
              </w:r>
            </w:hyperlink>
          </w:p>
        </w:tc>
        <w:tc>
          <w:tcPr>
            <w:tcW w:w="1840" w:type="dxa"/>
            <w:vAlign w:val="bottom"/>
            <w:gridSpan w:val="5"/>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5"/>
          </w:tcPr>
          <w:p>
            <w:pPr>
              <w:jc w:val="right"/>
              <w:ind w:right="140"/>
              <w:spacing w:after="0"/>
              <w:rPr>
                <w:rFonts w:ascii="Arial" w:cs="Arial" w:eastAsia="Arial" w:hAnsi="Arial"/>
                <w:sz w:val="18"/>
                <w:szCs w:val="18"/>
                <w:color w:val="0000EE"/>
                <w:w w:val="79"/>
              </w:rPr>
            </w:pPr>
            <w:hyperlink w:anchor="page220">
              <w:r>
                <w:rPr>
                  <w:rFonts w:ascii="Arial" w:cs="Arial" w:eastAsia="Arial" w:hAnsi="Arial"/>
                  <w:sz w:val="18"/>
                  <w:szCs w:val="18"/>
                  <w:color w:val="0000EE"/>
                  <w:w w:val="79"/>
                </w:rPr>
                <w:t>211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WHERE YOU CAN FIND MORE INFORMATION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22">
              <w:r>
                <w:rPr>
                  <w:rFonts w:ascii="Arial" w:cs="Arial" w:eastAsia="Arial" w:hAnsi="Arial"/>
                  <w:sz w:val="18"/>
                  <w:szCs w:val="18"/>
                  <w:color w:val="0000EE"/>
                </w:rPr>
                <w:t>213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820" w:type="dxa"/>
            <w:vAlign w:val="bottom"/>
            <w:gridSpan w:val="21"/>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INDEX TO FINANCIAL STATEMENTS</w:t>
              </w:r>
            </w:hyperlink>
          </w:p>
        </w:tc>
        <w:tc>
          <w:tcPr>
            <w:tcW w:w="3860" w:type="dxa"/>
            <w:vAlign w:val="bottom"/>
            <w:gridSpan w:val="9"/>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5"/>
                <w:szCs w:val="15"/>
                <w:color w:val="0000EE"/>
                <w:w w:val="70"/>
              </w:rPr>
            </w:pPr>
            <w:hyperlink w:anchor="page223">
              <w:r>
                <w:rPr>
                  <w:rFonts w:ascii="Arial" w:cs="Arial" w:eastAsia="Arial" w:hAnsi="Arial"/>
                  <w:sz w:val="15"/>
                  <w:szCs w:val="15"/>
                  <w:color w:val="0000EE"/>
                  <w:w w:val="70"/>
                </w:rPr>
                <w:t>F-1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-5384800</wp:posOffset>
            </wp:positionV>
            <wp:extent cx="48710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76"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any information other than that included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8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61"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Neither we nor the underwriters can guarantee the accuracy or completeness of this information, and neither we nor the underwriters have independently verified any third-party information and data from our internal research has not been verified by any independent source.</w:t>
      </w:r>
    </w:p>
    <w:p>
      <w:pPr>
        <w:spacing w:after="0" w:line="15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8"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 xml:space="preserve">This prospectus includes trademarks and service marks owned by us.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or </w:t>
      </w:r>
      <w:r>
        <w:rPr>
          <w:rFonts w:ascii="Arial" w:cs="Arial" w:eastAsia="Arial" w:hAnsi="Arial"/>
          <w:sz w:val="27"/>
          <w:szCs w:val="27"/>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“Reorganization Transactions.” See “The Reorganization Transactions” for a description of the Reorganization Transactions and a diagram depicting our organizational structure after giving effect to the Reorganization Transactions, including this offering and the application of the net proceeds therefrom as described in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31" w:lineRule="exact"/>
        <w:rPr>
          <w:sz w:val="20"/>
          <w:szCs w:val="20"/>
          <w:color w:val="auto"/>
        </w:rPr>
      </w:pPr>
    </w:p>
    <w:p>
      <w:pPr>
        <w:ind w:left="1980" w:right="779" w:hanging="352"/>
        <w:spacing w:after="0" w:line="293" w:lineRule="auto"/>
        <w:tabs>
          <w:tab w:leader="none" w:pos="19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“Tradeweb” </w:t>
      </w:r>
      <w:r>
        <w:rPr>
          <w:rFonts w:ascii="Arial" w:cs="Arial" w:eastAsia="Arial" w:hAnsi="Arial"/>
          <w:sz w:val="16"/>
          <w:szCs w:val="16"/>
          <w:color w:val="auto"/>
        </w:rPr>
        <w:t>and similar references refer: (i) on or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Reorganization Transactions, including this offering, to Tradeweb Markets LLC, which we refer to as “TWM LLC,” and, unless otherwise stated or the context otherwise requires, all of its subsidiaries and any predecessor entities, and (ii) following the completion of the Reorganization Transactions, including this offering, to Tradeweb Markets Inc., and, unless otherwise stated or the context otherwise requires, TWM LLC and all of its subsidiaries and any predecessor entities.</w:t>
      </w:r>
    </w:p>
    <w:p>
      <w:pPr>
        <w:spacing w:after="0" w:line="56" w:lineRule="exact"/>
        <w:rPr>
          <w:rFonts w:ascii="Arial" w:cs="Arial" w:eastAsia="Arial" w:hAnsi="Arial"/>
          <w:sz w:val="16"/>
          <w:szCs w:val="16"/>
          <w:color w:val="auto"/>
        </w:rPr>
      </w:pPr>
    </w:p>
    <w:p>
      <w:pPr>
        <w:ind w:left="1980" w:right="759" w:hanging="352"/>
        <w:spacing w:after="0" w:line="273" w:lineRule="auto"/>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“Bank Stockholders” </w:t>
      </w:r>
      <w:r>
        <w:rPr>
          <w:rFonts w:ascii="Arial" w:cs="Arial" w:eastAsia="Arial" w:hAnsi="Arial"/>
          <w:sz w:val="17"/>
          <w:szCs w:val="17"/>
          <w:color w:val="auto"/>
        </w:rPr>
        <w:t>refer collectively to entities affiliated with the following clients: Barclays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Inc., Citigroup Global Markets Inc., Credit Suisse Securities (USA) LLC, Deutsche Bank Securities Inc., Goldman Sachs &amp; Co. LLC, J.P. Morgan Securities LLC, Merrill Lynch, Pierce, Fenner &amp; Smith Incorporated (a subsidiary of Bank of America Corporation), Morgan Stanley &amp; Co. LLC, RBS Securities Inc., UBS Securities LLC and Wells Fargo Securities, LLC, which, prior to the completion of this offering, collectively hold a 46% ownership interest in Tradeweb.</w:t>
      </w:r>
    </w:p>
    <w:p>
      <w:pPr>
        <w:spacing w:after="0" w:line="83" w:lineRule="exact"/>
        <w:rPr>
          <w:rFonts w:ascii="Arial" w:cs="Arial" w:eastAsia="Arial" w:hAnsi="Arial"/>
          <w:sz w:val="17"/>
          <w:szCs w:val="17"/>
          <w:color w:val="auto"/>
        </w:rPr>
      </w:pPr>
    </w:p>
    <w:p>
      <w:pPr>
        <w:ind w:left="1980" w:hanging="352"/>
        <w:spacing w:after="0"/>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the Refinitiv LLC Owner and the Other LLC Owners.</w:t>
      </w:r>
    </w:p>
    <w:p>
      <w:pPr>
        <w:spacing w:after="0" w:line="128" w:lineRule="exact"/>
        <w:rPr>
          <w:rFonts w:ascii="Arial" w:cs="Arial" w:eastAsia="Arial" w:hAnsi="Arial"/>
          <w:sz w:val="17"/>
          <w:szCs w:val="17"/>
          <w:color w:val="auto"/>
        </w:rPr>
      </w:pPr>
    </w:p>
    <w:p>
      <w:pPr>
        <w:ind w:left="1980" w:right="1119" w:hanging="352"/>
        <w:spacing w:after="0" w:line="259"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L.P.</w:t>
      </w:r>
      <w:r>
        <w:rPr>
          <w:rFonts w:ascii="Arial" w:cs="Arial" w:eastAsia="Arial" w:hAnsi="Arial"/>
          <w:sz w:val="18"/>
          <w:szCs w:val="18"/>
          <w:i w:val="1"/>
          <w:iCs w:val="1"/>
          <w:color w:val="auto"/>
        </w:rPr>
        <w:t xml:space="preserve"> </w:t>
      </w:r>
      <w:r>
        <w:rPr>
          <w:rFonts w:ascii="Arial" w:cs="Arial" w:eastAsia="Arial" w:hAnsi="Arial"/>
          <w:sz w:val="18"/>
          <w:szCs w:val="18"/>
          <w:color w:val="auto"/>
        </w:rPr>
        <w:t>(“Blackstone”), an affiliate of Canada Pension Plan Investment Board, an affiliate of GIC Special Investments Pte. Ltd. and certain co-investors, which collectively hold indirectly a 55% ownership interest in Refinitiv (as defined below).</w:t>
      </w:r>
    </w:p>
    <w:p>
      <w:pPr>
        <w:spacing w:after="0" w:line="92" w:lineRule="exact"/>
        <w:rPr>
          <w:rFonts w:ascii="Arial" w:cs="Arial" w:eastAsia="Arial" w:hAnsi="Arial"/>
          <w:sz w:val="18"/>
          <w:szCs w:val="18"/>
          <w:color w:val="auto"/>
        </w:rPr>
      </w:pPr>
    </w:p>
    <w:p>
      <w:pPr>
        <w:ind w:left="1980" w:hanging="352"/>
        <w:spacing w:after="0"/>
        <w:tabs>
          <w:tab w:leader="none" w:pos="19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“LLC Interests” </w:t>
      </w:r>
      <w:r>
        <w:rPr>
          <w:rFonts w:ascii="Arial" w:cs="Arial" w:eastAsia="Arial" w:hAnsi="Arial"/>
          <w:sz w:val="16"/>
          <w:szCs w:val="16"/>
          <w:color w:val="auto"/>
        </w:rPr>
        <w:t>refer to the single class of newly issued common membership interests of TWM LLC.</w:t>
      </w:r>
    </w:p>
    <w:p>
      <w:pPr>
        <w:spacing w:after="0" w:line="153" w:lineRule="exact"/>
        <w:rPr>
          <w:rFonts w:ascii="Arial" w:cs="Arial" w:eastAsia="Arial" w:hAnsi="Arial"/>
          <w:sz w:val="16"/>
          <w:szCs w:val="16"/>
          <w:color w:val="auto"/>
        </w:rPr>
      </w:pPr>
    </w:p>
    <w:p>
      <w:pPr>
        <w:ind w:left="1980" w:hanging="352"/>
        <w:spacing w:after="0"/>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“Original LLC Owners” </w:t>
      </w:r>
      <w:r>
        <w:rPr>
          <w:rFonts w:ascii="Arial" w:cs="Arial" w:eastAsia="Arial" w:hAnsi="Arial"/>
          <w:sz w:val="17"/>
          <w:szCs w:val="17"/>
          <w:color w:val="auto"/>
        </w:rPr>
        <w:t>refer to the owners of TWM LLC prior to the Reorganization Transactions.</w:t>
      </w:r>
    </w:p>
    <w:p>
      <w:pPr>
        <w:spacing w:after="0" w:line="142" w:lineRule="exact"/>
        <w:rPr>
          <w:rFonts w:ascii="Arial" w:cs="Arial" w:eastAsia="Arial" w:hAnsi="Arial"/>
          <w:sz w:val="17"/>
          <w:szCs w:val="17"/>
          <w:color w:val="auto"/>
        </w:rPr>
      </w:pPr>
    </w:p>
    <w:p>
      <w:pPr>
        <w:ind w:left="1980" w:right="759" w:hanging="352"/>
        <w:spacing w:after="0" w:line="287" w:lineRule="auto"/>
        <w:tabs>
          <w:tab w:leader="none" w:pos="19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“Other LLC Owners” </w:t>
      </w:r>
      <w:r>
        <w:rPr>
          <w:rFonts w:ascii="Arial" w:cs="Arial" w:eastAsia="Arial" w:hAnsi="Arial"/>
          <w:sz w:val="16"/>
          <w:szCs w:val="16"/>
          <w:color w:val="auto"/>
        </w:rPr>
        <w:t>refer collectively to: (i) those Original LLC Owners (including the Bank</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certain of our executive officers and excluding the Refinitiv LLC Owner) that will continue to own LLC Interests after the completion of the Reorganization Transactions, including this offering, who will receive shares of our Class C common stock, shares of our Class D common stock or a combination of both, as the case may be, in connection with the completion of the Reorganization Transactions, and who may, following the completion of this offering, redeem or exchange their LLC Interests for shares of our Class A common stock or Class B common stock as described in “Certain Relationships and Related Party Transactions — Related Party Transactions Entered Into in Connection With This Transaction — TWM LLC Agreement” and (ii) with respect to the Tax Receivable Agreement (as defined in “Prospectus Summary — Summary of the Reorganization Transactions”), Original LLC Owners who dispose of LLC Interests for cash in connection with this offering.</w:t>
      </w:r>
    </w:p>
    <w:p>
      <w:pPr>
        <w:spacing w:after="0" w:line="64" w:lineRule="exact"/>
        <w:rPr>
          <w:rFonts w:ascii="Arial" w:cs="Arial" w:eastAsia="Arial" w:hAnsi="Arial"/>
          <w:sz w:val="16"/>
          <w:szCs w:val="16"/>
          <w:color w:val="auto"/>
        </w:rPr>
      </w:pPr>
    </w:p>
    <w:p>
      <w:pPr>
        <w:ind w:left="1980" w:right="799" w:hanging="352"/>
        <w:spacing w:after="0" w:line="279" w:lineRule="auto"/>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“Refinitiv” </w:t>
      </w:r>
      <w:r>
        <w:rPr>
          <w:rFonts w:ascii="Arial" w:cs="Arial" w:eastAsia="Arial" w:hAnsi="Arial"/>
          <w:sz w:val="17"/>
          <w:szCs w:val="17"/>
          <w:color w:val="auto"/>
        </w:rPr>
        <w:t>refer to Refinitiv Holdings Ltd., and unless otherwise stated or the context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all of its subsidiaries, which owns substantially all of the former financial and risk business of Thomson Reuters (as defined below), including, prior to the completion of this offering, an indirect 54% ownership interest in Tradeweb, and is controlled by the Investor Group.</w:t>
      </w:r>
    </w:p>
    <w:p>
      <w:pPr>
        <w:spacing w:after="0" w:line="76" w:lineRule="exact"/>
        <w:rPr>
          <w:rFonts w:ascii="Arial" w:cs="Arial" w:eastAsia="Arial" w:hAnsi="Arial"/>
          <w:sz w:val="17"/>
          <w:szCs w:val="17"/>
          <w:color w:val="auto"/>
        </w:rPr>
      </w:pPr>
    </w:p>
    <w:p>
      <w:pPr>
        <w:ind w:left="1980" w:right="799" w:hanging="352"/>
        <w:spacing w:after="0" w:line="25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“Refinitiv Direct Owner</w:t>
      </w:r>
      <w:r>
        <w:rPr>
          <w:rFonts w:ascii="Arial" w:cs="Arial" w:eastAsia="Arial" w:hAnsi="Arial"/>
          <w:sz w:val="18"/>
          <w:szCs w:val="18"/>
          <w:color w:val="auto"/>
        </w:rPr>
        <w:t>” refer to an indirect subsidiary of Refinitiv that owns interests in an entity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holds membership interests of TWM LLC and will receive shares of our Class B common stock in exchange for the contribution of such entity to Tradeweb Markets Inc., which we refer to as the “Refinitiv Contribution,” in connection with the completion of the Reorganization Transactions, including this offering.</w:t>
      </w:r>
    </w:p>
    <w:p>
      <w:pPr>
        <w:spacing w:after="0" w:line="93" w:lineRule="exact"/>
        <w:rPr>
          <w:rFonts w:ascii="Arial" w:cs="Arial" w:eastAsia="Arial" w:hAnsi="Arial"/>
          <w:sz w:val="18"/>
          <w:szCs w:val="18"/>
          <w:color w:val="auto"/>
        </w:rPr>
      </w:pPr>
    </w:p>
    <w:p>
      <w:pPr>
        <w:ind w:left="1980" w:right="1019" w:hanging="352"/>
        <w:spacing w:after="0" w:line="276" w:lineRule="auto"/>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 </w:t>
      </w:r>
      <w:r>
        <w:rPr>
          <w:rFonts w:ascii="Arial" w:cs="Arial" w:eastAsia="Arial" w:hAnsi="Arial"/>
          <w:sz w:val="17"/>
          <w:szCs w:val="17"/>
          <w:color w:val="auto"/>
        </w:rPr>
        <w:t>refer to an indirect subsidiary of Refinitiv that, prior to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owns membership interests of TWM LLC and that will continue to own LLC Interests after the completion of the Reorganization Transactions, including this offering, who will receive shares of our Class D common stock in connection with the completion of the Reorganization Transactions and who may, following the completion of this offering,</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80" w:right="1119"/>
        <w:spacing w:after="0" w:line="312" w:lineRule="auto"/>
        <w:rPr>
          <w:sz w:val="20"/>
          <w:szCs w:val="20"/>
          <w:color w:val="auto"/>
        </w:rPr>
      </w:pPr>
      <w:r>
        <w:rPr>
          <w:rFonts w:ascii="Arial" w:cs="Arial" w:eastAsia="Arial" w:hAnsi="Arial"/>
          <w:sz w:val="16"/>
          <w:szCs w:val="16"/>
          <w:color w:val="auto"/>
        </w:rPr>
        <w:t>redeem or exchange its LLC Interests for shares of our Class A common stock or Class B common stock as described in “Certain Relationships and Related Party Transactions — Related Party Transactions Entered Into in Connection With This Transaction — TWM LLC Agreement.”</w:t>
      </w:r>
    </w:p>
    <w:p>
      <w:pPr>
        <w:spacing w:after="0" w:line="120" w:lineRule="exact"/>
        <w:rPr>
          <w:sz w:val="20"/>
          <w:szCs w:val="20"/>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130"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86"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Refinitiv.</w:t>
      </w:r>
    </w:p>
    <w:p>
      <w:pPr>
        <w:spacing w:after="0" w:line="89" w:lineRule="exact"/>
        <w:rPr>
          <w:rFonts w:ascii="Arial" w:cs="Arial" w:eastAsia="Arial" w:hAnsi="Arial"/>
          <w:sz w:val="18"/>
          <w:szCs w:val="18"/>
          <w:color w:val="auto"/>
        </w:rPr>
      </w:pPr>
    </w:p>
    <w:p>
      <w:pPr>
        <w:ind w:left="1980" w:right="1199" w:hanging="352"/>
        <w:spacing w:after="0" w:line="264"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Refinitiv Transaction, the Reorganization Transactions, including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the other transactions described in “Unaudited Pro Forma Consolidated Financial Information.”</w:t>
      </w:r>
    </w:p>
    <w:p>
      <w:pPr>
        <w:spacing w:after="0" w:line="73"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We will be a holding company and the sole manager of Tradeweb Markets LLC, and upon completion of this offering and the application of the net proceeds therefrom, our principal asset will be LLC Interests of Tradeweb Markets LLC. Tradeweb Markets LLC is the predecessor of the issuer, Tradeweb Markets Inc., for financial reporting purposes. Tradeweb Markets Inc. will be the audited financial reporting entity following this offering. Accordingly, this prospectus contains the following historical financial statements:</w:t>
      </w:r>
    </w:p>
    <w:p>
      <w:pPr>
        <w:spacing w:after="0" w:line="78" w:lineRule="exact"/>
        <w:rPr>
          <w:sz w:val="20"/>
          <w:szCs w:val="20"/>
          <w:color w:val="auto"/>
        </w:rPr>
      </w:pPr>
    </w:p>
    <w:p>
      <w:pPr>
        <w:ind w:left="1980" w:right="799" w:hanging="352"/>
        <w:spacing w:after="0" w:line="279"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Tradeweb Markets Inc. Other than the statement of financial condition, dated as of December 31, 2018, the historical financial information of Tradeweb Markets Inc. has not been included in this prospectus as it is a newly incorporated entity, has no business transactions or activities to date and had no assets or liabilities during the periods presented in this prospectus.</w:t>
      </w:r>
    </w:p>
    <w:p>
      <w:pPr>
        <w:spacing w:after="0" w:line="76" w:lineRule="exact"/>
        <w:rPr>
          <w:rFonts w:ascii="Arial" w:cs="Arial" w:eastAsia="Arial" w:hAnsi="Arial"/>
          <w:sz w:val="17"/>
          <w:szCs w:val="17"/>
          <w:color w:val="auto"/>
        </w:rPr>
      </w:pPr>
    </w:p>
    <w:p>
      <w:pPr>
        <w:ind w:left="1980" w:right="859" w:hanging="352"/>
        <w:spacing w:after="0" w:line="26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Tradeweb Markets LLC. As we will have no other interest in any operations other than those of Tradeweb Markets LLC and its subsidiaries, the historical consolidated financial information included in this prospectus is that of Tradeweb Markets LLC and its subsidiaries.</w:t>
      </w:r>
    </w:p>
    <w:p>
      <w:pPr>
        <w:spacing w:after="0" w:line="7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unaudited pro forma consolidated financial information of Tradeweb Markets Inc. presented in this prospectus has been derived by the application of pro forma adjustments to the historical consolidated financial statements of Tradeweb Markets LLC and its subsidiaries included elsewhere in this prospectus. These pro forma adjustments give effect to the Transactions, including this offering, as well as certain other items described therein, as if all such transactions had occurred on January 1, 2018, in the case of the unaudited pro forma consolidated statement of operations, and as of December 31, 2018, in the case of the unaudited pro forma consolidated statement of financial condition. See “Unaudited Pro Forma Consolidated Financial Information” for a complete description of the adjustments and assumptions underlying the pro forma financial information included in this prospectus.</w:t>
      </w:r>
    </w:p>
    <w:p>
      <w:pPr>
        <w:spacing w:after="0" w:line="74"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As a result of the Refinitiv Transaction, we revalued our assets and liabilities based on their fair values as of the closing date of the Refinitiv Transaction in accordance with the acquisition method of accounting. Certain financial information presented herein, including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 market for the asset or liability. In determining the fair value of the assets acquired and liabilities assumed, we considered the report of a third-party valuation expert. Our management is responsible for these internal and third-party valuations and appraisals and they are continuing to review the amounts and allocations to finalize these amounts. Although our review is substantially complete, we have one year from the closing date of the Refinitiv Transaction to finalize these amounts and are therefore continuing to review. Any final adjustments will change the allocation of purchase price, which could affect the fair value assigned to our assets and liabilities and could result in a change to certain financial information presented herein, including a change to goodwill.</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firstLine="360"/>
        <w:spacing w:after="0" w:line="302" w:lineRule="auto"/>
        <w:rPr>
          <w:sz w:val="20"/>
          <w:szCs w:val="20"/>
          <w:color w:val="auto"/>
        </w:rPr>
      </w:pPr>
      <w:r>
        <w:rPr>
          <w:rFonts w:ascii="Arial" w:cs="Arial" w:eastAsia="Arial" w:hAnsi="Arial"/>
          <w:sz w:val="16"/>
          <w:szCs w:val="16"/>
          <w:color w:val="auto"/>
        </w:rPr>
        <w:t>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w:t>
      </w:r>
    </w:p>
    <w:p>
      <w:pPr>
        <w:spacing w:after="0" w:line="46" w:lineRule="exact"/>
        <w:rPr>
          <w:sz w:val="20"/>
          <w:szCs w:val="20"/>
          <w:color w:val="auto"/>
        </w:rPr>
      </w:pPr>
    </w:p>
    <w:p>
      <w:pPr>
        <w:ind w:left="1260" w:right="839" w:firstLine="360"/>
        <w:spacing w:after="0" w:line="268" w:lineRule="auto"/>
        <w:rPr>
          <w:sz w:val="20"/>
          <w:szCs w:val="20"/>
          <w:color w:val="auto"/>
        </w:rPr>
      </w:pPr>
      <w:r>
        <w:rPr>
          <w:rFonts w:ascii="Arial" w:cs="Arial" w:eastAsia="Arial" w:hAnsi="Arial"/>
          <w:sz w:val="17"/>
          <w:szCs w:val="17"/>
          <w:color w:val="auto"/>
        </w:rPr>
        <w:t>The financial information presented in this prospectus and the audited financial statements included in this prospectus include a black line division to indicate that the Successor and Predecessor periods have applied different bases of accounting and are not comparable. Please note that our discussion of certain financial information, specifically revenues and certain expenses, represent the combined results of the Successor and Predecessor periods for the full year ended December 31, 2018. The change in basis resulting from the Refinitiv Transaction did not impact such financial information and, although this presentation of financial information on a combined basis does not comply with generally accepted accounting principles in the United States, or “GAAP,” we believe it provides a meaningful method of comparison to the other periods presented in this prospectus.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Successor and Predecessor periods presented in accordance with GAAP. See “Management’s Discussion and Analysis of Financial Condition and Results of Operations — Effect of Pushdown Accounting on our Financial Statements.”</w:t>
      </w:r>
    </w:p>
    <w:p>
      <w:pPr>
        <w:spacing w:after="0" w:line="75"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References in this prospectus to (i) “2018 Successor Period” mean the period from October 1, 2018 to December 31, 2018, (ii) “2018 Predecessor Period” mean the period from January 1, 2018 to September 30, 2018 and (iii) “combined year ended December 31, 2018” or “2018 (Combined)” represent the sum of the results of the 2018 Successor Period and the 2018 Predecessor Period.</w:t>
      </w:r>
    </w:p>
    <w:p>
      <w:pPr>
        <w:spacing w:after="0" w:line="79"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15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USE OF NON-GAAP FINANCIAL MEASURES</w:t>
      </w:r>
    </w:p>
    <w:p>
      <w:pPr>
        <w:spacing w:after="0" w:line="108"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GAAP.</w:t>
      </w:r>
    </w:p>
    <w:p>
      <w:pPr>
        <w:spacing w:after="0" w:line="62" w:lineRule="exact"/>
        <w:rPr>
          <w:sz w:val="20"/>
          <w:szCs w:val="20"/>
          <w:color w:val="auto"/>
        </w:rPr>
      </w:pPr>
    </w:p>
    <w:p>
      <w:pPr>
        <w:jc w:val="both"/>
        <w:ind w:left="1260" w:right="919" w:firstLine="360"/>
        <w:spacing w:after="0" w:line="286"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84" w:lineRule="exact"/>
        <w:rPr>
          <w:sz w:val="20"/>
          <w:szCs w:val="20"/>
          <w:color w:val="auto"/>
        </w:rPr>
      </w:pPr>
    </w:p>
    <w:p>
      <w:pPr>
        <w:ind w:left="1980" w:right="81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75"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2"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and “Adjusted Net Income” in evaluating our past results and future prospects. For the definition of Free Cash Flow and a reconciliation to cash flow from operating activities, its most directly comparable financial measure presented in accordance with GAAP, see footnote 6 to the table under the heading “Prospectus Summary — Summary Historical and Pro Forma Consolidated Financial and Other Data.” For the definitions of Adjusted EBITDA and Adjusted Net Income and reconciliations to net income, their most directly comparable financial measure presented in accordance with GAAP, see footnote 7 to the table under the heading “Prospectus Summary — Summary Historical and Pro Forma Consolidated Financial and Other Data.” Adjusted EBITDA margin is defined as Adjusted EBITDA divided by gross revenue for the applicable period.</w:t>
      </w: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39"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We present Adjusted EBITDA, Adjusted EBITDA margin and Adjusted Net Income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4"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We use Adjusted Net Income as a supplemental metric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80"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Free Cash Flow, Adjusted EBITDA and Adjusted Net Income have limitations as analytical tools, and you should not consider such measures either in isolation or as substitutes for analyzing our results as reported under GAAP. Some of these limitations include the following:</w:t>
      </w:r>
    </w:p>
    <w:p>
      <w:pPr>
        <w:spacing w:after="0" w:line="100" w:lineRule="exact"/>
        <w:rPr>
          <w:sz w:val="20"/>
          <w:szCs w:val="20"/>
          <w:color w:val="auto"/>
        </w:rPr>
      </w:pPr>
    </w:p>
    <w:p>
      <w:pPr>
        <w:ind w:left="1980" w:right="89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and Adjusted Net Income do not reflect every expenditure, future requirements for capital expenditures or contractual commitments;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and Adjusted Net Income do not reflect changes in our working capital needs;</w:t>
      </w:r>
    </w:p>
    <w:p>
      <w:pPr>
        <w:spacing w:after="0" w:line="142" w:lineRule="exact"/>
        <w:rPr>
          <w:rFonts w:ascii="Arial" w:cs="Arial" w:eastAsia="Arial" w:hAnsi="Arial"/>
          <w:sz w:val="17"/>
          <w:szCs w:val="17"/>
          <w:color w:val="auto"/>
        </w:rPr>
      </w:pPr>
    </w:p>
    <w:p>
      <w:pPr>
        <w:ind w:left="1980" w:right="79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89" w:lineRule="exact"/>
        <w:rPr>
          <w:rFonts w:ascii="Arial" w:cs="Arial" w:eastAsia="Arial" w:hAnsi="Arial"/>
          <w:sz w:val="18"/>
          <w:szCs w:val="18"/>
          <w:color w:val="auto"/>
        </w:rPr>
      </w:pPr>
    </w:p>
    <w:p>
      <w:pPr>
        <w:ind w:left="1980" w:right="899" w:hanging="352"/>
        <w:spacing w:after="0" w:line="264"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and, following the completion of the Reorganization Transactions, because the payment of taxes will be part of our operations, tax expense will be a necessary element of our costs and ability to operate;</w:t>
      </w:r>
    </w:p>
    <w:p>
      <w:pPr>
        <w:spacing w:after="0" w:line="86" w:lineRule="exact"/>
        <w:rPr>
          <w:rFonts w:ascii="Arial" w:cs="Arial" w:eastAsia="Arial" w:hAnsi="Arial"/>
          <w:sz w:val="18"/>
          <w:szCs w:val="18"/>
          <w:color w:val="auto"/>
        </w:rPr>
      </w:pPr>
    </w:p>
    <w:p>
      <w:pPr>
        <w:ind w:left="1980" w:right="1139" w:hanging="352"/>
        <w:spacing w:after="0" w:line="264"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86"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future periods, we expect Adjusted EBITDA and Adjusted Net Income will not reflect the noncash component of employee compensation;</w:t>
      </w:r>
    </w:p>
    <w:p>
      <w:pPr>
        <w:spacing w:after="0" w:line="75" w:lineRule="exact"/>
        <w:rPr>
          <w:rFonts w:ascii="Arial" w:cs="Arial" w:eastAsia="Arial" w:hAnsi="Arial"/>
          <w:sz w:val="18"/>
          <w:szCs w:val="18"/>
          <w:color w:val="auto"/>
        </w:rPr>
      </w:pPr>
    </w:p>
    <w:p>
      <w:pPr>
        <w:ind w:left="1980" w:right="879" w:hanging="352"/>
        <w:spacing w:after="0" w:line="342" w:lineRule="auto"/>
        <w:tabs>
          <w:tab w:leader="none" w:pos="1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EBITDA and Adjusted Net Income do not reflect the impact of earnings or charges resulting from matters we consider not to be indicative, on a recurring basis, of our ongoing operations; and</w:t>
      </w:r>
    </w:p>
    <w:p>
      <w:pPr>
        <w:spacing w:after="0" w:line="42" w:lineRule="exact"/>
        <w:rPr>
          <w:rFonts w:ascii="Arial" w:cs="Arial" w:eastAsia="Arial" w:hAnsi="Arial"/>
          <w:sz w:val="16"/>
          <w:szCs w:val="16"/>
          <w:color w:val="auto"/>
        </w:rPr>
      </w:pPr>
    </w:p>
    <w:p>
      <w:pPr>
        <w:ind w:left="1980" w:right="979" w:hanging="352"/>
        <w:spacing w:after="0" w:line="264"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and Adjusted Net Income or similarly titled measures differently than we do, limiting their usefulness as comparative measures.</w:t>
      </w:r>
    </w:p>
    <w:p>
      <w:pPr>
        <w:spacing w:after="0" w:line="7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and Adjusted Net Income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799" w:firstLine="360"/>
        <w:spacing w:after="0" w:line="255" w:lineRule="auto"/>
        <w:rPr>
          <w:sz w:val="20"/>
          <w:szCs w:val="20"/>
          <w:color w:val="auto"/>
        </w:rPr>
      </w:pPr>
      <w:r>
        <w:rPr>
          <w:rFonts w:ascii="Arial" w:cs="Arial" w:eastAsia="Arial" w:hAnsi="Arial"/>
          <w:sz w:val="18"/>
          <w:szCs w:val="18"/>
          <w:i w:val="1"/>
          <w:iCs w:val="1"/>
          <w:color w:val="auto"/>
        </w:rPr>
        <w:t>This summary highlights information contained in this prospectus and does not contain all of the information that you should consider in making your investment decision. Before investing in our Class A common stock, you should carefully read this entire prospectus, including our consolidated financial statements and related notes thereto included elsewhere in this prospectus and the information in “Risk Factors,” “Cautionary Note Regarding Forward-Looking Statements” and “Management’s Discussion and Analysis of Financial Condition and Results of Operations.” For a description of certain of the terms we use to describe our business in this prospectus, see “Business.”</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77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$549 billion across more than 40 products.</w:t>
      </w:r>
    </w:p>
    <w:p>
      <w:pPr>
        <w:spacing w:after="0" w:line="65" w:lineRule="exact"/>
        <w:rPr>
          <w:sz w:val="20"/>
          <w:szCs w:val="20"/>
          <w:color w:val="auto"/>
        </w:rPr>
      </w:pPr>
    </w:p>
    <w:p>
      <w:pPr>
        <w:jc w:val="both"/>
        <w:ind w:left="1280" w:right="799" w:firstLine="360"/>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76"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4" w:lineRule="exact"/>
        <w:rPr>
          <w:sz w:val="20"/>
          <w:szCs w:val="20"/>
          <w:color w:val="auto"/>
        </w:rPr>
      </w:pPr>
    </w:p>
    <w:p>
      <w:pPr>
        <w:ind w:left="1280" w:right="779" w:firstLine="360"/>
        <w:spacing w:after="0" w:line="290"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8" w:lineRule="exact"/>
        <w:rPr>
          <w:sz w:val="20"/>
          <w:szCs w:val="20"/>
          <w:color w:val="auto"/>
        </w:rPr>
      </w:pPr>
    </w:p>
    <w:p>
      <w:pPr>
        <w:ind w:left="1280" w:right="759" w:firstLine="360"/>
        <w:spacing w:after="0" w:line="286" w:lineRule="auto"/>
        <w:rPr>
          <w:sz w:val="20"/>
          <w:szCs w:val="20"/>
          <w:color w:val="auto"/>
        </w:rPr>
      </w:pPr>
      <w:r>
        <w:rPr>
          <w:rFonts w:ascii="Arial" w:cs="Arial" w:eastAsia="Arial" w:hAnsi="Arial"/>
          <w:sz w:val="16"/>
          <w:szCs w:val="16"/>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2018, we had annual compound average daily trading volume growth of 12.5% and annual compound gross revenue growth of 12.2%. Approximately 48.0% of our gross revenue for the combined year ended December 31, 2018 was fixed and generated from subscription fees and minimum volume floors. For the combined year ended December 31, 2018 and the year ended December 31, 2017, respectively, our gross revenue was $684.4 million and $563.0 million, an increase of 21.6%. For the 2018 Successor Period, the 2018 Predecessor Period and the year ended December 31, 2017, respectively, our net income was $29.3 million, $130.2 million and $83.6 million, our Adjusted EBITDA was $65.2 million, $215.0 million and $215.9 million, with an Adjusted EBITDA margin of 36.5%, 42.5% and 38.3%, and our Adjusted Net Income was $52.0 million, $175.6 million and $173.0 million. For the definitions of Adjusted EBITDA, Adjusted EBITDA margin and Adjusted Net Income and reconciliations to net income, their most directly comparable financial measure presented in accordance with GAAP, see footnote 7 in “— Summary Historical and Pro Forma Consolidated Financial and Other Data.”</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80" w:right="7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80" w:right="79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80" w:right="999" w:firstLine="360"/>
        <w:spacing w:after="0" w:line="286"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79"/>
        <w:spacing w:after="0" w:line="272" w:lineRule="auto"/>
        <w:rPr>
          <w:sz w:val="20"/>
          <w:szCs w:val="20"/>
          <w:color w:val="auto"/>
        </w:rPr>
      </w:pPr>
      <w:r>
        <w:rPr>
          <w:rFonts w:ascii="Arial" w:cs="Arial" w:eastAsia="Arial" w:hAnsi="Arial"/>
          <w:sz w:val="17"/>
          <w:szCs w:val="17"/>
          <w:color w:val="auto"/>
        </w:rPr>
        <w:t>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0" w:lineRule="exact"/>
        <w:rPr>
          <w:sz w:val="20"/>
          <w:szCs w:val="20"/>
          <w:color w:val="auto"/>
        </w:rPr>
      </w:pPr>
    </w:p>
    <w:p>
      <w:pPr>
        <w:ind w:left="1280" w:right="719" w:firstLine="360"/>
        <w:spacing w:after="0" w:line="255" w:lineRule="auto"/>
        <w:rPr>
          <w:sz w:val="20"/>
          <w:szCs w:val="20"/>
          <w:color w:val="auto"/>
        </w:rPr>
      </w:pPr>
      <w:r>
        <w:rPr>
          <w:rFonts w:ascii="Arial" w:cs="Arial" w:eastAsia="Arial" w:hAnsi="Arial"/>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money markets and equities asset classes. As a result of expanding our offerings, we have increased our opportunities in related addressable markets, where estimated average daily trading volumes have grown from approximately $0.6 trillion in 1998 to $4.0 trillion through the first nine months of 2018, according to industry sources and management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Based on industry sources and management estimates, we estimate that the global notional value outstanding for rates and credit was approximately $590 trillion as of June 2018. When combined with money markets and equities, the market size for our platforms increases to an estimated notional value of approximately $605 trillion. The markets in which we participate are actively traded, and we estimate that trading in rates, credit, ETFs and money markets generated average daily trading volumes of approximately $1.9 trillion, $0.1 trillion, $0.1 trillion and $1.9 trillion, respectively, through the first nine months of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87" w:lineRule="exact"/>
        <w:rPr>
          <w:sz w:val="20"/>
          <w:szCs w:val="20"/>
          <w:color w:val="auto"/>
        </w:rPr>
      </w:pPr>
    </w:p>
    <w:p>
      <w:pPr>
        <w:ind w:left="1280" w:right="799" w:firstLine="360"/>
        <w:spacing w:after="0" w:line="276"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spacing w:after="0" w:line="270" w:lineRule="auto"/>
        <w:rPr>
          <w:sz w:val="20"/>
          <w:szCs w:val="20"/>
          <w:color w:val="auto"/>
        </w:rPr>
      </w:pPr>
      <w:r>
        <w:rPr>
          <w:rFonts w:ascii="Arial" w:cs="Arial" w:eastAsia="Arial" w:hAnsi="Arial"/>
          <w:sz w:val="17"/>
          <w:szCs w:val="17"/>
          <w:color w:val="auto"/>
        </w:rPr>
        <w:t>bond and Chinese bond markets have grown annually at 5% and 21%, respectively, over the last decade, according to SIFMA and BIS. The U.S. and European ETF markets have each grown annually at nearly 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70" w:lineRule="exact"/>
        <w:rPr>
          <w:sz w:val="20"/>
          <w:szCs w:val="20"/>
          <w:color w:val="auto"/>
        </w:rPr>
      </w:pPr>
    </w:p>
    <w:p>
      <w:pPr>
        <w:ind w:left="1280" w:right="739" w:firstLine="360"/>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 throughout the global 24-hour trading day as market participants have become increasingly global and comprehensive, trading across multiple geographies, asset classes and currencies.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80" w:right="79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80" w:right="79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5" w:lineRule="exact"/>
        <w:rPr>
          <w:sz w:val="20"/>
          <w:szCs w:val="20"/>
          <w:color w:val="auto"/>
        </w:rPr>
      </w:pPr>
    </w:p>
    <w:p>
      <w:pPr>
        <w:ind w:left="1280" w:right="839" w:firstLine="360"/>
        <w:spacing w:after="0" w:line="287"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80" w:right="779" w:firstLine="360"/>
        <w:spacing w:after="0" w:line="273"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spacing w:after="0" w:line="279" w:lineRule="auto"/>
        <w:rPr>
          <w:sz w:val="20"/>
          <w:szCs w:val="20"/>
          <w:color w:val="auto"/>
        </w:rPr>
      </w:pPr>
      <w:r>
        <w:rPr>
          <w:rFonts w:ascii="Arial" w:cs="Arial" w:eastAsia="Arial" w:hAnsi="Arial"/>
          <w:sz w:val="17"/>
          <w:szCs w:val="17"/>
          <w:color w:val="auto"/>
        </w:rPr>
        <w:t>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63" w:lineRule="exact"/>
        <w:rPr>
          <w:sz w:val="20"/>
          <w:szCs w:val="20"/>
          <w:color w:val="auto"/>
        </w:rPr>
      </w:pPr>
    </w:p>
    <w:p>
      <w:pPr>
        <w:ind w:left="1280" w:right="879" w:firstLine="360"/>
        <w:spacing w:after="0" w:line="269"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Wall Street Reform and Customer Protection Act (the “Dodd-Frank Act”), Basel III and the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0" w:lineRule="exact"/>
        <w:rPr>
          <w:sz w:val="20"/>
          <w:szCs w:val="20"/>
          <w:color w:val="auto"/>
        </w:rPr>
      </w:pPr>
    </w:p>
    <w:p>
      <w:pPr>
        <w:ind w:left="1280" w:right="73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for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80" w:right="759" w:firstLine="360"/>
        <w:spacing w:after="0" w:line="289" w:lineRule="auto"/>
        <w:rPr>
          <w:sz w:val="20"/>
          <w:szCs w:val="20"/>
          <w:color w:val="auto"/>
        </w:rPr>
      </w:pPr>
      <w:r>
        <w:rPr>
          <w:rFonts w:ascii="Arial" w:cs="Arial" w:eastAsia="Arial" w:hAnsi="Arial"/>
          <w:sz w:val="16"/>
          <w:szCs w:val="16"/>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4"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4" w:lineRule="exact"/>
        <w:rPr>
          <w:sz w:val="20"/>
          <w:szCs w:val="20"/>
          <w:color w:val="auto"/>
        </w:rPr>
      </w:pPr>
    </w:p>
    <w:p>
      <w:pPr>
        <w:ind w:left="1280" w:right="719" w:firstLine="360"/>
        <w:spacing w:after="0" w:line="272" w:lineRule="auto"/>
        <w:rPr>
          <w:sz w:val="20"/>
          <w:szCs w:val="20"/>
          <w:color w:val="auto"/>
        </w:rPr>
      </w:pPr>
      <w:r>
        <w:rPr>
          <w:rFonts w:ascii="Arial" w:cs="Arial" w:eastAsia="Arial" w:hAnsi="Arial"/>
          <w:sz w:val="17"/>
          <w:szCs w:val="17"/>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04" w:lineRule="exact"/>
        <w:rPr>
          <w:sz w:val="20"/>
          <w:szCs w:val="20"/>
          <w:color w:val="auto"/>
        </w:rPr>
      </w:pPr>
    </w:p>
    <w:p>
      <w:pPr>
        <w:ind w:left="1280" w:right="979" w:firstLine="360"/>
        <w:spacing w:after="0" w:line="276"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spacing w:after="0" w:line="259" w:lineRule="auto"/>
        <w:rPr>
          <w:sz w:val="20"/>
          <w:szCs w:val="20"/>
          <w:color w:val="auto"/>
        </w:rPr>
      </w:pPr>
      <w:r>
        <w:rPr>
          <w:rFonts w:ascii="Arial" w:cs="Arial" w:eastAsia="Arial" w:hAnsi="Arial"/>
          <w:sz w:val="18"/>
          <w:szCs w:val="18"/>
          <w:color w:val="auto"/>
        </w:rPr>
        <w:t>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79" w:lineRule="exact"/>
        <w:rPr>
          <w:sz w:val="20"/>
          <w:szCs w:val="20"/>
          <w:color w:val="auto"/>
        </w:rPr>
      </w:pPr>
    </w:p>
    <w:p>
      <w:pPr>
        <w:ind w:left="1280" w:right="739" w:firstLine="360"/>
        <w:spacing w:after="0" w:line="271"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41,600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71" w:lineRule="exact"/>
        <w:rPr>
          <w:sz w:val="20"/>
          <w:szCs w:val="20"/>
          <w:color w:val="auto"/>
        </w:rPr>
      </w:pPr>
    </w:p>
    <w:p>
      <w:pPr>
        <w:ind w:left="1280" w:right="759" w:firstLine="360"/>
        <w:spacing w:after="0" w:line="255" w:lineRule="auto"/>
        <w:rPr>
          <w:sz w:val="20"/>
          <w:szCs w:val="20"/>
          <w:color w:val="auto"/>
        </w:rPr>
      </w:pPr>
      <w:r>
        <w:rPr>
          <w:rFonts w:ascii="Arial" w:cs="Arial" w:eastAsia="Arial" w:hAnsi="Arial"/>
          <w:sz w:val="18"/>
          <w:szCs w:val="18"/>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80" w:right="77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80" w:right="81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80" w:right="121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ind w:left="1280" w:right="759" w:firstLine="360"/>
        <w:spacing w:after="0" w:line="29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Market Share</w:t>
      </w:r>
    </w:p>
    <w:p>
      <w:pPr>
        <w:spacing w:after="0" w:line="104"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0"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5" w:lineRule="exact"/>
        <w:rPr>
          <w:sz w:val="20"/>
          <w:szCs w:val="20"/>
          <w:color w:val="auto"/>
        </w:rPr>
      </w:pPr>
    </w:p>
    <w:p>
      <w:pPr>
        <w:ind w:left="1280" w:right="759" w:firstLine="360"/>
        <w:spacing w:after="0" w:line="302"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0" w:lineRule="exact"/>
        <w:rPr>
          <w:sz w:val="20"/>
          <w:szCs w:val="20"/>
          <w:color w:val="auto"/>
        </w:rPr>
      </w:pPr>
    </w:p>
    <w:p>
      <w:pPr>
        <w:ind w:left="1280" w:right="719" w:firstLine="360"/>
        <w:spacing w:after="0" w:line="253" w:lineRule="auto"/>
        <w:rPr>
          <w:sz w:val="20"/>
          <w:szCs w:val="20"/>
          <w:color w:val="auto"/>
        </w:rPr>
      </w:pPr>
      <w:r>
        <w:rPr>
          <w:rFonts w:ascii="Arial" w:cs="Arial" w:eastAsia="Arial" w:hAnsi="Arial"/>
          <w:sz w:val="18"/>
          <w:szCs w:val="18"/>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63" w:lineRule="exact"/>
        <w:rPr>
          <w:sz w:val="20"/>
          <w:szCs w:val="20"/>
          <w:color w:val="auto"/>
        </w:rPr>
      </w:pPr>
    </w:p>
    <w:p>
      <w:pPr>
        <w:ind w:left="1280" w:right="899" w:firstLine="36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68" w:lineRule="exact"/>
        <w:rPr>
          <w:sz w:val="20"/>
          <w:szCs w:val="20"/>
          <w:color w:val="auto"/>
        </w:rPr>
      </w:pPr>
    </w:p>
    <w:p>
      <w:pPr>
        <w:ind w:left="1280" w:right="1139" w:firstLine="360"/>
        <w:spacing w:after="0" w:line="312"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63" w:lineRule="exact"/>
        <w:rPr>
          <w:sz w:val="20"/>
          <w:szCs w:val="20"/>
          <w:color w:val="auto"/>
        </w:rPr>
      </w:pPr>
    </w:p>
    <w:p>
      <w:pPr>
        <w:ind w:left="1280" w:right="77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81" w:lineRule="exact"/>
        <w:rPr>
          <w:sz w:val="20"/>
          <w:szCs w:val="20"/>
          <w:color w:val="auto"/>
        </w:rPr>
      </w:pPr>
    </w:p>
    <w:p>
      <w:pPr>
        <w:ind w:left="1280" w:right="719" w:firstLine="360"/>
        <w:spacing w:after="0" w:line="302" w:lineRule="auto"/>
        <w:rPr>
          <w:sz w:val="20"/>
          <w:szCs w:val="20"/>
          <w:color w:val="auto"/>
        </w:rPr>
      </w:pPr>
      <w:r>
        <w:rPr>
          <w:rFonts w:ascii="Arial" w:cs="Arial" w:eastAsia="Arial" w:hAnsi="Arial"/>
          <w:sz w:val="16"/>
          <w:szCs w:val="16"/>
          <w:color w:val="auto"/>
        </w:rPr>
        <w:t>In connection with this offering, we expect to enter into a new $500.0 million senior secured revolving credit facility (the “New Revolving Credit Facility”) with Citibank, N.A., as administrative agent and collateral agent, and the other lenders party thereto. See “Description of Certain Indebtedness — New Revolving Credit Facility.” We expect the New Revolving Credit Facility will be undrawn at the completion of this offering.</w:t>
      </w:r>
    </w:p>
    <w:p>
      <w:pPr>
        <w:spacing w:after="0" w:line="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the Reorganization Transactions</w:t>
      </w:r>
    </w:p>
    <w:p>
      <w:pPr>
        <w:spacing w:after="0" w:line="81" w:lineRule="exact"/>
        <w:rPr>
          <w:sz w:val="20"/>
          <w:szCs w:val="20"/>
          <w:color w:val="auto"/>
        </w:rPr>
      </w:pPr>
    </w:p>
    <w:p>
      <w:pPr>
        <w:ind w:left="1280" w:right="1079" w:firstLine="360"/>
        <w:spacing w:after="0" w:line="312" w:lineRule="auto"/>
        <w:rPr>
          <w:sz w:val="20"/>
          <w:szCs w:val="20"/>
          <w:color w:val="auto"/>
        </w:rPr>
      </w:pPr>
      <w:r>
        <w:rPr>
          <w:rFonts w:ascii="Arial" w:cs="Arial" w:eastAsia="Arial" w:hAnsi="Arial"/>
          <w:sz w:val="16"/>
          <w:szCs w:val="16"/>
          <w:color w:val="auto"/>
        </w:rPr>
        <w:t>Prior to the completion of this offering and the organizational transactions described below, the Original LLC Owners are the only members of TWM LLC. Tradeweb Markets Inc. was incorporated as a Delaware corporation on November 7, 2018 to serve as the issuer of the Class A common stock offered hereby.</w:t>
      </w:r>
    </w:p>
    <w:p>
      <w:pPr>
        <w:spacing w:after="0" w:line="1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Prior to the closing of this offering, we will consummate the following organizational transactions:</w:t>
      </w:r>
    </w:p>
    <w:p>
      <w:pPr>
        <w:spacing w:after="0" w:line="63" w:lineRule="exact"/>
        <w:rPr>
          <w:sz w:val="20"/>
          <w:szCs w:val="20"/>
          <w:color w:val="auto"/>
        </w:rPr>
      </w:pPr>
    </w:p>
    <w:p>
      <w:pPr>
        <w:ind w:left="2000" w:right="899" w:hanging="354"/>
        <w:spacing w:after="0" w:line="255"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amend and restate the fourth amended and restated limited liability company agreement of TWM LLC (as amended, effective as of or prior to the completion of this offering,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30" w:lineRule="exact"/>
        <w:rPr>
          <w:rFonts w:ascii="Arial" w:cs="Arial" w:eastAsia="Arial" w:hAnsi="Arial"/>
          <w:sz w:val="18"/>
          <w:szCs w:val="18"/>
          <w:color w:val="auto"/>
        </w:rPr>
      </w:pPr>
    </w:p>
    <w:p>
      <w:pPr>
        <w:ind w:left="2000" w:right="819" w:hanging="354"/>
        <w:spacing w:after="0" w:line="270" w:lineRule="auto"/>
        <w:tabs>
          <w:tab w:leader="none" w:pos="2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106" w:lineRule="exact"/>
        <w:rPr>
          <w:sz w:val="20"/>
          <w:szCs w:val="20"/>
          <w:color w:val="auto"/>
        </w:rPr>
      </w:pPr>
    </w:p>
    <w:tbl>
      <w:tblPr>
        <w:tblLayout w:type="fixed"/>
        <w:tblInd w:w="2540" w:type="dxa"/>
        <w:tblCellMar>
          <w:top w:w="0" w:type="dxa"/>
          <w:left w:w="0" w:type="dxa"/>
          <w:bottom w:w="0" w:type="dxa"/>
          <w:right w:w="0" w:type="dxa"/>
        </w:tblCellMar>
      </w:tblPr>
      <w:tr>
        <w:trPr>
          <w:trHeight w:val="185"/>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183"/>
        </w:trPr>
        <w:tc>
          <w:tcPr>
            <w:tcW w:w="29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Class A common stock</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74"/>
              <w:spacing w:after="0" w:line="182"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3"/>
              </w:rPr>
              <w:t>Yes</w:t>
            </w:r>
          </w:p>
        </w:tc>
      </w:tr>
      <w:tr>
        <w:trPr>
          <w:trHeight w:val="189"/>
        </w:trPr>
        <w:tc>
          <w:tcPr>
            <w:tcW w:w="3160" w:type="dxa"/>
            <w:vAlign w:val="bottom"/>
            <w:gridSpan w:val="2"/>
          </w:tcPr>
          <w:p>
            <w:pPr>
              <w:spacing w:after="0" w:line="189" w:lineRule="exact"/>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line="189"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83"/>
              </w:rPr>
              <w:t>Yes</w:t>
            </w:r>
          </w:p>
        </w:tc>
      </w:tr>
      <w:tr>
        <w:trPr>
          <w:trHeight w:val="189"/>
        </w:trPr>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No</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0"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79"/>
        <w:spacing w:after="0" w:line="312"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66" w:lineRule="exact"/>
        <w:rPr>
          <w:sz w:val="20"/>
          <w:szCs w:val="20"/>
          <w:color w:val="auto"/>
        </w:rPr>
      </w:pPr>
    </w:p>
    <w:p>
      <w:pPr>
        <w:ind w:left="2000" w:right="959" w:hanging="354"/>
        <w:spacing w:after="0" w:line="312" w:lineRule="auto"/>
        <w:tabs>
          <w:tab w:leader="none" w:pos="2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assume sponsorship of the Option Plan (as defined herein) and the PRSU Plan (as defined herein) currently sponsored by Tradeweb Markets LLC. Accordingly, all options and PRSUs granted under such plans will be converted into economically equivalent awards of Tradeweb Markets Inc.;</w:t>
      </w:r>
    </w:p>
    <w:p>
      <w:pPr>
        <w:spacing w:after="0" w:line="79" w:lineRule="exact"/>
        <w:rPr>
          <w:rFonts w:ascii="Arial" w:cs="Arial" w:eastAsia="Arial" w:hAnsi="Arial"/>
          <w:sz w:val="16"/>
          <w:szCs w:val="16"/>
          <w:color w:val="auto"/>
        </w:rPr>
      </w:pPr>
    </w:p>
    <w:p>
      <w:pPr>
        <w:ind w:left="2000" w:right="999" w:hanging="354"/>
        <w:spacing w:after="0" w:line="264"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issue an aggregate of 125,289,031 shares of Class C common stock and/or Class D common stock to the Continuing LLC Owners, as the case may be, on a one-to-one basis with the number of LLC Interests they own, for nominal consideration;</w:t>
      </w:r>
    </w:p>
    <w:p>
      <w:pPr>
        <w:spacing w:after="0" w:line="100" w:lineRule="exact"/>
        <w:rPr>
          <w:rFonts w:ascii="Arial" w:cs="Arial" w:eastAsia="Arial" w:hAnsi="Arial"/>
          <w:sz w:val="18"/>
          <w:szCs w:val="18"/>
          <w:color w:val="auto"/>
        </w:rPr>
      </w:pPr>
    </w:p>
    <w:p>
      <w:pPr>
        <w:ind w:left="2000" w:right="779" w:hanging="354"/>
        <w:spacing w:after="0" w:line="255"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will receive 96,933,192 shares of Class B common stock and we will receive 96,933,192 LLC Interests. 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12" w:lineRule="exact"/>
        <w:rPr>
          <w:rFonts w:ascii="Arial" w:cs="Arial" w:eastAsia="Arial" w:hAnsi="Arial"/>
          <w:sz w:val="18"/>
          <w:szCs w:val="18"/>
          <w:color w:val="auto"/>
        </w:rPr>
      </w:pPr>
    </w:p>
    <w:p>
      <w:pPr>
        <w:ind w:left="2000" w:right="759" w:hanging="354"/>
        <w:spacing w:after="0" w:line="286" w:lineRule="auto"/>
        <w:tabs>
          <w:tab w:leader="none" w:pos="2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existing membership interests in TWM LLC, which LLC Interests following the completion of this offering, will be redeemable, at the election of such members, for newly issued shares of Class A common stock or Class B common stock, as the case may be,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01" w:lineRule="exact"/>
        <w:rPr>
          <w:rFonts w:ascii="Arial" w:cs="Arial" w:eastAsia="Arial" w:hAnsi="Arial"/>
          <w:sz w:val="16"/>
          <w:szCs w:val="16"/>
          <w:color w:val="auto"/>
        </w:rPr>
      </w:pPr>
    </w:p>
    <w:p>
      <w:pPr>
        <w:ind w:left="2000" w:right="759" w:hanging="354"/>
        <w:spacing w:after="0" w:line="273" w:lineRule="auto"/>
        <w:tabs>
          <w:tab w:leader="none" w:pos="2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w:t>
      </w:r>
    </w:p>
    <w:p>
      <w:pPr>
        <w:spacing w:after="0" w:line="110" w:lineRule="exact"/>
        <w:rPr>
          <w:rFonts w:ascii="Arial" w:cs="Arial" w:eastAsia="Arial" w:hAnsi="Arial"/>
          <w:sz w:val="17"/>
          <w:szCs w:val="17"/>
          <w:color w:val="auto"/>
        </w:rPr>
      </w:pPr>
    </w:p>
    <w:p>
      <w:pPr>
        <w:ind w:left="2000" w:right="819" w:hanging="354"/>
        <w:spacing w:after="0" w:line="288" w:lineRule="auto"/>
        <w:tabs>
          <w:tab w:leader="none" w:pos="2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0" w:right="859" w:hanging="354"/>
        <w:spacing w:after="0" w:line="259"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will enter into (i) a tax receivable agreement (the “Tax Receivable Agreement”) with TWM LLC and the Continuing LLC Owners, (ii) a stockholders agreement (the “Stockholders Agreement”) with the Refinitiv Owners and (iii) a registration rights agreement (the “Registration Rights Agreement”) with the Refinitiv Owners and the Bank Stockholders.</w:t>
      </w:r>
    </w:p>
    <w:p>
      <w:pPr>
        <w:spacing w:after="0" w:line="79" w:lineRule="exact"/>
        <w:rPr>
          <w:sz w:val="20"/>
          <w:szCs w:val="20"/>
          <w:color w:val="auto"/>
        </w:rPr>
      </w:pPr>
    </w:p>
    <w:p>
      <w:pPr>
        <w:ind w:left="1280" w:right="819" w:firstLine="360"/>
        <w:spacing w:after="0" w:line="259" w:lineRule="auto"/>
        <w:rPr>
          <w:sz w:val="20"/>
          <w:szCs w:val="20"/>
          <w:color w:val="auto"/>
        </w:rPr>
      </w:pPr>
      <w:r>
        <w:rPr>
          <w:rFonts w:ascii="Arial" w:cs="Arial" w:eastAsia="Arial" w:hAnsi="Arial"/>
          <w:sz w:val="18"/>
          <w:szCs w:val="18"/>
          <w:color w:val="auto"/>
        </w:rPr>
        <w:t>We will issue 40,000,000 shares of Class A common stock to the purchasers in this offering in exchange for $1,009.8 million of net proceeds. We estimate that the offering expenses (other than the underwriting discounts and commissions) will be approximately $12.1 million. All of such offering expenses will be paid for or otherwise borne by TWM LLC.</w:t>
      </w:r>
    </w:p>
    <w:p>
      <w:pPr>
        <w:spacing w:after="0" w:line="79" w:lineRule="exact"/>
        <w:rPr>
          <w:sz w:val="20"/>
          <w:szCs w:val="20"/>
          <w:color w:val="auto"/>
        </w:rPr>
      </w:pPr>
    </w:p>
    <w:p>
      <w:pPr>
        <w:ind w:left="1280" w:right="859" w:firstLine="360"/>
        <w:spacing w:after="0" w:line="290" w:lineRule="auto"/>
        <w:rPr>
          <w:sz w:val="20"/>
          <w:szCs w:val="20"/>
          <w:color w:val="auto"/>
        </w:rPr>
      </w:pPr>
      <w:r>
        <w:rPr>
          <w:rFonts w:ascii="Arial" w:cs="Arial" w:eastAsia="Arial" w:hAnsi="Arial"/>
          <w:sz w:val="16"/>
          <w:szCs w:val="16"/>
          <w:color w:val="auto"/>
        </w:rPr>
        <w:t>After the completion of this offering, in order to facilitate the disposition of equity interests in TWM LLC held by certain of the Bank Stockholders, we intend to use the net proceeds from this offering to purchase 40,000,000 issued and outstanding LLC Interests (46,000,000 if the underwriters exercise in full their option to purchase additional shares of Class A common stock) from certain of the Bank Stockholders (and cancel the corresponding shares of common stock), at a purchase price per interest equal to the initial public offering price per share of Class A common stock, less the underwriting discounts and commissions payable thereon, collectively representing a 18.0% economic interest in TWM LLC (or 20.7%, if the underwriters exercise in full their option to purchase additional shares of Class A common stock). See “Use of Proceeds.”</w:t>
      </w:r>
    </w:p>
    <w:p>
      <w:pPr>
        <w:spacing w:after="0" w:line="58"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We refer to this offering and the foregoing organizational transactions we will consummate prior to the closing of this offering collectively as the “Reorganization Transactions.” For more information regarding the Reorganization Transactions and our structure after the completion of the Reorganization Transactions, including this offering and the application of the net proceeds therefrom. See “The Reorganization Transactions” and “Use of Proceeds.”</w:t>
      </w:r>
    </w:p>
    <w:p>
      <w:pPr>
        <w:spacing w:after="0" w:line="80" w:lineRule="exact"/>
        <w:rPr>
          <w:sz w:val="20"/>
          <w:szCs w:val="20"/>
          <w:color w:val="auto"/>
        </w:rPr>
      </w:pPr>
    </w:p>
    <w:p>
      <w:pPr>
        <w:ind w:left="1280" w:right="799" w:firstLine="360"/>
        <w:spacing w:after="0" w:line="254" w:lineRule="auto"/>
        <w:rPr>
          <w:sz w:val="20"/>
          <w:szCs w:val="20"/>
          <w:color w:val="auto"/>
        </w:rPr>
      </w:pPr>
      <w:r>
        <w:rPr>
          <w:rFonts w:ascii="Arial" w:cs="Arial" w:eastAsia="Arial" w:hAnsi="Arial"/>
          <w:sz w:val="18"/>
          <w:szCs w:val="18"/>
          <w:color w:val="auto"/>
        </w:rPr>
        <w:t>Immediately following this offering, Tradeweb will be a holding company whose principal asset will be the LLC Interests it acquires from certain of the Bank Stockholders using the net proceeds from this offering and the LLC Interests it receives as a result of the Refinitiv Contribution.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 related to the LLC Interests held by the Continuing LLC Owners on our consolidated financial statements.</w:t>
      </w:r>
    </w:p>
    <w:p>
      <w:pPr>
        <w:spacing w:after="0" w:line="84" w:lineRule="exact"/>
        <w:rPr>
          <w:sz w:val="20"/>
          <w:szCs w:val="20"/>
          <w:color w:val="auto"/>
        </w:rPr>
      </w:pPr>
    </w:p>
    <w:p>
      <w:pPr>
        <w:ind w:left="1280" w:right="819" w:firstLine="360"/>
        <w:spacing w:after="0" w:line="255" w:lineRule="auto"/>
        <w:rPr>
          <w:sz w:val="20"/>
          <w:szCs w:val="20"/>
          <w:color w:val="auto"/>
        </w:rPr>
      </w:pPr>
      <w:r>
        <w:rPr>
          <w:rFonts w:ascii="Arial" w:cs="Arial" w:eastAsia="Arial" w:hAnsi="Arial"/>
          <w:sz w:val="18"/>
          <w:szCs w:val="18"/>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Tax Receivable Agreement; the Stockholders Agreement; and the Registration Rights Agreement.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9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40" w:hanging="354"/>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economic interest in Tradeweb Markets Inc. and not Tradeweb Markets LLC.</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8" w:lineRule="exact"/>
        <w:rPr>
          <w:sz w:val="20"/>
          <w:szCs w:val="20"/>
          <w:color w:val="auto"/>
        </w:rPr>
      </w:pPr>
    </w:p>
    <w:p>
      <w:pPr>
        <w:ind w:left="1280" w:right="759" w:firstLine="360"/>
        <w:spacing w:after="0" w:line="259"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119" w:lineRule="exact"/>
        <w:rPr>
          <w:sz w:val="20"/>
          <w:szCs w:val="20"/>
          <w:color w:val="auto"/>
        </w:rPr>
      </w:pPr>
    </w:p>
    <w:p>
      <w:pPr>
        <w:ind w:left="2000" w:right="1259" w:hanging="354"/>
        <w:spacing w:after="0" w:line="277"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 and electronic trading;</w:t>
      </w:r>
    </w:p>
    <w:p>
      <w:pPr>
        <w:spacing w:after="0" w:line="89" w:lineRule="exact"/>
        <w:rPr>
          <w:rFonts w:ascii="Arial" w:cs="Arial" w:eastAsia="Arial" w:hAnsi="Arial"/>
          <w:sz w:val="18"/>
          <w:szCs w:val="18"/>
          <w:color w:val="auto"/>
        </w:rPr>
      </w:pPr>
    </w:p>
    <w:p>
      <w:pPr>
        <w:ind w:left="2000" w:hanging="354"/>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44" w:lineRule="exact"/>
        <w:rPr>
          <w:rFonts w:ascii="Arial" w:cs="Arial" w:eastAsia="Arial" w:hAnsi="Arial"/>
          <w:sz w:val="18"/>
          <w:szCs w:val="18"/>
          <w:color w:val="auto"/>
        </w:rPr>
      </w:pPr>
    </w:p>
    <w:p>
      <w:pPr>
        <w:ind w:left="2000" w:hanging="354"/>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55" w:lineRule="exact"/>
        <w:rPr>
          <w:rFonts w:ascii="Arial" w:cs="Arial" w:eastAsia="Arial" w:hAnsi="Arial"/>
          <w:sz w:val="17"/>
          <w:szCs w:val="17"/>
          <w:color w:val="auto"/>
        </w:rPr>
      </w:pPr>
    </w:p>
    <w:p>
      <w:pPr>
        <w:ind w:left="2000" w:hanging="354"/>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7" w:lineRule="exact"/>
        <w:rPr>
          <w:sz w:val="20"/>
          <w:szCs w:val="20"/>
          <w:color w:val="auto"/>
        </w:rPr>
      </w:pPr>
    </w:p>
    <w:p>
      <w:pPr>
        <w:ind w:left="1280" w:right="779" w:firstLine="360"/>
        <w:spacing w:after="0" w:line="277"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759" w:firstLine="360"/>
        <w:spacing w:after="0" w:line="279"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104" w:lineRule="exact"/>
        <w:rPr>
          <w:sz w:val="20"/>
          <w:szCs w:val="20"/>
          <w:color w:val="auto"/>
        </w:rPr>
      </w:pPr>
    </w:p>
    <w:p>
      <w:pPr>
        <w:ind w:left="2000" w:right="1179" w:hanging="354"/>
        <w:spacing w:after="0" w:line="342" w:lineRule="auto"/>
        <w:tabs>
          <w:tab w:leader="none" w:pos="2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controls over financial reporting pursuant to Section 404(b) of the Sarbanes-Oxley Act of 2002 (the “Sarbanes-Oxley Act”);</w:t>
      </w:r>
    </w:p>
    <w:p>
      <w:pPr>
        <w:spacing w:after="0" w:line="56" w:lineRule="exact"/>
        <w:rPr>
          <w:rFonts w:ascii="Arial" w:cs="Arial" w:eastAsia="Arial" w:hAnsi="Arial"/>
          <w:sz w:val="16"/>
          <w:szCs w:val="16"/>
          <w:color w:val="auto"/>
        </w:rPr>
      </w:pPr>
    </w:p>
    <w:p>
      <w:pPr>
        <w:ind w:left="2000" w:right="839" w:hanging="354"/>
        <w:spacing w:after="0" w:line="259" w:lineRule="auto"/>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2000" w:right="999" w:hanging="354"/>
        <w:spacing w:after="0" w:line="308" w:lineRule="auto"/>
        <w:tabs>
          <w:tab w:leader="none" w:pos="2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79" w:lineRule="exact"/>
        <w:rPr>
          <w:rFonts w:ascii="Arial" w:cs="Arial" w:eastAsia="Arial" w:hAnsi="Arial"/>
          <w:sz w:val="17"/>
          <w:szCs w:val="17"/>
          <w:color w:val="auto"/>
        </w:rPr>
      </w:pPr>
    </w:p>
    <w:p>
      <w:pPr>
        <w:jc w:val="both"/>
        <w:ind w:left="2000" w:right="1059" w:hanging="354"/>
        <w:spacing w:after="0" w:line="264" w:lineRule="auto"/>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3" w:lineRule="exact"/>
        <w:rPr>
          <w:sz w:val="20"/>
          <w:szCs w:val="20"/>
          <w:color w:val="auto"/>
        </w:rPr>
      </w:pPr>
    </w:p>
    <w:p>
      <w:pPr>
        <w:ind w:left="1280" w:right="739" w:firstLine="360"/>
        <w:spacing w:after="0" w:line="288"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Securities Exchange Act of 1934, as amended (the “Exchange Act”), for a period of at least 12 months and (z) have filed at least one annual report pursuant to the Exchange Act.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57"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0" w:lineRule="exact"/>
        <w:rPr>
          <w:sz w:val="20"/>
          <w:szCs w:val="20"/>
          <w:color w:val="auto"/>
        </w:rPr>
      </w:pPr>
    </w:p>
    <w:p>
      <w:pPr>
        <w:ind w:left="1280" w:right="759" w:firstLine="360"/>
        <w:spacing w:after="0" w:line="297"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819" w:firstLine="360"/>
        <w:spacing w:after="0" w:line="276" w:lineRule="auto"/>
        <w:rPr>
          <w:sz w:val="20"/>
          <w:szCs w:val="20"/>
          <w:color w:val="auto"/>
        </w:rPr>
      </w:pPr>
      <w:r>
        <w:rPr>
          <w:rFonts w:ascii="Arial" w:cs="Arial" w:eastAsia="Arial" w:hAnsi="Arial"/>
          <w:sz w:val="17"/>
          <w:szCs w:val="17"/>
          <w:color w:val="auto"/>
        </w:rPr>
        <w:t xml:space="preserve">Tradeweb Markets Inc., the issuer of the Class A common stock in this offering, was incorporated as a Delaware corporation on November 7, 2018. Our corporate headquarters are located at 1177 Avenue of the Americas, New York, New York 10036. Our telephone number is (646) 430-6000. Our principal website address is </w:t>
      </w:r>
      <w:r>
        <w:rPr>
          <w:rFonts w:ascii="Arial" w:cs="Arial" w:eastAsia="Arial" w:hAnsi="Arial"/>
          <w:sz w:val="17"/>
          <w:szCs w:val="17"/>
          <w:i w:val="1"/>
          <w:iCs w:val="1"/>
          <w:color w:val="auto"/>
        </w:rPr>
        <w:t>www.tradeweb.com</w:t>
      </w:r>
      <w:r>
        <w:rPr>
          <w:rFonts w:ascii="Arial" w:cs="Arial" w:eastAsia="Arial" w:hAnsi="Arial"/>
          <w:sz w:val="17"/>
          <w:szCs w:val="17"/>
          <w:color w:val="auto"/>
        </w:rPr>
        <w:t>. The information contained on, or that can be accessed through, our website is deemed not to be incorporated in this prospectus or to be part of this prospectus.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left="1460" w:right="120" w:hanging="179"/>
        <w:spacing w:after="0" w:line="277"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95"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79"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C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Class D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60" w:right="100" w:hanging="179"/>
        <w:spacing w:after="0" w:line="277"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60" w:right="260" w:hanging="179"/>
        <w:spacing w:after="0" w:line="277" w:lineRule="auto"/>
        <w:rPr>
          <w:sz w:val="20"/>
          <w:szCs w:val="20"/>
          <w:color w:val="auto"/>
        </w:rPr>
      </w:pPr>
      <w:r>
        <w:rPr>
          <w:rFonts w:ascii="Arial" w:cs="Arial" w:eastAsia="Arial" w:hAnsi="Arial"/>
          <w:sz w:val="18"/>
          <w:szCs w:val="18"/>
          <w:color w:val="auto"/>
        </w:rPr>
        <w:t>Total LLC Interests to be outstanding after this offering</w:t>
      </w:r>
    </w:p>
    <w:p>
      <w:pPr>
        <w:spacing w:after="0" w:line="6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40,000,000 shares.</w:t>
      </w:r>
    </w:p>
    <w:p>
      <w:pPr>
        <w:spacing w:after="0" w:line="333" w:lineRule="exact"/>
        <w:rPr>
          <w:sz w:val="20"/>
          <w:szCs w:val="20"/>
          <w:color w:val="auto"/>
        </w:rPr>
      </w:pPr>
    </w:p>
    <w:p>
      <w:pPr>
        <w:ind w:right="739"/>
        <w:spacing w:after="0" w:line="297" w:lineRule="auto"/>
        <w:rPr>
          <w:sz w:val="20"/>
          <w:szCs w:val="20"/>
          <w:color w:val="auto"/>
        </w:rPr>
      </w:pPr>
      <w:r>
        <w:rPr>
          <w:rFonts w:ascii="Arial" w:cs="Arial" w:eastAsia="Arial" w:hAnsi="Arial"/>
          <w:sz w:val="16"/>
          <w:szCs w:val="16"/>
          <w:color w:val="auto"/>
        </w:rPr>
        <w:t>The underwriters have an option to purchase up to an aggregate of 6,000,000 additional shares of Class A common stock from us at the initial public offering price, less underwriting discounts and commissions. The underwriters can exercise this option at any time within 30 days from the date of this prospectus.</w:t>
      </w:r>
    </w:p>
    <w:p>
      <w:pPr>
        <w:spacing w:after="0" w:line="266" w:lineRule="exact"/>
        <w:rPr>
          <w:sz w:val="20"/>
          <w:szCs w:val="20"/>
          <w:color w:val="auto"/>
        </w:rPr>
      </w:pPr>
    </w:p>
    <w:p>
      <w:pPr>
        <w:jc w:val="both"/>
        <w:ind w:right="1139"/>
        <w:spacing w:after="0" w:line="264" w:lineRule="auto"/>
        <w:rPr>
          <w:sz w:val="20"/>
          <w:szCs w:val="20"/>
          <w:color w:val="auto"/>
        </w:rPr>
      </w:pPr>
      <w:r>
        <w:rPr>
          <w:rFonts w:ascii="Arial" w:cs="Arial" w:eastAsia="Arial" w:hAnsi="Arial"/>
          <w:sz w:val="18"/>
          <w:szCs w:val="18"/>
          <w:color w:val="auto"/>
        </w:rPr>
        <w:t>40,000,000 shares (or 46,000,000 shares, if the underwriters exercise in full their option to purchase additional shares of Class A common stock).</w:t>
      </w:r>
    </w:p>
    <w:p>
      <w:pPr>
        <w:spacing w:after="0" w:line="289" w:lineRule="exact"/>
        <w:rPr>
          <w:sz w:val="20"/>
          <w:szCs w:val="20"/>
          <w:color w:val="auto"/>
        </w:rPr>
      </w:pPr>
    </w:p>
    <w:p>
      <w:pPr>
        <w:ind w:right="979"/>
        <w:spacing w:after="0" w:line="277" w:lineRule="auto"/>
        <w:rPr>
          <w:sz w:val="20"/>
          <w:szCs w:val="20"/>
          <w:color w:val="auto"/>
        </w:rPr>
      </w:pPr>
      <w:r>
        <w:rPr>
          <w:rFonts w:ascii="Arial" w:cs="Arial" w:eastAsia="Arial" w:hAnsi="Arial"/>
          <w:sz w:val="18"/>
          <w:szCs w:val="18"/>
          <w:color w:val="auto"/>
        </w:rPr>
        <w:t>96,933,192 shares, all of which will be owned by the Refinitiv Direct Owner.</w:t>
      </w:r>
    </w:p>
    <w:p>
      <w:pPr>
        <w:spacing w:after="0" w:line="279" w:lineRule="exact"/>
        <w:rPr>
          <w:sz w:val="20"/>
          <w:szCs w:val="20"/>
          <w:color w:val="auto"/>
        </w:rPr>
      </w:pPr>
    </w:p>
    <w:p>
      <w:pPr>
        <w:ind w:right="879"/>
        <w:spacing w:after="0" w:line="259" w:lineRule="auto"/>
        <w:rPr>
          <w:sz w:val="20"/>
          <w:szCs w:val="20"/>
          <w:color w:val="auto"/>
        </w:rPr>
      </w:pPr>
      <w:r>
        <w:rPr>
          <w:rFonts w:ascii="Arial" w:cs="Arial" w:eastAsia="Arial" w:hAnsi="Arial"/>
          <w:sz w:val="18"/>
          <w:szCs w:val="18"/>
          <w:color w:val="auto"/>
        </w:rPr>
        <w:t>11,600,000 shares, all of which will be owned by certain Bank Stockholders (or 10,006,269 shares, if the underwriters exercise in full their option to purchase additional shares of Class A common stock).</w:t>
      </w:r>
    </w:p>
    <w:p>
      <w:pPr>
        <w:spacing w:after="0" w:line="295" w:lineRule="exact"/>
        <w:rPr>
          <w:sz w:val="20"/>
          <w:szCs w:val="20"/>
          <w:color w:val="auto"/>
        </w:rPr>
      </w:pPr>
    </w:p>
    <w:p>
      <w:pPr>
        <w:ind w:right="819"/>
        <w:spacing w:after="0" w:line="259" w:lineRule="auto"/>
        <w:rPr>
          <w:sz w:val="20"/>
          <w:szCs w:val="20"/>
          <w:color w:val="auto"/>
        </w:rPr>
      </w:pPr>
      <w:r>
        <w:rPr>
          <w:rFonts w:ascii="Arial" w:cs="Arial" w:eastAsia="Arial" w:hAnsi="Arial"/>
          <w:sz w:val="18"/>
          <w:szCs w:val="18"/>
          <w:color w:val="auto"/>
        </w:rPr>
        <w:t>73,689,031 shares, all of which will be owned by the Continuing LLC Owners (or 69,282,762 shares, if the underwriters exercise in full their option to purchase additional shares of Class A common stock).</w:t>
      </w:r>
    </w:p>
    <w:p>
      <w:pPr>
        <w:spacing w:after="0" w:line="295" w:lineRule="exact"/>
        <w:rPr>
          <w:sz w:val="20"/>
          <w:szCs w:val="20"/>
          <w:color w:val="auto"/>
        </w:rPr>
      </w:pPr>
    </w:p>
    <w:p>
      <w:pPr>
        <w:ind w:right="939"/>
        <w:spacing w:after="0" w:line="276" w:lineRule="auto"/>
        <w:rPr>
          <w:sz w:val="20"/>
          <w:szCs w:val="20"/>
          <w:color w:val="auto"/>
        </w:rPr>
      </w:pPr>
      <w:r>
        <w:rPr>
          <w:rFonts w:ascii="Arial" w:cs="Arial" w:eastAsia="Arial" w:hAnsi="Arial"/>
          <w:sz w:val="17"/>
          <w:szCs w:val="17"/>
          <w:color w:val="auto"/>
        </w:rPr>
        <w:t>136,933,192 LLC Interests, representing a 61.6% economic interest in TWM LLC (or 142,933,192 LLC Interests, representing a 64.3% economic interest in TWM LLC, if the underwriters exercise in full their option to purchase additional shares of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222,222,223 LLC Interests.</w:t>
      </w:r>
    </w:p>
    <w:p>
      <w:pPr>
        <w:spacing w:after="0" w:line="117" w:lineRule="exact"/>
        <w:rPr>
          <w:sz w:val="20"/>
          <w:szCs w:val="20"/>
          <w:color w:val="auto"/>
        </w:rPr>
      </w:pPr>
    </w:p>
    <w:p>
      <w:pPr>
        <w:ind w:right="799"/>
        <w:spacing w:after="0" w:line="293"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 representing an aggregate of 2.3% of the combined voting power of our issued and outstanding common stock upon completion of this offering (or 2.7%, if the underwriters exercise in full their option to purchase additional shares of Class A common stock).</w:t>
      </w:r>
    </w:p>
    <w:p>
      <w:pPr>
        <w:spacing w:after="0" w:line="43" w:lineRule="exact"/>
        <w:rPr>
          <w:sz w:val="20"/>
          <w:szCs w:val="20"/>
          <w:color w:val="auto"/>
        </w:rPr>
      </w:pPr>
    </w:p>
    <w:p>
      <w:pPr>
        <w:ind w:right="719"/>
        <w:spacing w:after="0" w:line="224" w:lineRule="auto"/>
        <w:rPr>
          <w:sz w:val="20"/>
          <w:szCs w:val="20"/>
          <w:color w:val="auto"/>
        </w:rPr>
      </w:pPr>
      <w:r>
        <w:rPr>
          <w:rFonts w:ascii="Arial" w:cs="Arial" w:eastAsia="Arial" w:hAnsi="Arial"/>
          <w:sz w:val="18"/>
          <w:szCs w:val="18"/>
          <w:color w:val="auto"/>
        </w:rPr>
        <w:t>Each share of Class B common stock entitles its holder to ten votes on all matters presented to our stockholders generally, representing an aggregate of 55.1% of the combined voting power of our issued and outstanding common stock upon completion of this offering (or 56.4%, if the underwriters exercise in full their option to purchase additional shares of Class A common stock). Upon completion of this offering, the Refinitiv Direct Owner will own all of our outstanding Class B common stock.</w:t>
      </w:r>
    </w:p>
    <w:p>
      <w:pPr>
        <w:spacing w:after="0" w:line="200" w:lineRule="exact"/>
        <w:rPr>
          <w:sz w:val="20"/>
          <w:szCs w:val="20"/>
          <w:color w:val="auto"/>
        </w:rPr>
      </w:pPr>
    </w:p>
    <w:p>
      <w:pPr>
        <w:sectPr>
          <w:pgSz w:w="11900" w:h="16838" w:orient="portrait"/>
          <w:cols w:equalWidth="0" w:num="2">
            <w:col w:w="4240" w:space="500"/>
            <w:col w:w="547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Each share of Class C common stock entitles its holder to one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vote on all matters presented to our stockholders generally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representing an aggregate of 0.7% of the combined voting power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of our issued and outstanding common stock upon completion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this offering (or 0.6%, if the underwriters exercise in full their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option to purchase additional shares of Class A common stock).</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Upon completion of this offering, certain Bank Stockholders will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own all of our outstanding Class C common stock.</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Each share of Class D common stock entitles its holder to ten</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votes on all matters presented to our stockholders generally,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representing an aggregate of 41.9% of the combined voting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power of our issued and outstanding common stock upon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consummation of this offering (or 40.3%, if the underwriters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exercise in full their option to purchase additional shares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A common stock). Upon completion of this offering,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Continuing LLC Owners will own all of our outstanding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Holders of all outstanding shares of our Class A common stock,</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B common stock, Class C common stock and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will vote together as a single class on all matters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presented to our stockholders for their vote or approval, except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otherwise required by applicable law. See “Description of Capital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Combined voting power held by the</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8"/>
          <w:szCs w:val="18"/>
          <w:color w:val="auto"/>
        </w:rPr>
        <w:t>Refinitiv Owners</w:t>
      </w:r>
      <w:r>
        <w:rPr>
          <w:sz w:val="20"/>
          <w:szCs w:val="20"/>
          <w:color w:val="auto"/>
        </w:rPr>
        <w:tab/>
      </w:r>
      <w:r>
        <w:rPr>
          <w:rFonts w:ascii="Arial" w:cs="Arial" w:eastAsia="Arial" w:hAnsi="Arial"/>
          <w:sz w:val="16"/>
          <w:szCs w:val="16"/>
          <w:color w:val="auto"/>
        </w:rPr>
        <w:t>68.2% (or 69.8%, if the underwriters exercise in full their option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purchase additional shares of Class A common stock).</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Combined voting power held by the</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8"/>
          <w:szCs w:val="18"/>
          <w:color w:val="auto"/>
        </w:rPr>
        <w:t>Other LLC Owners</w:t>
      </w:r>
      <w:r>
        <w:rPr>
          <w:sz w:val="20"/>
          <w:szCs w:val="20"/>
          <w:color w:val="auto"/>
        </w:rPr>
        <w:tab/>
      </w:r>
      <w:r>
        <w:rPr>
          <w:rFonts w:ascii="Arial" w:cs="Arial" w:eastAsia="Arial" w:hAnsi="Arial"/>
          <w:sz w:val="16"/>
          <w:szCs w:val="16"/>
          <w:color w:val="auto"/>
        </w:rPr>
        <w:t>29.5% (or 27.5%, if the underwriters exercise in full their option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purchase additional shares of Class A common stock).</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Controlled company</w:t>
      </w:r>
      <w:r>
        <w:rPr>
          <w:sz w:val="20"/>
          <w:szCs w:val="20"/>
          <w:color w:val="auto"/>
        </w:rPr>
        <w:tab/>
      </w:r>
      <w:r>
        <w:rPr>
          <w:rFonts w:ascii="Arial" w:cs="Arial" w:eastAsia="Arial" w:hAnsi="Arial"/>
          <w:sz w:val="17"/>
          <w:szCs w:val="17"/>
          <w:color w:val="auto"/>
        </w:rPr>
        <w:t>After completion of this offering, the Refinitiv Owners will</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continue to own a majority of the combined voting power in us.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a result, we will be a “controlled company” within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meaning of the corporate governance standards of Nasdaq. See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“Management — Director Independence and Controlled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Company Exception.”</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Following the completion of this offering and subject to legally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available funds, we intend to pay quarterly cash dividends on our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Class A common stock and Class B common stock initially equal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to $0.08 per share, commencing with the second quarter of 2019.</w:t>
      </w:r>
    </w:p>
    <w:p>
      <w:pPr>
        <w:spacing w:after="0" w:line="11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Because we are a holding company and all of our business is</w:t>
      </w:r>
    </w:p>
    <w:p>
      <w:pPr>
        <w:spacing w:after="0" w:line="1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conducted through our subsidiaries, we expect to pay dividends,</w:t>
      </w:r>
    </w:p>
    <w:p>
      <w:pPr>
        <w:spacing w:after="0" w:line="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if any, from funds we receive from our subsidiaries. As the sole</w:t>
      </w:r>
    </w:p>
    <w:p>
      <w:pPr>
        <w:ind w:left="4740"/>
        <w:spacing w:after="0" w:line="225" w:lineRule="auto"/>
        <w:rPr>
          <w:sz w:val="20"/>
          <w:szCs w:val="20"/>
          <w:color w:val="auto"/>
        </w:rPr>
      </w:pPr>
      <w:r>
        <w:rPr>
          <w:rFonts w:ascii="Arial" w:cs="Arial" w:eastAsia="Arial" w:hAnsi="Arial"/>
          <w:sz w:val="18"/>
          <w:szCs w:val="18"/>
          <w:color w:val="auto"/>
        </w:rPr>
        <w:t>manager of TWM LLC, we intend to cause, and will rely on,</w:t>
      </w:r>
    </w:p>
    <w:p>
      <w:pPr>
        <w:ind w:left="4740"/>
        <w:spacing w:after="0" w:line="232" w:lineRule="auto"/>
        <w:rPr>
          <w:sz w:val="20"/>
          <w:szCs w:val="20"/>
          <w:color w:val="auto"/>
        </w:rPr>
      </w:pPr>
      <w:r>
        <w:rPr>
          <w:rFonts w:ascii="Arial" w:cs="Arial" w:eastAsia="Arial" w:hAnsi="Arial"/>
          <w:sz w:val="17"/>
          <w:szCs w:val="17"/>
          <w:color w:val="auto"/>
        </w:rPr>
        <w:t>TWM LLC to make distributions in respect of LLC Interests to</w:t>
      </w:r>
    </w:p>
    <w:p>
      <w:pPr>
        <w:ind w:left="4740"/>
        <w:spacing w:after="0" w:line="232" w:lineRule="auto"/>
        <w:rPr>
          <w:sz w:val="20"/>
          <w:szCs w:val="20"/>
          <w:color w:val="auto"/>
        </w:rPr>
      </w:pPr>
      <w:r>
        <w:rPr>
          <w:rFonts w:ascii="Arial" w:cs="Arial" w:eastAsia="Arial" w:hAnsi="Arial"/>
          <w:sz w:val="17"/>
          <w:szCs w:val="17"/>
          <w:color w:val="auto"/>
        </w:rPr>
        <w:t>fund our dividends. When TWM LLC makes such distributions,</w:t>
      </w:r>
    </w:p>
    <w:p>
      <w:pPr>
        <w:ind w:left="4740"/>
        <w:spacing w:after="0" w:line="219" w:lineRule="auto"/>
        <w:rPr>
          <w:sz w:val="20"/>
          <w:szCs w:val="20"/>
          <w:color w:val="auto"/>
        </w:rPr>
      </w:pPr>
      <w:r>
        <w:rPr>
          <w:rFonts w:ascii="Arial" w:cs="Arial" w:eastAsia="Arial" w:hAnsi="Arial"/>
          <w:sz w:val="18"/>
          <w:szCs w:val="18"/>
          <w:color w:val="auto"/>
        </w:rPr>
        <w:t>the Continuing LLC Owners will be entitled to receive</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proportionate distributions based on their</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Ratio of shares of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60" w:right="20" w:hanging="179"/>
        <w:spacing w:after="0" w:line="259" w:lineRule="auto"/>
        <w:rPr>
          <w:sz w:val="20"/>
          <w:szCs w:val="20"/>
          <w:color w:val="auto"/>
        </w:rPr>
      </w:pPr>
      <w:r>
        <w:rPr>
          <w:rFonts w:ascii="Arial" w:cs="Arial" w:eastAsia="Arial" w:hAnsi="Arial"/>
          <w:sz w:val="18"/>
          <w:szCs w:val="18"/>
          <w:color w:val="auto"/>
        </w:rPr>
        <w:t>Redemption rights of holders of LLC Interests/exchange rights of holders of Class B common stock and Class D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739"/>
        <w:spacing w:after="0" w:line="231" w:lineRule="auto"/>
        <w:rPr>
          <w:sz w:val="20"/>
          <w:szCs w:val="20"/>
          <w:color w:val="auto"/>
        </w:rPr>
      </w:pPr>
      <w:r>
        <w:rPr>
          <w:rFonts w:ascii="Arial" w:cs="Arial" w:eastAsia="Arial" w:hAnsi="Arial"/>
          <w:sz w:val="18"/>
          <w:szCs w:val="18"/>
          <w:color w:val="auto"/>
        </w:rPr>
        <w:t>economic interests in TWM LLC. If TWM LLC is unable to cause these subsidiaries to make distributions, it may have inadequate funds to distribute to us and we may be unable to fund our expected dividends.</w:t>
      </w:r>
    </w:p>
    <w:p>
      <w:pPr>
        <w:spacing w:after="0" w:line="81" w:lineRule="exact"/>
        <w:rPr>
          <w:sz w:val="20"/>
          <w:szCs w:val="20"/>
          <w:color w:val="auto"/>
        </w:rPr>
      </w:pPr>
    </w:p>
    <w:p>
      <w:pPr>
        <w:jc w:val="both"/>
        <w:ind w:right="779"/>
        <w:spacing w:after="0" w:line="264"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subject to certain considerations. See “Dividend Policy.”</w:t>
      </w:r>
    </w:p>
    <w:p>
      <w:pPr>
        <w:spacing w:after="0" w:line="289" w:lineRule="exact"/>
        <w:rPr>
          <w:sz w:val="20"/>
          <w:szCs w:val="20"/>
          <w:color w:val="auto"/>
        </w:rPr>
      </w:pPr>
    </w:p>
    <w:p>
      <w:pPr>
        <w:ind w:right="859"/>
        <w:spacing w:after="0" w:line="284" w:lineRule="auto"/>
        <w:rPr>
          <w:sz w:val="20"/>
          <w:szCs w:val="20"/>
          <w:color w:val="auto"/>
        </w:rPr>
      </w:pPr>
      <w:r>
        <w:rPr>
          <w:rFonts w:ascii="Arial" w:cs="Arial" w:eastAsia="Arial" w:hAnsi="Arial"/>
          <w:sz w:val="16"/>
          <w:szCs w:val="16"/>
          <w:color w:val="auto"/>
        </w:rPr>
        <w:t>Our amended and restated certificate of incorporation and the TWM LLC Agreement will require that (i) we at all times maintain a ratio of one LLC Interest owned by us for each share of Class A common stock and Class B common stock issued by us (subject to certain exceptions for treasury shares and shares underlying certain convertible or exchangeable securities), and</w:t>
      </w:r>
    </w:p>
    <w:p>
      <w:pPr>
        <w:spacing w:after="0" w:line="5" w:lineRule="exact"/>
        <w:rPr>
          <w:sz w:val="20"/>
          <w:szCs w:val="20"/>
          <w:color w:val="auto"/>
        </w:rPr>
      </w:pPr>
    </w:p>
    <w:p>
      <w:pPr>
        <w:ind w:right="779" w:firstLine="4"/>
        <w:spacing w:after="0" w:line="252"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19"/>
        <w:spacing w:after="0" w:line="272" w:lineRule="auto"/>
        <w:rPr>
          <w:sz w:val="20"/>
          <w:szCs w:val="20"/>
          <w:color w:val="auto"/>
        </w:rPr>
      </w:pPr>
      <w:r>
        <w:rPr>
          <w:rFonts w:ascii="Arial" w:cs="Arial" w:eastAsia="Arial" w:hAnsi="Arial"/>
          <w:sz w:val="17"/>
          <w:szCs w:val="17"/>
          <w:color w:val="auto"/>
        </w:rPr>
        <w:t>The Continuing LLC Owners, from time to time following this offering, may require TWM LLC to redeem all or a portion of their LLC Interests for newly issued shares of Class A common stock or Class B common stock on a one-for-one basis (and such holders’ shares of Class C common stock or Class D common stock, as the case may be, will be cancelled on a one-for-one basis upon any such issuance).</w:t>
      </w:r>
    </w:p>
    <w:p>
      <w:pPr>
        <w:spacing w:after="0" w:line="70" w:lineRule="exact"/>
        <w:rPr>
          <w:sz w:val="20"/>
          <w:szCs w:val="20"/>
          <w:color w:val="auto"/>
        </w:rPr>
      </w:pPr>
    </w:p>
    <w:p>
      <w:pPr>
        <w:ind w:right="799"/>
        <w:spacing w:after="0" w:line="287" w:lineRule="auto"/>
        <w:rPr>
          <w:sz w:val="20"/>
          <w:szCs w:val="20"/>
          <w:color w:val="auto"/>
        </w:rPr>
      </w:pPr>
      <w:r>
        <w:rPr>
          <w:rFonts w:ascii="Arial" w:cs="Arial" w:eastAsia="Arial" w:hAnsi="Arial"/>
          <w:sz w:val="16"/>
          <w:szCs w:val="16"/>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the volume weighted average market price of one share of our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61" w:lineRule="exact"/>
        <w:rPr>
          <w:sz w:val="20"/>
          <w:szCs w:val="20"/>
          <w:color w:val="auto"/>
        </w:rPr>
      </w:pPr>
    </w:p>
    <w:p>
      <w:pPr>
        <w:ind w:right="719"/>
        <w:spacing w:after="0" w:line="255" w:lineRule="auto"/>
        <w:rPr>
          <w:sz w:val="20"/>
          <w:szCs w:val="20"/>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Furthermore, the Continuing LLC</w:t>
      </w:r>
    </w:p>
    <w:p>
      <w:pPr>
        <w:spacing w:after="0" w:line="200" w:lineRule="exact"/>
        <w:rPr>
          <w:sz w:val="20"/>
          <w:szCs w:val="20"/>
          <w:color w:val="auto"/>
        </w:rPr>
      </w:pPr>
    </w:p>
    <w:p>
      <w:pPr>
        <w:sectPr>
          <w:pgSz w:w="11900" w:h="16838" w:orient="portrait"/>
          <w:cols w:equalWidth="0" w:num="2">
            <w:col w:w="4240" w:space="500"/>
            <w:col w:w="547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Owners that hold shares of Class D common stock may from time</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time exchange all or a portion of their shares of our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for newly issued shares of Class C common stock</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on a one-for-one basis (in which case their shares of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will be cancelled on a one-for-one basis upon such</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issuance).</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Conversion</w:t>
      </w:r>
      <w:r>
        <w:rPr>
          <w:sz w:val="20"/>
          <w:szCs w:val="20"/>
          <w:color w:val="auto"/>
        </w:rPr>
        <w:tab/>
      </w:r>
      <w:r>
        <w:rPr>
          <w:rFonts w:ascii="Arial" w:cs="Arial" w:eastAsia="Arial" w:hAnsi="Arial"/>
          <w:sz w:val="18"/>
          <w:szCs w:val="18"/>
          <w:color w:val="auto"/>
        </w:rPr>
        <w:t>Each share of our Class B common stock will automatically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convert into one share of Class A common stock and each share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of our Class D common stock will automatically convert into one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 of our Class C common stock (i) immediately prior to any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sale or other transfer of such share by a holder or its permitted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transferees to a non-permitted transferee, or (ii) once the Refinitiv</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Owners and their affiliates together no longer beneficially own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number of shares of our common stock and LLC Interests that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together entitle them to at least 10% of TWM LLC’s economic</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interests. In addition, with respect to each Bank Stockholder that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holds shares of Class D common stock, immediately prior to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occurrence of any event that would cause the combined voting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power held by such Bank Stockholder to exceed 4.9%,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minimum number of shares of Class D common stock of such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Bank Stockholder that would need to convert into shares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Class C common stock such that the combined voting power held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such Bank Stockholder would not exceed 4.9% will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automatically convert into shares of Class C common stock.</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Holders of LLC Interests that receive shares of Class C common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stock upon any such conversion may continue to elect to have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their LLC Interests redeemed for newly issued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as described above (in which case their shares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Class C common stock will be cancelled on a one-for-one basis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upon such issuance). See “Description of Capital Stock.”</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Tax Receivable Agreement</w:t>
      </w:r>
      <w:r>
        <w:rPr>
          <w:sz w:val="20"/>
          <w:szCs w:val="20"/>
          <w:color w:val="auto"/>
        </w:rPr>
        <w:tab/>
      </w:r>
      <w:r>
        <w:rPr>
          <w:rFonts w:ascii="Arial" w:cs="Arial" w:eastAsia="Arial" w:hAnsi="Arial"/>
          <w:sz w:val="16"/>
          <w:szCs w:val="16"/>
          <w:color w:val="auto"/>
        </w:rPr>
        <w:t>We will enter into the Tax Receivable Agreement with TWM</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LLC and the Continuing LLC Owners that will provide for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payment by Tradeweb to a Continuing LLC Owner of 50% of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amount of U.S. federal, state and local income or franchise tax</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savings, if any, that Tradeweb actually realizes (or in some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circumstances is deemed to realize) as a result of (i) increases 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tax basis of TWM LLC’s assets resulting from (a)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purchase of LLC Interests from such Continuing LLC Owner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using the net proceeds from this or any future offering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(b) redemptions or exchanges by such Continuing LLC Owner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LLC Interests for shares of our Class A common stock or Class B</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or for cash, as applicable, as described above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 Redemption rights of holders of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Interests/exchange rights of holders of Class B common stock</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and Class D common stock” and (ii) certain other tax benefits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related to our making payments under the Tax Receivable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 See “Certain Relationships and Related Party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Transactions — Related Party Transactions Entered Into in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Connection With This Transaction — Tax Receivable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Registration Rights Agreement</w:t>
      </w:r>
      <w:r>
        <w:rPr>
          <w:sz w:val="20"/>
          <w:szCs w:val="20"/>
          <w:color w:val="auto"/>
        </w:rPr>
        <w:tab/>
      </w:r>
      <w:r>
        <w:rPr>
          <w:rFonts w:ascii="Arial" w:cs="Arial" w:eastAsia="Arial" w:hAnsi="Arial"/>
          <w:sz w:val="16"/>
          <w:szCs w:val="16"/>
          <w:color w:val="auto"/>
        </w:rPr>
        <w:t>Pursuant to the Registration Rights Agreement, we will grant the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Refinitiv Owners, the Bank Stockholders, their affiliates and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certain of their transferees the right, under certain circumstances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and subject to certain restrictions, to require us to register under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 Securities Act shares of Class A common stock. See “Certain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Relationships and Related Party Transactions — Related Party</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Transactions Entered Into in Connection With This Offering —</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Registration Rights Agreement.”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to us from this offering, after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deducting underwriting discounts, but before deducting estimated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expenses, will be approximately $1,009.8 million (or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approximately $1,161.3 million, if the underwriters exercise 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full their option to purchase additional shares of Class A common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We intend to use the net proceeds that we receive from this</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to purchase 40,000,000 issued and outstanding LLC</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Interests (or 46,000,000 LLC Interests, if the underwriters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exercise in full their option to purchase additional shares of Class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 common stock) from certain of the Bank Stockholders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cancel the corresponding shares of common stock), at a purchase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price per interest equal to the initial public offering price per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share of our Class A common stock, less the underwriting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discounts and commissions payable thereon. See “Use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Proceeds” and “Certain Relationships and Related Party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Transactions — Transactions With Certain Original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Owners” for additional information.</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Directed share program</w:t>
      </w:r>
      <w:r>
        <w:rPr>
          <w:sz w:val="20"/>
          <w:szCs w:val="20"/>
          <w:color w:val="auto"/>
        </w:rPr>
        <w:tab/>
      </w:r>
      <w:r>
        <w:rPr>
          <w:rFonts w:ascii="Arial" w:cs="Arial" w:eastAsia="Arial" w:hAnsi="Arial"/>
          <w:sz w:val="16"/>
          <w:szCs w:val="16"/>
          <w:color w:val="auto"/>
        </w:rPr>
        <w:t>The underwriters have reserved for sale, at the initial public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price, up to 1,800,000 shares of our Class A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stock being offered for sale to our directors, officers and certain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employees and other parties with a connection to the Company.</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We will offer these shares to the extent permitted under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applicable regulations. Certain employees of TWM LLC are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entitled to a special bonus in recognition of their performance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during calendar year 2018 and may use the special bonus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purchase reserved shares. Each person buying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through the directed share program will be subject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a 180-day lock-up period with respect to such shares.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number of shares of Class A common stock available for sale to</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general public in this offering will be reduced to the extent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that such persons purchase such reserved shares. Any reserved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shares not purchased will be offered by the underwriters to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general public on the same terms as the other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 See “Underwriting (Conflicts of Interest).”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6"/>
          <w:szCs w:val="16"/>
          <w:color w:val="auto"/>
        </w:rPr>
        <w:t>Because affiliates of each of Deutsche Bank Securities Inc.,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Goldman Sachs &amp; Co. LLC, Morgan Stanley &amp; Co. LLC, Merrill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Lynch, Pierce, Fenner &amp; Smith Incorporated and UBS Securities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LLC are Bank Stockholders that will each receive more than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5.0% of the net proceeds from this offering, each of Deutsche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Bank Securities Inc., Goldman Sachs &amp; Co. LLC, Morgan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Stanley &amp; Co. LLC, Merrill Lynch, Pierce, Fenner &amp;</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Smith Incorporated and UBS Securities LLC is deemed to have a</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“conflict of interest” pursuant to FINRA Rule 5121(f)(5)(C)(ii).</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See “Use of Proceeds.” Accordingly, this offering will be made 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compliance with the applicable provisions of Rule 5121. As such,</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any underwriter that has a conflict of interest 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Rule 5121 will not confirm sales to accounts in which it exercises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discretionary authority without the prior written consent of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customer. Pursuant to Rule 5121, a “qualified independent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underwriter” (as defined in Rule 5121) must participate in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preparation of the prospectus and perform its usual standard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due diligence with respect to the registration statement and this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prospectus. Sandler O’Neill &amp; Partners, L.P. has agreed to act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qualified independent underwriter for the offering and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undertake the legal responsibilities and liabilities of an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underwriter under the Securities Act, specifically including those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inherent in Section 11 of the Securities Act. We have also agreed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indemnify Sandler O’Neill &amp; Partners, L.P. against certain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liabilities incurred in connection with it acting as a qualified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independent underwriter in this offering, including liabilities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the Securities Act.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Nasdaq symbol</w:t>
      </w:r>
      <w:r>
        <w:rPr>
          <w:sz w:val="20"/>
          <w:szCs w:val="20"/>
          <w:color w:val="auto"/>
        </w:rPr>
        <w:tab/>
      </w:r>
      <w:r>
        <w:rPr>
          <w:rFonts w:ascii="Arial" w:cs="Arial" w:eastAsia="Arial" w:hAnsi="Arial"/>
          <w:sz w:val="18"/>
          <w:szCs w:val="18"/>
          <w:color w:val="auto"/>
        </w:rPr>
        <w:t>“TW.”</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Class A common stock involves a high degree of</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risk. See “Risk Factors” in this prospectus for a discussion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factors you should carefully consider before investing in our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Class A common stock.</w:t>
      </w:r>
    </w:p>
    <w:p>
      <w:pPr>
        <w:spacing w:after="0" w:line="103" w:lineRule="exact"/>
        <w:rPr>
          <w:sz w:val="20"/>
          <w:szCs w:val="20"/>
          <w:color w:val="auto"/>
        </w:rPr>
      </w:pPr>
    </w:p>
    <w:p>
      <w:pPr>
        <w:ind w:left="1280" w:right="799" w:firstLine="360"/>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the membership interests of TWM LLC outstanding as of March 22, 2019 and, after giving effect to the Reorganization Transactions, excludes approximately:</w:t>
      </w:r>
    </w:p>
    <w:p>
      <w:pPr>
        <w:spacing w:after="0" w:line="73" w:lineRule="exact"/>
        <w:rPr>
          <w:sz w:val="20"/>
          <w:szCs w:val="20"/>
          <w:color w:val="auto"/>
        </w:rPr>
      </w:pPr>
    </w:p>
    <w:p>
      <w:pPr>
        <w:ind w:left="2000" w:right="779" w:hanging="354"/>
        <w:spacing w:after="0" w:line="302" w:lineRule="auto"/>
        <w:tabs>
          <w:tab w:leader="none" w:pos="2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18,137,082 shares of Class A common stock issuable upon the exercise of outstanding options (of which 4,522,948 will vest in connection with this offering) under the Amended and Restated Tradeweb Markets Inc. 2018 Stock Option Plan (the “Option Plan”) as of March 22, 2019 at an exercise price of $20.59 per share, which options may be exercised on a cashless or net settlement basis;</w:t>
      </w:r>
    </w:p>
    <w:p>
      <w:pPr>
        <w:spacing w:after="0" w:line="46" w:lineRule="exact"/>
        <w:rPr>
          <w:rFonts w:ascii="Arial" w:cs="Arial" w:eastAsia="Arial" w:hAnsi="Arial"/>
          <w:sz w:val="16"/>
          <w:szCs w:val="16"/>
          <w:color w:val="auto"/>
        </w:rPr>
      </w:pPr>
    </w:p>
    <w:p>
      <w:pPr>
        <w:ind w:left="2000" w:right="839" w:hanging="354"/>
        <w:spacing w:after="0" w:line="308" w:lineRule="auto"/>
        <w:tabs>
          <w:tab w:leader="none" w:pos="2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2,770,334 shares of Class A common stock underlying performance based restricted share units issued under the Amended &amp; Restated Tradeweb Markets Inc. PRSU Plan (the “PRSU Plan”);</w:t>
      </w:r>
    </w:p>
    <w:p>
      <w:pPr>
        <w:spacing w:after="0" w:line="38" w:lineRule="exact"/>
        <w:rPr>
          <w:rFonts w:ascii="Arial" w:cs="Arial" w:eastAsia="Arial" w:hAnsi="Arial"/>
          <w:sz w:val="17"/>
          <w:szCs w:val="17"/>
          <w:color w:val="auto"/>
        </w:rPr>
      </w:pPr>
    </w:p>
    <w:p>
      <w:pPr>
        <w:ind w:left="2000" w:right="739" w:hanging="354"/>
        <w:spacing w:after="0" w:line="277"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10,028,460 shares of Class A common stock reserved for future issuance under our Option Plan and our 2019 Omnibus Equity Incentive Plan (the “2019 Equity Incentive Plan”);</w:t>
      </w:r>
    </w:p>
    <w:p>
      <w:pPr>
        <w:spacing w:after="0" w:line="62" w:lineRule="exact"/>
        <w:rPr>
          <w:rFonts w:ascii="Arial" w:cs="Arial" w:eastAsia="Arial" w:hAnsi="Arial"/>
          <w:sz w:val="18"/>
          <w:szCs w:val="18"/>
          <w:color w:val="auto"/>
        </w:rPr>
      </w:pPr>
    </w:p>
    <w:p>
      <w:pPr>
        <w:jc w:val="both"/>
        <w:ind w:left="2000" w:right="839" w:hanging="354"/>
        <w:spacing w:after="0" w:line="286" w:lineRule="auto"/>
        <w:tabs>
          <w:tab w:leader="none" w:pos="2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respect to the Refinitiv Direct Owner, 96,933,192 shares of Class A common stock reserved as of the closing date of this offering for future issuance upon (i) exchange of Class B common stock by the Refinitiv Direct Owner or (ii) conversion of the Class B common stock; and</w:t>
      </w:r>
    </w:p>
    <w:p>
      <w:pPr>
        <w:spacing w:after="0" w:line="57" w:lineRule="exact"/>
        <w:rPr>
          <w:rFonts w:ascii="Arial" w:cs="Arial" w:eastAsia="Arial" w:hAnsi="Arial"/>
          <w:sz w:val="17"/>
          <w:szCs w:val="17"/>
          <w:color w:val="auto"/>
        </w:rPr>
      </w:pPr>
    </w:p>
    <w:p>
      <w:pPr>
        <w:ind w:left="2000" w:right="779" w:hanging="354"/>
        <w:spacing w:after="0" w:line="255"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the Continuing LLC Owners, (i) 85,289,031 shares of Class A common stock and 73,689,031 shares of Class B common stock reserved as of the closing date of this offering for future issuance upon the redemption or exchange of LLC Interests by the Continuing LLC Owners and (ii) 73,689,031 shares of Class C common stock reserved for future issuance upon (x) exchange of Class D common stock by the Continuing LLC Owners or (y) conversion of the Class D common stock. See “— Redemption rights of holders of LLC Interests/exchange rights of holders of Class B common stock and Class D common stock.”</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otherwise stated or the context otherwise requires, all information contained in this prospectus:</w:t>
      </w:r>
    </w:p>
    <w:p>
      <w:pPr>
        <w:spacing w:after="0" w:line="129" w:lineRule="exact"/>
        <w:rPr>
          <w:sz w:val="20"/>
          <w:szCs w:val="20"/>
          <w:color w:val="auto"/>
        </w:rPr>
      </w:pPr>
    </w:p>
    <w:p>
      <w:pPr>
        <w:ind w:left="2000" w:right="859" w:hanging="354"/>
        <w:spacing w:after="0" w:line="277"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62" w:lineRule="exact"/>
        <w:rPr>
          <w:rFonts w:ascii="Arial" w:cs="Arial" w:eastAsia="Arial" w:hAnsi="Arial"/>
          <w:sz w:val="18"/>
          <w:szCs w:val="18"/>
          <w:color w:val="auto"/>
        </w:rPr>
      </w:pPr>
    </w:p>
    <w:p>
      <w:pPr>
        <w:ind w:left="2000" w:right="1319" w:hanging="354"/>
        <w:spacing w:after="0" w:line="277"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the completion of the organizational transactions described under “The Reorganization Transactions;”</w:t>
      </w:r>
    </w:p>
    <w:p>
      <w:pPr>
        <w:spacing w:after="0" w:line="62" w:lineRule="exact"/>
        <w:rPr>
          <w:rFonts w:ascii="Arial" w:cs="Arial" w:eastAsia="Arial" w:hAnsi="Arial"/>
          <w:sz w:val="18"/>
          <w:szCs w:val="18"/>
          <w:color w:val="auto"/>
        </w:rPr>
      </w:pPr>
    </w:p>
    <w:p>
      <w:pPr>
        <w:ind w:left="2000" w:right="1379" w:hanging="354"/>
        <w:spacing w:after="0" w:line="277"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gives effect to the application of the net proceeds from this offering as described under “Use of Proceeds;” and</w:t>
      </w:r>
    </w:p>
    <w:p>
      <w:pPr>
        <w:spacing w:after="0" w:line="62" w:lineRule="exact"/>
        <w:rPr>
          <w:rFonts w:ascii="Arial" w:cs="Arial" w:eastAsia="Arial" w:hAnsi="Arial"/>
          <w:sz w:val="18"/>
          <w:szCs w:val="18"/>
          <w:color w:val="auto"/>
        </w:rPr>
      </w:pPr>
    </w:p>
    <w:p>
      <w:pPr>
        <w:ind w:left="2000" w:right="1139" w:hanging="354"/>
        <w:spacing w:after="0" w:line="308" w:lineRule="auto"/>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38" w:lineRule="exact"/>
        <w:rPr>
          <w:sz w:val="20"/>
          <w:szCs w:val="20"/>
          <w:color w:val="auto"/>
        </w:rPr>
      </w:pPr>
    </w:p>
    <w:p>
      <w:pPr>
        <w:jc w:val="both"/>
        <w:ind w:left="1280" w:right="819" w:firstLine="360"/>
        <w:spacing w:after="0" w:line="264" w:lineRule="auto"/>
        <w:rPr>
          <w:sz w:val="20"/>
          <w:szCs w:val="20"/>
          <w:color w:val="auto"/>
        </w:rPr>
      </w:pPr>
      <w:r>
        <w:rPr>
          <w:rFonts w:ascii="Arial" w:cs="Arial" w:eastAsia="Arial" w:hAnsi="Arial"/>
          <w:sz w:val="18"/>
          <w:szCs w:val="18"/>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8"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The following tables present the summary historical and pro forma consolidated financial and other data for Tradeweb Markets LLC and its subsidiaries. Tradeweb Markets LLC is the predecessor of the issuer, Tradeweb Markets Inc., for financial reporting purposes. The summary consolidated statement of operations data for the 2018 Successor Period, the 2018 Predecessor Period and each of the years in the two-year period ended December 31, 2017 and the summary consolidated statement of financial condition data as of December 31, 2018 and 2017 are derived from the consolidated financial statements of Tradeweb Markets LLC and its subsidiaries included elsewhere in this prospectus. The summary consolidated statement of financial condition as of December 31, 2016 is derived from the consolidated financial statements of Tradeweb Markets LLC not included in this prospectus.</w:t>
      </w:r>
    </w:p>
    <w:p>
      <w:pPr>
        <w:spacing w:after="0" w:line="74"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“Management’s Discussion and Analysis of Financial Condition and Results of Operations — Effects of Pushdown Accounting on our Financial Statements.”</w:t>
      </w:r>
    </w:p>
    <w:p>
      <w:pPr>
        <w:spacing w:after="0" w:line="70"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“Basis of Presentation,” “Selected Historical Consolidated Financial and Other Data” and “Management’s Discussion and Analysis of Financial Condition and Results of Operations” and the consolidated financial statements and related notes thereto appearing elsewhere in this prospectus.</w:t>
      </w:r>
    </w:p>
    <w:p>
      <w:pPr>
        <w:spacing w:after="0" w:line="80" w:lineRule="exact"/>
        <w:rPr>
          <w:sz w:val="20"/>
          <w:szCs w:val="20"/>
          <w:color w:val="auto"/>
        </w:rPr>
      </w:pPr>
    </w:p>
    <w:p>
      <w:pPr>
        <w:ind w:left="1280" w:right="719" w:firstLine="360"/>
        <w:spacing w:after="0" w:line="287" w:lineRule="auto"/>
        <w:rPr>
          <w:sz w:val="20"/>
          <w:szCs w:val="20"/>
          <w:color w:val="auto"/>
        </w:rPr>
      </w:pPr>
      <w:r>
        <w:rPr>
          <w:rFonts w:ascii="Arial" w:cs="Arial" w:eastAsia="Arial" w:hAnsi="Arial"/>
          <w:sz w:val="16"/>
          <w:szCs w:val="16"/>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as of and for the year ended December 31, 2018 give effect to the Transactions, including this offering, as if all such transactions had occurred on January 1, 2018, in the case of the summary unaudited pro forma consolidated statement of operations data, and as of December 31, 2018,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pacing w:after="0" w:line="65" w:lineRule="exact"/>
        <w:rPr>
          <w:sz w:val="20"/>
          <w:szCs w:val="20"/>
          <w:color w:val="auto"/>
        </w:rPr>
      </w:pPr>
    </w:p>
    <w:p>
      <w:pPr>
        <w:jc w:val="both"/>
        <w:ind w:left="1280" w:right="939" w:firstLine="360"/>
        <w:spacing w:after="0" w:line="286" w:lineRule="auto"/>
        <w:rPr>
          <w:sz w:val="20"/>
          <w:szCs w:val="20"/>
          <w:color w:val="auto"/>
        </w:rPr>
      </w:pPr>
      <w:r>
        <w:rPr>
          <w:rFonts w:ascii="Arial" w:cs="Arial" w:eastAsia="Arial" w:hAnsi="Arial"/>
          <w:sz w:val="17"/>
          <w:szCs w:val="17"/>
          <w:color w:val="auto"/>
        </w:rPr>
        <w:t>The summary historical consolidated financial data of Tradeweb Markets Inc. have not been presented as Tradeweb Markets Inc. is a newly incorporated entity, has had no business transactions or activities to date and had no material assets or liabilities during the periods presented in this section.</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9"/>
            <w:vMerge w:val="restart"/>
          </w:tcPr>
          <w:p>
            <w:pPr>
              <w:jc w:val="right"/>
              <w:ind w:right="80"/>
              <w:spacing w:after="0"/>
              <w:rPr>
                <w:sz w:val="20"/>
                <w:szCs w:val="20"/>
                <w:color w:val="auto"/>
              </w:rPr>
            </w:pPr>
            <w:r>
              <w:rPr>
                <w:rFonts w:ascii="Arial" w:cs="Arial" w:eastAsia="Arial" w:hAnsi="Arial"/>
                <w:sz w:val="14"/>
                <w:szCs w:val="14"/>
                <w:b w:val="1"/>
                <w:bCs w:val="1"/>
                <w:color w:val="auto"/>
                <w:w w:val="96"/>
              </w:rPr>
              <w:t>Historical Tradeweb Markets LLC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4"/>
            <w:vMerge w:val="restart"/>
          </w:tcPr>
          <w:p>
            <w:pPr>
              <w:ind w:left="20"/>
              <w:spacing w:after="0" w:line="125" w:lineRule="exact"/>
              <w:rPr>
                <w:sz w:val="20"/>
                <w:szCs w:val="20"/>
                <w:color w:val="auto"/>
              </w:rPr>
            </w:pPr>
            <w:r>
              <w:rPr>
                <w:rFonts w:ascii="Arial" w:cs="Arial" w:eastAsia="Arial" w:hAnsi="Arial"/>
                <w:sz w:val="14"/>
                <w:szCs w:val="14"/>
                <w:b w:val="1"/>
                <w:bCs w:val="1"/>
                <w:color w:val="auto"/>
              </w:rPr>
              <w:t>Tradeweb</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gridSpan w:val="9"/>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Markets Inc.</w:t>
            </w:r>
            <w:r>
              <w:rPr>
                <w:rFonts w:ascii="Arial" w:cs="Arial" w:eastAsia="Arial" w:hAnsi="Arial"/>
                <w:sz w:val="21"/>
                <w:szCs w:val="21"/>
                <w:b w:val="1"/>
                <w:bCs w:val="1"/>
                <w:color w:val="auto"/>
                <w:w w:val="93"/>
                <w:vertAlign w:val="superscript"/>
              </w:rPr>
              <w:t>(1)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right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1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12"/>
          </w:tcPr>
          <w:p>
            <w:pPr>
              <w:spacing w:after="0"/>
              <w:rPr>
                <w:sz w:val="20"/>
                <w:szCs w:val="20"/>
                <w:color w:val="auto"/>
              </w:rPr>
            </w:pPr>
            <w:r>
              <w:rPr>
                <w:rFonts w:ascii="Arial" w:cs="Arial" w:eastAsia="Arial" w:hAnsi="Arial"/>
                <w:sz w:val="14"/>
                <w:szCs w:val="14"/>
                <w:b w:val="1"/>
                <w:bCs w:val="1"/>
                <w:color w:val="auto"/>
                <w:w w:val="98"/>
              </w:rPr>
              <w:t>(in thousands, except share and per share data)</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370,881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97,130</w:t>
            </w:r>
          </w:p>
        </w:tc>
        <w:tc>
          <w:tcPr>
            <w:tcW w:w="22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273,751</w:t>
            </w:r>
          </w:p>
        </w:tc>
        <w:tc>
          <w:tcPr>
            <w:tcW w:w="2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267,020</w:t>
            </w:r>
          </w:p>
        </w:tc>
        <w:tc>
          <w:tcPr>
            <w:tcW w:w="2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230,171</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tcPr>
          <w:p>
            <w:pPr>
              <w:spacing w:after="0" w:line="257"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190,500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46,519</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143,981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194,534</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191,983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112,670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32,840</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10,357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2,148</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4,669</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684,408</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178,637</w:t>
            </w:r>
          </w:p>
        </w:tc>
        <w:tc>
          <w:tcPr>
            <w:tcW w:w="220" w:type="dxa"/>
            <w:vAlign w:val="bottom"/>
            <w:tcBorders>
              <w:top w:val="single" w:sz="8" w:color="CCEEFF"/>
              <w:right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505,771</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562,968</w:t>
            </w:r>
          </w:p>
        </w:tc>
        <w:tc>
          <w:tcPr>
            <w:tcW w:w="2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518,404</w:t>
            </w: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tcPr>
          <w:p>
            <w:pPr>
              <w:spacing w:after="0" w:line="284"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7"/>
                <w:szCs w:val="27"/>
                <w:color w:val="auto"/>
                <w:vertAlign w:val="superscript"/>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(26,830)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(26,830)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(58,520)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(26,224)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657,578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178,637</w:t>
            </w:r>
          </w:p>
        </w:tc>
        <w:tc>
          <w:tcPr>
            <w:tcW w:w="22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478,941</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492,180</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296,363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220" w:type="dxa"/>
            <w:vAlign w:val="bottom"/>
            <w:tcBorders>
              <w:right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209,053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248,963</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228,584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129,399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33,020</w:t>
            </w: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80,859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36,505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9,907</w:t>
            </w: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26,598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30,013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8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13,739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3,308</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10,732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14,441</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539,453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146,702</w:t>
            </w:r>
          </w:p>
        </w:tc>
        <w:tc>
          <w:tcPr>
            <w:tcW w:w="22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338,607</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415,356</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399,049</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118,125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31,935</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140,334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89,092</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93,131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top w:val="single" w:sz="8" w:color="CCEEFF"/>
              <w:right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120,638</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220" w:type="dxa"/>
            <w:vAlign w:val="bottom"/>
            <w:tcBorders>
              <w:top w:val="single" w:sz="8" w:color="CCEEFF"/>
              <w:right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142,060</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2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(21,715)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(11,900)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220" w:type="dxa"/>
            <w:vAlign w:val="bottom"/>
            <w:tcBorders>
              <w:right w:val="single" w:sz="8" w:color="auto"/>
            </w:tcBorders>
            <w:shd w:val="clear" w:color="auto" w:fill="CCEEFF"/>
          </w:tcPr>
          <w:p>
            <w:pPr>
              <w:spacing w:after="0"/>
              <w:rPr>
                <w:sz w:val="22"/>
                <w:szCs w:val="22"/>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130,160</w:t>
            </w:r>
          </w:p>
        </w:tc>
        <w:tc>
          <w:tcPr>
            <w:tcW w:w="2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attributable to non-</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controlling interests</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40,423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CCEEFF"/>
              <w:right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shd w:val="clear" w:color="auto" w:fill="CCEEFF"/>
          </w:tcPr>
          <w:p>
            <w:pPr>
              <w:ind w:left="160"/>
              <w:spacing w:after="0" w:line="169"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Tradeweb Markets Inc.</w:t>
            </w:r>
          </w:p>
        </w:tc>
        <w:tc>
          <w:tcPr>
            <w:tcW w:w="3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Tradeweb</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5"/>
          </w:tcPr>
          <w:p>
            <w:pPr>
              <w:jc w:val="center"/>
              <w:ind w:right="768"/>
              <w:spacing w:after="0"/>
              <w:rPr>
                <w:sz w:val="20"/>
                <w:szCs w:val="20"/>
                <w:color w:val="auto"/>
              </w:rPr>
            </w:pPr>
            <w:r>
              <w:rPr>
                <w:rFonts w:ascii="Arial" w:cs="Arial" w:eastAsia="Arial" w:hAnsi="Arial"/>
                <w:sz w:val="14"/>
                <w:szCs w:val="14"/>
                <w:b w:val="1"/>
                <w:bCs w:val="1"/>
                <w:color w:val="auto"/>
                <w:w w:val="91"/>
              </w:rPr>
              <w:t>Markets Inc.</w:t>
            </w:r>
            <w:r>
              <w:rPr>
                <w:rFonts w:ascii="Arial" w:cs="Arial" w:eastAsia="Arial" w:hAnsi="Arial"/>
                <w:sz w:val="21"/>
                <w:szCs w:val="21"/>
                <w:b w:val="1"/>
                <w:bCs w:val="1"/>
                <w:color w:val="auto"/>
                <w:w w:val="91"/>
                <w:vertAlign w:val="superscript"/>
              </w:rPr>
              <w:t>(1)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center"/>
              <w:ind w:right="40"/>
              <w:spacing w:after="0" w:line="160"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left="11"/>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left="1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 net income per share data</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1"/>
              </w:rPr>
              <w:t>Pro forma weighted average shares of Class A and Class B</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outstanding</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7"/>
              </w:rPr>
              <w:t>136,933,192</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224,790,379</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w w:val="99"/>
              </w:rPr>
              <w:t>Pro forma net income available to Class A and Class B</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common stock per share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0.44</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Supplemental pro forma net income per share data</w:t>
            </w:r>
            <w:r>
              <w:rPr>
                <w:rFonts w:ascii="Arial" w:cs="Arial" w:eastAsia="Arial" w:hAnsi="Arial"/>
                <w:sz w:val="27"/>
                <w:szCs w:val="27"/>
                <w:color w:val="auto"/>
                <w:vertAlign w:val="superscript"/>
              </w:rPr>
              <w:t>(4)</w:t>
            </w: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w w:val="92"/>
              </w:rPr>
              <w:t>Weighted-average shares of Class A and Class B common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stock outstanding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143,716,636</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7"/>
              </w:rPr>
              <w:t>231,573,824</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income available to Class A and Class B common stock</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0.41</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24"/>
                <w:szCs w:val="24"/>
                <w:color w:val="auto"/>
              </w:rPr>
            </w:pPr>
          </w:p>
        </w:tc>
        <w:tc>
          <w:tcPr>
            <w:tcW w:w="2700" w:type="dxa"/>
            <w:vAlign w:val="bottom"/>
            <w:gridSpan w:val="4"/>
            <w:vMerge w:val="restart"/>
          </w:tcPr>
          <w:p>
            <w:pPr>
              <w:jc w:val="center"/>
              <w:ind w:right="38"/>
              <w:spacing w:after="0"/>
              <w:rPr>
                <w:sz w:val="20"/>
                <w:szCs w:val="20"/>
                <w:color w:val="auto"/>
              </w:rPr>
            </w:pPr>
            <w:r>
              <w:rPr>
                <w:rFonts w:ascii="Arial" w:cs="Arial" w:eastAsia="Arial" w:hAnsi="Arial"/>
                <w:sz w:val="14"/>
                <w:szCs w:val="14"/>
                <w:b w:val="1"/>
                <w:bCs w:val="1"/>
                <w:color w:val="auto"/>
                <w:w w:val="96"/>
              </w:rPr>
              <w:t>Historical Tradeweb Markets LLC</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ind w:left="20"/>
              <w:spacing w:after="0" w:line="158" w:lineRule="exact"/>
              <w:rPr>
                <w:sz w:val="20"/>
                <w:szCs w:val="20"/>
                <w:color w:val="auto"/>
              </w:rPr>
            </w:pPr>
            <w:r>
              <w:rPr>
                <w:rFonts w:ascii="Arial" w:cs="Arial" w:eastAsia="Arial" w:hAnsi="Arial"/>
                <w:sz w:val="13"/>
                <w:szCs w:val="13"/>
                <w:b w:val="1"/>
                <w:bCs w:val="1"/>
                <w:color w:val="auto"/>
              </w:rPr>
              <w:t xml:space="preserve">Tradeweb </w:t>
            </w:r>
            <w:r>
              <w:rPr>
                <w:rFonts w:ascii="Arial" w:cs="Arial" w:eastAsia="Arial" w:hAnsi="Arial"/>
                <w:sz w:val="18"/>
                <w:szCs w:val="18"/>
                <w:b w:val="1"/>
                <w:bCs w:val="1"/>
                <w:color w:val="auto"/>
                <w:vertAlign w:val="subscript"/>
              </w:rPr>
              <w:t>(1)</w:t>
            </w:r>
          </w:p>
        </w:tc>
        <w:tc>
          <w:tcPr>
            <w:tcW w:w="1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4"/>
                <w:szCs w:val="14"/>
                <w:b w:val="1"/>
                <w:bCs w:val="1"/>
                <w:color w:val="auto"/>
                <w:w w:val="93"/>
              </w:rPr>
              <w:t>Markets Inc.</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7"/>
                <w:szCs w:val="17"/>
                <w:color w:val="auto"/>
              </w:rPr>
            </w:pPr>
          </w:p>
        </w:tc>
        <w:tc>
          <w:tcPr>
            <w:tcW w:w="1800" w:type="dxa"/>
            <w:vAlign w:val="bottom"/>
            <w:tcBorders>
              <w:bottom w:val="single" w:sz="8" w:color="auto"/>
            </w:tcBorders>
            <w:gridSpan w:val="2"/>
          </w:tcPr>
          <w:p>
            <w:pPr>
              <w:jc w:val="right"/>
              <w:ind w:right="45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84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right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6"/>
                <w:szCs w:val="16"/>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Condition Data: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line="23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6"/>
                <w:szCs w:val="26"/>
                <w:color w:val="auto"/>
                <w:vertAlign w:val="superscript"/>
              </w:rPr>
              <w:t>(5)</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ind w:left="40"/>
              <w:spacing w:after="0"/>
              <w:rPr>
                <w:sz w:val="20"/>
                <w:szCs w:val="20"/>
                <w:color w:val="auto"/>
              </w:rPr>
            </w:pPr>
            <w:r>
              <w:rPr>
                <w:rFonts w:ascii="Arial" w:cs="Arial" w:eastAsia="Arial" w:hAnsi="Arial"/>
                <w:sz w:val="18"/>
                <w:szCs w:val="18"/>
                <w:color w:val="auto"/>
                <w:w w:val="95"/>
              </w:rPr>
              <w:t>304,425</w:t>
            </w:r>
          </w:p>
        </w:tc>
        <w:tc>
          <w:tcPr>
            <w:tcW w:w="12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6"/>
              </w:rPr>
              <w:t>$  410,104</w:t>
            </w: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  352,598</w:t>
            </w:r>
          </w:p>
        </w:tc>
        <w:tc>
          <w:tcPr>
            <w:tcW w:w="900" w:type="dxa"/>
            <w:vAlign w:val="bottom"/>
          </w:tcPr>
          <w:p>
            <w:pPr>
              <w:jc w:val="right"/>
              <w:spacing w:after="0"/>
              <w:rPr>
                <w:sz w:val="20"/>
                <w:szCs w:val="20"/>
                <w:color w:val="auto"/>
              </w:rPr>
            </w:pPr>
            <w:r>
              <w:rPr>
                <w:rFonts w:ascii="Arial" w:cs="Arial" w:eastAsia="Arial" w:hAnsi="Arial"/>
                <w:sz w:val="18"/>
                <w:szCs w:val="18"/>
                <w:color w:val="auto"/>
              </w:rPr>
              <w:t>$  324,074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Total assets</w:t>
            </w:r>
            <w:r>
              <w:rPr>
                <w:rFonts w:ascii="Arial" w:cs="Arial" w:eastAsia="Arial" w:hAnsi="Arial"/>
                <w:sz w:val="26"/>
                <w:szCs w:val="26"/>
                <w:color w:val="auto"/>
                <w:vertAlign w:val="superscript"/>
              </w:rPr>
              <w:t>(5)</w:t>
            </w:r>
          </w:p>
        </w:tc>
        <w:tc>
          <w:tcPr>
            <w:tcW w:w="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4,910,038</w:t>
            </w:r>
          </w:p>
        </w:tc>
        <w:tc>
          <w:tcPr>
            <w:tcW w:w="12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4,997,139</w:t>
            </w: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1,316,887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1,320,732</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w w:val="95"/>
              </w:rPr>
              <w:t>551,118</w:t>
            </w:r>
          </w:p>
        </w:tc>
        <w:tc>
          <w:tcPr>
            <w:tcW w:w="1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410,626</w:t>
            </w: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317,118</w:t>
            </w:r>
          </w:p>
        </w:tc>
        <w:tc>
          <w:tcPr>
            <w:tcW w:w="900" w:type="dxa"/>
            <w:vAlign w:val="bottom"/>
          </w:tcPr>
          <w:p>
            <w:pPr>
              <w:jc w:val="right"/>
              <w:spacing w:after="0"/>
              <w:rPr>
                <w:sz w:val="20"/>
                <w:szCs w:val="20"/>
                <w:color w:val="auto"/>
              </w:rPr>
            </w:pPr>
            <w:r>
              <w:rPr>
                <w:rFonts w:ascii="Arial" w:cs="Arial" w:eastAsia="Arial" w:hAnsi="Arial"/>
                <w:sz w:val="18"/>
                <w:szCs w:val="18"/>
                <w:color w:val="auto"/>
              </w:rPr>
              <w:t>283,319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Total stockholders’ equity/members’ capital</w:t>
            </w:r>
            <w:r>
              <w:rPr>
                <w:rFonts w:ascii="Arial" w:cs="Arial" w:eastAsia="Arial" w:hAnsi="Arial"/>
                <w:sz w:val="26"/>
                <w:szCs w:val="26"/>
                <w:color w:val="auto"/>
                <w:vertAlign w:val="superscript"/>
              </w:rPr>
              <w:t>(5)</w:t>
            </w:r>
          </w:p>
        </w:tc>
        <w:tc>
          <w:tcPr>
            <w:tcW w:w="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4,358,920</w:t>
            </w:r>
          </w:p>
        </w:tc>
        <w:tc>
          <w:tcPr>
            <w:tcW w:w="120" w:type="dxa"/>
            <w:vAlign w:val="bottom"/>
            <w:shd w:val="clear" w:color="auto" w:fill="CCEEFF"/>
          </w:tcPr>
          <w:p>
            <w:pPr>
              <w:spacing w:after="0"/>
              <w:rPr>
                <w:sz w:val="21"/>
                <w:szCs w:val="21"/>
                <w:color w:val="auto"/>
              </w:rPr>
            </w:pPr>
          </w:p>
        </w:tc>
        <w:tc>
          <w:tcPr>
            <w:tcW w:w="940" w:type="dxa"/>
            <w:vAlign w:val="bottom"/>
            <w:tcBorders>
              <w:right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4,572,334</w:t>
            </w: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986,468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1,024,759</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Tradeweb Markets LLC</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Other Financial Data:</w:t>
      </w:r>
    </w:p>
    <w:p>
      <w:pPr>
        <w:ind w:left="1280"/>
        <w:spacing w:after="0" w:line="220" w:lineRule="auto"/>
        <w:rPr>
          <w:sz w:val="20"/>
          <w:szCs w:val="20"/>
          <w:color w:val="auto"/>
        </w:rPr>
      </w:pPr>
      <w:r>
        <w:rPr>
          <w:rFonts w:ascii="Arial" w:cs="Arial" w:eastAsia="Arial" w:hAnsi="Arial"/>
          <w:sz w:val="18"/>
          <w:szCs w:val="18"/>
          <w:color w:val="auto"/>
        </w:rPr>
        <w:t>Free Cash Flow</w:t>
      </w:r>
      <w:r>
        <w:rPr>
          <w:rFonts w:ascii="Arial" w:cs="Arial" w:eastAsia="Arial" w:hAnsi="Arial"/>
          <w:sz w:val="27"/>
          <w:szCs w:val="27"/>
          <w:color w:val="auto"/>
          <w:vertAlign w:val="superscript"/>
        </w:rPr>
        <w:t>(6)</w:t>
      </w:r>
    </w:p>
    <w:p>
      <w:pPr>
        <w:ind w:left="1280"/>
        <w:spacing w:after="0" w:line="198" w:lineRule="auto"/>
        <w:rPr>
          <w:sz w:val="20"/>
          <w:szCs w:val="20"/>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(7)</w:t>
      </w:r>
    </w:p>
    <w:p>
      <w:pPr>
        <w:ind w:left="1280"/>
        <w:spacing w:after="0" w:line="224" w:lineRule="auto"/>
        <w:rPr>
          <w:sz w:val="20"/>
          <w:szCs w:val="20"/>
          <w:color w:val="auto"/>
        </w:rPr>
      </w:pPr>
      <w:r>
        <w:rPr>
          <w:rFonts w:ascii="Arial" w:cs="Arial" w:eastAsia="Arial" w:hAnsi="Arial"/>
          <w:sz w:val="16"/>
          <w:szCs w:val="16"/>
          <w:color w:val="auto"/>
        </w:rPr>
        <w:t>Adjusted EBITDA margin</w:t>
      </w:r>
      <w:r>
        <w:rPr>
          <w:rFonts w:ascii="Arial" w:cs="Arial" w:eastAsia="Arial" w:hAnsi="Arial"/>
          <w:sz w:val="24"/>
          <w:szCs w:val="24"/>
          <w:color w:val="auto"/>
          <w:vertAlign w:val="superscript"/>
        </w:rPr>
        <w:t>(7)</w:t>
      </w:r>
    </w:p>
    <w:p>
      <w:pPr>
        <w:ind w:left="1280"/>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7"/>
          <w:szCs w:val="27"/>
          <w:color w:val="auto"/>
          <w:vertAlign w:val="superscript"/>
        </w:rPr>
        <w:t>(7)</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900" w:type="dxa"/>
            <w:vAlign w:val="bottom"/>
            <w:tcBorders>
              <w:top w:val="single" w:sz="8" w:color="auto"/>
              <w:bottom w:val="single" w:sz="8" w:color="auto"/>
            </w:tcBorders>
          </w:tcPr>
          <w:p>
            <w:pPr>
              <w:spacing w:after="0"/>
              <w:rPr>
                <w:sz w:val="17"/>
                <w:szCs w:val="17"/>
                <w:color w:val="auto"/>
              </w:rPr>
            </w:pPr>
          </w:p>
        </w:tc>
      </w:tr>
      <w:tr>
        <w:trPr>
          <w:trHeight w:val="166"/>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October 1,</w:t>
            </w:r>
          </w:p>
        </w:tc>
        <w:tc>
          <w:tcPr>
            <w:tcW w:w="2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January 1,</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2018 to</w:t>
            </w:r>
          </w:p>
        </w:tc>
        <w:tc>
          <w:tcPr>
            <w:tcW w:w="2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right w:val="single" w:sz="8" w:color="auto"/>
            </w:tcBorders>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6"/>
        </w:trPr>
        <w:tc>
          <w:tcPr>
            <w:tcW w:w="840" w:type="dxa"/>
            <w:vAlign w:val="bottom"/>
            <w:tcBorders>
              <w:bottom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(dollars in thousands)</w:t>
      </w:r>
    </w:p>
    <w:p>
      <w:pPr>
        <w:spacing w:after="0" w:line="307" w:lineRule="exact"/>
        <w:rPr>
          <w:sz w:val="20"/>
          <w:szCs w:val="20"/>
          <w:color w:val="auto"/>
        </w:rPr>
      </w:pPr>
    </w:p>
    <w:p>
      <w:pPr>
        <w:ind w:left="120"/>
        <w:spacing w:after="0"/>
        <w:tabs>
          <w:tab w:leader="none" w:pos="1000" w:val="left"/>
          <w:tab w:leader="none" w:pos="1980" w:val="left"/>
          <w:tab w:leader="none" w:pos="2940" w:val="left"/>
        </w:tabs>
        <w:rPr>
          <w:sz w:val="20"/>
          <w:szCs w:val="20"/>
          <w:color w:val="auto"/>
        </w:rPr>
      </w:pPr>
      <w:r>
        <w:rPr>
          <w:rFonts w:ascii="Arial" w:cs="Arial" w:eastAsia="Arial" w:hAnsi="Arial"/>
          <w:sz w:val="18"/>
          <w:szCs w:val="18"/>
          <w:color w:val="auto"/>
        </w:rPr>
        <w:t>$96,310</w:t>
      </w:r>
      <w:r>
        <w:rPr>
          <w:sz w:val="20"/>
          <w:szCs w:val="20"/>
          <w:color w:val="auto"/>
        </w:rPr>
        <w:tab/>
      </w:r>
      <w:r>
        <w:rPr>
          <w:rFonts w:ascii="Arial" w:cs="Arial" w:eastAsia="Arial" w:hAnsi="Arial"/>
          <w:sz w:val="18"/>
          <w:szCs w:val="18"/>
          <w:color w:val="auto"/>
        </w:rPr>
        <w:t>$138,978</w:t>
      </w:r>
      <w:r>
        <w:rPr>
          <w:sz w:val="20"/>
          <w:szCs w:val="20"/>
          <w:color w:val="auto"/>
        </w:rPr>
        <w:tab/>
      </w:r>
      <w:r>
        <w:rPr>
          <w:rFonts w:ascii="Arial" w:cs="Arial" w:eastAsia="Arial" w:hAnsi="Arial"/>
          <w:sz w:val="18"/>
          <w:szCs w:val="18"/>
          <w:color w:val="auto"/>
        </w:rPr>
        <w:t>$183,962</w:t>
      </w:r>
      <w:r>
        <w:rPr>
          <w:sz w:val="20"/>
          <w:szCs w:val="20"/>
          <w:color w:val="auto"/>
        </w:rPr>
        <w:tab/>
      </w:r>
      <w:r>
        <w:rPr>
          <w:rFonts w:ascii="Arial" w:cs="Arial" w:eastAsia="Arial" w:hAnsi="Arial"/>
          <w:sz w:val="16"/>
          <w:szCs w:val="16"/>
          <w:color w:val="auto"/>
        </w:rPr>
        <w:t>$136,496</w:t>
      </w:r>
    </w:p>
    <w:p>
      <w:pPr>
        <w:spacing w:after="0" w:line="50" w:lineRule="exact"/>
        <w:rPr>
          <w:sz w:val="20"/>
          <w:szCs w:val="20"/>
          <w:color w:val="auto"/>
        </w:rPr>
      </w:pPr>
    </w:p>
    <w:p>
      <w:pPr>
        <w:ind w:left="120"/>
        <w:spacing w:after="0"/>
        <w:tabs>
          <w:tab w:leader="none" w:pos="1000" w:val="left"/>
          <w:tab w:leader="none" w:pos="1980" w:val="left"/>
          <w:tab w:leader="none" w:pos="2940" w:val="left"/>
        </w:tabs>
        <w:rPr>
          <w:sz w:val="20"/>
          <w:szCs w:val="20"/>
          <w:color w:val="auto"/>
        </w:rPr>
      </w:pPr>
      <w:r>
        <w:rPr>
          <w:rFonts w:ascii="Arial" w:cs="Arial" w:eastAsia="Arial" w:hAnsi="Arial"/>
          <w:sz w:val="18"/>
          <w:szCs w:val="18"/>
          <w:color w:val="auto"/>
        </w:rPr>
        <w:t>$65,218</w:t>
      </w:r>
      <w:r>
        <w:rPr>
          <w:sz w:val="20"/>
          <w:szCs w:val="20"/>
          <w:color w:val="auto"/>
        </w:rPr>
        <w:tab/>
      </w:r>
      <w:r>
        <w:rPr>
          <w:rFonts w:ascii="Arial" w:cs="Arial" w:eastAsia="Arial" w:hAnsi="Arial"/>
          <w:sz w:val="18"/>
          <w:szCs w:val="18"/>
          <w:color w:val="auto"/>
        </w:rPr>
        <w:t>$215,012</w:t>
      </w:r>
      <w:r>
        <w:rPr>
          <w:sz w:val="20"/>
          <w:szCs w:val="20"/>
          <w:color w:val="auto"/>
        </w:rPr>
        <w:tab/>
      </w:r>
      <w:r>
        <w:rPr>
          <w:rFonts w:ascii="Arial" w:cs="Arial" w:eastAsia="Arial" w:hAnsi="Arial"/>
          <w:sz w:val="18"/>
          <w:szCs w:val="18"/>
          <w:color w:val="auto"/>
        </w:rPr>
        <w:t>$215,863</w:t>
      </w:r>
      <w:r>
        <w:rPr>
          <w:sz w:val="20"/>
          <w:szCs w:val="20"/>
          <w:color w:val="auto"/>
        </w:rPr>
        <w:tab/>
      </w:r>
      <w:r>
        <w:rPr>
          <w:rFonts w:ascii="Arial" w:cs="Arial" w:eastAsia="Arial" w:hAnsi="Arial"/>
          <w:sz w:val="16"/>
          <w:szCs w:val="16"/>
          <w:color w:val="auto"/>
        </w:rPr>
        <w:t>$202,086</w:t>
      </w:r>
    </w:p>
    <w:p>
      <w:pPr>
        <w:spacing w:after="0" w:line="50" w:lineRule="exact"/>
        <w:rPr>
          <w:sz w:val="20"/>
          <w:szCs w:val="20"/>
          <w:color w:val="auto"/>
        </w:rPr>
      </w:pPr>
    </w:p>
    <w:p>
      <w:pPr>
        <w:jc w:val="right"/>
        <w:ind w:right="659"/>
        <w:spacing w:after="0"/>
        <w:tabs>
          <w:tab w:leader="none" w:pos="2360" w:val="left"/>
          <w:tab w:leader="none" w:pos="1400" w:val="left"/>
          <w:tab w:leader="none" w:pos="44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39.0%</w:t>
      </w:r>
    </w:p>
    <w:p>
      <w:pPr>
        <w:spacing w:after="0" w:line="50" w:lineRule="exact"/>
        <w:rPr>
          <w:sz w:val="20"/>
          <w:szCs w:val="20"/>
          <w:color w:val="auto"/>
        </w:rPr>
      </w:pPr>
    </w:p>
    <w:p>
      <w:pPr>
        <w:ind w:left="120"/>
        <w:spacing w:after="0"/>
        <w:tabs>
          <w:tab w:leader="none" w:pos="1000" w:val="left"/>
          <w:tab w:leader="none" w:pos="1980" w:val="left"/>
          <w:tab w:leader="none" w:pos="2940" w:val="left"/>
        </w:tabs>
        <w:rPr>
          <w:sz w:val="20"/>
          <w:szCs w:val="20"/>
          <w:color w:val="auto"/>
        </w:rPr>
      </w:pPr>
      <w:r>
        <w:rPr>
          <w:rFonts w:ascii="Arial" w:cs="Arial" w:eastAsia="Arial" w:hAnsi="Arial"/>
          <w:sz w:val="18"/>
          <w:szCs w:val="18"/>
          <w:color w:val="auto"/>
        </w:rPr>
        <w:t>$51,983</w:t>
      </w:r>
      <w:r>
        <w:rPr>
          <w:sz w:val="20"/>
          <w:szCs w:val="20"/>
          <w:color w:val="auto"/>
        </w:rPr>
        <w:tab/>
      </w:r>
      <w:r>
        <w:rPr>
          <w:rFonts w:ascii="Arial" w:cs="Arial" w:eastAsia="Arial" w:hAnsi="Arial"/>
          <w:sz w:val="18"/>
          <w:szCs w:val="18"/>
          <w:color w:val="auto"/>
        </w:rPr>
        <w:t>$175,606</w:t>
      </w:r>
      <w:r>
        <w:rPr>
          <w:sz w:val="20"/>
          <w:szCs w:val="20"/>
          <w:color w:val="auto"/>
        </w:rPr>
        <w:tab/>
      </w:r>
      <w:r>
        <w:rPr>
          <w:rFonts w:ascii="Arial" w:cs="Arial" w:eastAsia="Arial" w:hAnsi="Arial"/>
          <w:sz w:val="18"/>
          <w:szCs w:val="18"/>
          <w:color w:val="auto"/>
        </w:rPr>
        <w:t>$173,040</w:t>
      </w:r>
      <w:r>
        <w:rPr>
          <w:sz w:val="20"/>
          <w:szCs w:val="20"/>
          <w:color w:val="auto"/>
        </w:rPr>
        <w:tab/>
      </w:r>
      <w:r>
        <w:rPr>
          <w:rFonts w:ascii="Arial" w:cs="Arial" w:eastAsia="Arial" w:hAnsi="Arial"/>
          <w:sz w:val="16"/>
          <w:szCs w:val="16"/>
          <w:color w:val="auto"/>
        </w:rPr>
        <w:t>$162,382</w:t>
      </w:r>
    </w:p>
    <w:p>
      <w:pPr>
        <w:spacing w:after="0" w:line="278" w:lineRule="exact"/>
        <w:rPr>
          <w:sz w:val="20"/>
          <w:szCs w:val="20"/>
          <w:color w:val="auto"/>
        </w:rPr>
      </w:pPr>
    </w:p>
    <w:p>
      <w:pPr>
        <w:sectPr>
          <w:pgSz w:w="11900" w:h="16838" w:orient="portrait"/>
          <w:cols w:equalWidth="0" w:num="2">
            <w:col w:w="5060" w:space="720"/>
            <w:col w:w="443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Tradeweb Markets LLC</w:t>
            </w:r>
          </w:p>
        </w:tc>
        <w:tc>
          <w:tcPr>
            <w:tcW w:w="940" w:type="dxa"/>
            <w:vAlign w:val="bottom"/>
            <w:tcBorders>
              <w:bottom w:val="single" w:sz="8" w:color="auto"/>
            </w:tcBorders>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189"/>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94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Average Daily Volumes:</w:t>
            </w: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Rates</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98"/>
              </w:rPr>
              <w:t>$354,999</w:t>
            </w: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$ 254,103</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$ 219,475</w:t>
            </w:r>
          </w:p>
        </w:tc>
      </w:tr>
      <w:tr>
        <w:trPr>
          <w:trHeight w:val="230"/>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Credit</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12,658</w:t>
            </w: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7,554</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5,954</w:t>
            </w: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Equities</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7,798</w:t>
            </w: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4,817</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4,523</w:t>
            </w:r>
          </w:p>
        </w:tc>
      </w:tr>
      <w:tr>
        <w:trPr>
          <w:trHeight w:val="257"/>
        </w:trPr>
        <w:tc>
          <w:tcPr>
            <w:tcW w:w="20" w:type="dxa"/>
            <w:vAlign w:val="bottom"/>
          </w:tcPr>
          <w:p>
            <w:pPr>
              <w:spacing w:after="0"/>
              <w:rPr>
                <w:sz w:val="22"/>
                <w:szCs w:val="22"/>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Money markets</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173,743</w:t>
            </w: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132,105</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94,324</w:t>
            </w:r>
          </w:p>
        </w:tc>
      </w:tr>
    </w:tbl>
    <w:p>
      <w:pPr>
        <w:spacing w:after="0" w:line="200" w:lineRule="exact"/>
        <w:rPr>
          <w:sz w:val="20"/>
          <w:szCs w:val="20"/>
          <w:color w:val="auto"/>
        </w:rPr>
      </w:pPr>
    </w:p>
    <w:p>
      <w:pPr>
        <w:spacing w:after="0" w:line="204" w:lineRule="exact"/>
        <w:rPr>
          <w:sz w:val="20"/>
          <w:szCs w:val="20"/>
          <w:color w:val="auto"/>
        </w:rPr>
      </w:pPr>
    </w:p>
    <w:p>
      <w:pPr>
        <w:ind w:left="1640" w:right="1099" w:hanging="354"/>
        <w:spacing w:after="0" w:line="312" w:lineRule="auto"/>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65" w:lineRule="exact"/>
        <w:rPr>
          <w:rFonts w:ascii="Arial" w:cs="Arial" w:eastAsia="Arial" w:hAnsi="Arial"/>
          <w:sz w:val="16"/>
          <w:szCs w:val="16"/>
          <w:color w:val="auto"/>
        </w:rPr>
      </w:pPr>
    </w:p>
    <w:p>
      <w:pPr>
        <w:ind w:left="1640" w:right="739" w:hanging="354"/>
        <w:spacing w:after="0" w:line="264" w:lineRule="auto"/>
        <w:tabs>
          <w:tab w:leader="none" w:pos="1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Subscription fees for the 2018 Successor Period, the 2018 Predecessor Period and the years ended December 31, 2017 and 2016 include $13.5 million, $36.9 million, $50.1 million and $50.6 million, respectively, of Refinitiv (formerly Thomson Reuters) market data fees.</w:t>
      </w:r>
    </w:p>
    <w:p>
      <w:pPr>
        <w:spacing w:after="0" w:line="113" w:lineRule="exact"/>
        <w:rPr>
          <w:rFonts w:ascii="Arial" w:cs="Arial" w:eastAsia="Arial" w:hAnsi="Arial"/>
          <w:sz w:val="18"/>
          <w:szCs w:val="18"/>
          <w:color w:val="auto"/>
        </w:rPr>
      </w:pPr>
    </w:p>
    <w:p>
      <w:pPr>
        <w:ind w:left="1640" w:right="899" w:hanging="354"/>
        <w:spacing w:after="0" w:line="257" w:lineRule="auto"/>
        <w:tabs>
          <w:tab w:leader="none" w:pos="1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120" w:lineRule="exact"/>
        <w:rPr>
          <w:rFonts w:ascii="Arial" w:cs="Arial" w:eastAsia="Arial" w:hAnsi="Arial"/>
          <w:sz w:val="18"/>
          <w:szCs w:val="18"/>
          <w:color w:val="auto"/>
        </w:rPr>
      </w:pPr>
    </w:p>
    <w:p>
      <w:pPr>
        <w:ind w:left="1640" w:right="759" w:hanging="354"/>
        <w:spacing w:after="0" w:line="285" w:lineRule="auto"/>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Distributions declared in the year preceding an initial public offering are deemed to be in contemplation of the offering with the intention of repayment out of offering proceeds to the extent that the distributions exceed earnings during such period. TWM LLC paid cash distributions of $25.0 million, $55.0 million, $59.4 million, $36.0 million and $20.0 million in February, June, September and December 2018 and March 2019, respectively, which we collectively refer to as the “2018 and 2019 Distributions.” TWM LLC anticipates paying a cash distribution of $100.0 million to the Original LLC Owners prior to the consummation of this offering, which we refer to as the “Special Distribution.” The Special Distribution is expected to be funded with cash on hand. The supplemental pro forma information has been computed to give effect to the number of shares whose proceeds would be necessary to pay (i) the Special Distribution and (ii) the 2018 and 2019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 Class A and Class B common stock are based on historical Tradeweb Markets LLC financial information, which as a limited liability company did not have any shares of Class A or Class B common stock outstanding during the year ended December 31, 2018. The supplemental pro forma weighted average shares of Class A and Class B common stock outstanding during the year ended December 31, 2018 only include 6,783,444 shares to pay such distributions.</w:t>
      </w:r>
    </w:p>
    <w:p>
      <w:pPr>
        <w:spacing w:after="0" w:line="94" w:lineRule="exact"/>
        <w:rPr>
          <w:rFonts w:ascii="Arial" w:cs="Arial" w:eastAsia="Arial" w:hAnsi="Arial"/>
          <w:sz w:val="16"/>
          <w:szCs w:val="16"/>
          <w:color w:val="auto"/>
        </w:rPr>
      </w:pPr>
    </w:p>
    <w:p>
      <w:pPr>
        <w:ind w:left="1640" w:right="899" w:hanging="354"/>
        <w:spacing w:after="0" w:line="276" w:lineRule="auto"/>
        <w:tabs>
          <w:tab w:leader="none" w:pos="1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 forma cash and cash equivalents, total assets and total stockholders’ equity do not reflect the $20.0 million distribution paid to the Original LLC Owners in March 2019. Historical cash and cash equivalents, total assets and total members’ capital do not reflect the (i) $20.0 million distribution paid to the Original LLC Owners in March 2019 and (ii) $100.0 million special distribution expected to be paid to the Original LLC Owners prior to the consummation of this offering. See “Dividend Policy.”</w:t>
      </w:r>
    </w:p>
    <w:p>
      <w:pPr>
        <w:spacing w:after="0" w:line="105" w:lineRule="exact"/>
        <w:rPr>
          <w:rFonts w:ascii="Arial" w:cs="Arial" w:eastAsia="Arial" w:hAnsi="Arial"/>
          <w:sz w:val="17"/>
          <w:szCs w:val="17"/>
          <w:color w:val="auto"/>
        </w:rPr>
      </w:pPr>
    </w:p>
    <w:p>
      <w:pPr>
        <w:ind w:left="1640" w:right="1039" w:hanging="354"/>
        <w:spacing w:after="0" w:line="259" w:lineRule="auto"/>
        <w:tabs>
          <w:tab w:leader="none" w:pos="1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819"/>
        <w:spacing w:after="0" w:line="259"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9" w:lineRule="exact"/>
        <w:rPr>
          <w:sz w:val="20"/>
          <w:szCs w:val="20"/>
          <w:color w:val="auto"/>
        </w:rPr>
      </w:pPr>
    </w:p>
    <w:p>
      <w:pPr>
        <w:ind w:left="1640" w:right="739"/>
        <w:spacing w:after="0" w:line="254"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4" w:lineRule="exact"/>
        <w:rPr>
          <w:sz w:val="20"/>
          <w:szCs w:val="20"/>
          <w:color w:val="auto"/>
        </w:rPr>
      </w:pPr>
    </w:p>
    <w:p>
      <w:pPr>
        <w:jc w:val="both"/>
        <w:ind w:left="1640" w:right="939"/>
        <w:spacing w:after="0" w:line="25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2" w:lineRule="exact"/>
        <w:rPr>
          <w:sz w:val="20"/>
          <w:szCs w:val="20"/>
          <w:color w:val="auto"/>
        </w:rPr>
      </w:pPr>
    </w:p>
    <w:tbl>
      <w:tblPr>
        <w:tblLayout w:type="fixed"/>
        <w:tblInd w:w="164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January 1,</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5"/>
          </w:tcPr>
          <w:p>
            <w:pPr>
              <w:jc w:val="right"/>
              <w:ind w:right="66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from operating activities</w:t>
            </w: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89"/>
              </w:rPr>
              <w:t>112,556</w:t>
            </w:r>
          </w:p>
        </w:tc>
        <w:tc>
          <w:tcPr>
            <w:tcW w:w="120" w:type="dxa"/>
            <w:vAlign w:val="bottom"/>
            <w:tcBorders>
              <w:right w:val="single" w:sz="8" w:color="auto"/>
            </w:tcBorders>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$ 164,828</w:t>
            </w: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$224,580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$171,845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(7,156)</w:t>
            </w:r>
          </w:p>
        </w:tc>
        <w:tc>
          <w:tcPr>
            <w:tcW w:w="120" w:type="dxa"/>
            <w:vAlign w:val="bottom"/>
            <w:tcBorders>
              <w:right w:val="single" w:sz="8" w:color="auto"/>
            </w:tcBorders>
          </w:tcPr>
          <w:p>
            <w:pPr>
              <w:spacing w:after="0"/>
              <w:rPr>
                <w:sz w:val="20"/>
                <w:szCs w:val="20"/>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(19,523)</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(27,157)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(25,351)</w:t>
            </w:r>
          </w:p>
        </w:tc>
        <w:tc>
          <w:tcPr>
            <w:tcW w:w="20" w:type="dxa"/>
            <w:vAlign w:val="bottom"/>
          </w:tcPr>
          <w:p>
            <w:pPr>
              <w:spacing w:after="0"/>
              <w:rPr>
                <w:sz w:val="20"/>
                <w:szCs w:val="20"/>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Purchases of furniture, equipment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leasehold improvements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(9,090)</w:t>
            </w:r>
          </w:p>
        </w:tc>
        <w:tc>
          <w:tcPr>
            <w:tcW w:w="12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(6,327)</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(13,461)</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(9,998)</w:t>
            </w:r>
          </w:p>
        </w:tc>
        <w:tc>
          <w:tcPr>
            <w:tcW w:w="20" w:type="dxa"/>
            <w:vAlign w:val="bottom"/>
            <w:shd w:val="clear" w:color="auto" w:fill="CCEEFF"/>
          </w:tcPr>
          <w:p>
            <w:pPr>
              <w:spacing w:after="0"/>
              <w:rPr>
                <w:sz w:val="20"/>
                <w:szCs w:val="20"/>
                <w:color w:val="auto"/>
              </w:rPr>
            </w:pPr>
          </w:p>
        </w:tc>
      </w:tr>
      <w:tr>
        <w:trPr>
          <w:trHeight w:val="223"/>
        </w:trPr>
        <w:tc>
          <w:tcPr>
            <w:tcW w:w="3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96,310</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$ 138,978</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136,496</w:t>
            </w: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3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29" w:lineRule="exact"/>
        <w:rPr>
          <w:sz w:val="20"/>
          <w:szCs w:val="20"/>
          <w:color w:val="auto"/>
        </w:rPr>
      </w:pPr>
    </w:p>
    <w:p>
      <w:pPr>
        <w:ind w:left="1640" w:right="879" w:hanging="354"/>
        <w:spacing w:after="0" w:line="308" w:lineRule="auto"/>
        <w:tabs>
          <w:tab w:leader="none" w:pos="1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40" w:right="73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63" w:lineRule="exact"/>
        <w:rPr>
          <w:rFonts w:ascii="Arial" w:cs="Arial" w:eastAsia="Arial" w:hAnsi="Arial"/>
          <w:sz w:val="17"/>
          <w:szCs w:val="17"/>
          <w:color w:val="auto"/>
        </w:rPr>
      </w:pPr>
    </w:p>
    <w:p>
      <w:pPr>
        <w:ind w:left="1640" w:right="739"/>
        <w:spacing w:after="0" w:line="257" w:lineRule="auto"/>
        <w:rPr>
          <w:rFonts w:ascii="Arial" w:cs="Arial" w:eastAsia="Arial" w:hAnsi="Arial"/>
          <w:sz w:val="17"/>
          <w:szCs w:val="17"/>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rFonts w:ascii="Arial" w:cs="Arial" w:eastAsia="Arial" w:hAnsi="Arial"/>
          <w:sz w:val="17"/>
          <w:szCs w:val="17"/>
          <w:color w:val="auto"/>
        </w:rPr>
      </w:pPr>
    </w:p>
    <w:p>
      <w:pPr>
        <w:ind w:left="1640" w:right="1159"/>
        <w:spacing w:after="0" w:line="277" w:lineRule="auto"/>
        <w:rPr>
          <w:rFonts w:ascii="Arial" w:cs="Arial" w:eastAsia="Arial" w:hAnsi="Arial"/>
          <w:sz w:val="17"/>
          <w:szCs w:val="17"/>
          <w:color w:val="auto"/>
        </w:rPr>
      </w:pPr>
      <w:r>
        <w:rPr>
          <w:rFonts w:ascii="Arial" w:cs="Arial" w:eastAsia="Arial" w:hAnsi="Arial"/>
          <w:sz w:val="18"/>
          <w:szCs w:val="18"/>
          <w:color w:val="auto"/>
        </w:rPr>
        <w:t>Adjusted EBITDA margin is defined as Adjusted EBITDA divided by gross revenue for the applicable period.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819"/>
        <w:spacing w:after="0" w:line="286"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7" w:lineRule="exact"/>
        <w:rPr>
          <w:sz w:val="20"/>
          <w:szCs w:val="20"/>
          <w:color w:val="auto"/>
        </w:rPr>
      </w:pPr>
    </w:p>
    <w:p>
      <w:pPr>
        <w:ind w:left="1640" w:right="719"/>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33"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3460" w:type="dxa"/>
            <w:vAlign w:val="bottom"/>
          </w:tcPr>
          <w:p>
            <w:pPr>
              <w:spacing w:after="0"/>
              <w:rPr>
                <w:sz w:val="2"/>
                <w:szCs w:val="2"/>
                <w:color w:val="auto"/>
              </w:rPr>
            </w:pPr>
          </w:p>
        </w:tc>
        <w:tc>
          <w:tcPr>
            <w:tcW w:w="960" w:type="dxa"/>
            <w:vAlign w:val="bottom"/>
            <w:tcBorders>
              <w:bottom w:val="single" w:sz="8" w:color="auto"/>
              <w:right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3460" w:type="dxa"/>
            <w:vAlign w:val="bottom"/>
          </w:tcPr>
          <w:p>
            <w:pPr>
              <w:spacing w:after="0"/>
              <w:rPr>
                <w:sz w:val="15"/>
                <w:szCs w:val="15"/>
                <w:color w:val="auto"/>
              </w:rPr>
            </w:pPr>
          </w:p>
        </w:tc>
        <w:tc>
          <w:tcPr>
            <w:tcW w:w="96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2018 to</w:t>
            </w: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460" w:type="dxa"/>
            <w:vAlign w:val="bottom"/>
          </w:tcPr>
          <w:p>
            <w:pPr>
              <w:spacing w:after="0"/>
              <w:rPr>
                <w:sz w:val="14"/>
                <w:szCs w:val="14"/>
                <w:color w:val="auto"/>
              </w:rPr>
            </w:pPr>
          </w:p>
        </w:tc>
        <w:tc>
          <w:tcPr>
            <w:tcW w:w="9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8"/>
              </w:rPr>
              <w:t>December 31,</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460" w:type="dxa"/>
            <w:vAlign w:val="bottom"/>
          </w:tcPr>
          <w:p>
            <w:pPr>
              <w:spacing w:after="0"/>
              <w:rPr>
                <w:sz w:val="16"/>
                <w:szCs w:val="16"/>
                <w:color w:val="auto"/>
              </w:rPr>
            </w:pPr>
          </w:p>
        </w:tc>
        <w:tc>
          <w:tcPr>
            <w:tcW w:w="7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$ 29,307</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$ 130,160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93,161</w:t>
            </w:r>
          </w:p>
        </w:tc>
        <w:tc>
          <w:tcPr>
            <w:tcW w:w="20" w:type="dxa"/>
            <w:vAlign w:val="bottom"/>
            <w:shd w:val="clear" w:color="auto" w:fill="CCEEFF"/>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26,830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26,224</w:t>
            </w:r>
          </w:p>
        </w:tc>
        <w:tc>
          <w:tcPr>
            <w:tcW w:w="20" w:type="dxa"/>
            <w:vAlign w:val="bottom"/>
          </w:tcPr>
          <w:p>
            <w:pPr>
              <w:spacing w:after="0"/>
              <w:rPr>
                <w:sz w:val="22"/>
                <w:szCs w:val="22"/>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9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(787)</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33,020</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48,808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68,615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80,859</w:t>
            </w:r>
          </w:p>
        </w:tc>
        <w:tc>
          <w:tcPr>
            <w:tcW w:w="20" w:type="dxa"/>
            <w:vAlign w:val="bottom"/>
          </w:tcPr>
          <w:p>
            <w:pPr>
              <w:spacing w:after="0"/>
              <w:rPr>
                <w:sz w:val="22"/>
                <w:szCs w:val="22"/>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3,415</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11,900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22"/>
                <w:szCs w:val="22"/>
                <w:color w:val="auto"/>
              </w:rPr>
            </w:pPr>
          </w:p>
        </w:tc>
      </w:tr>
      <w:tr>
        <w:trPr>
          <w:trHeight w:val="263"/>
        </w:trPr>
        <w:tc>
          <w:tcPr>
            <w:tcW w:w="346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263</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2"/>
                <w:szCs w:val="22"/>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2"/>
                <w:szCs w:val="22"/>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$ 65,218</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$ 215,012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215,863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202,086</w:t>
            </w:r>
          </w:p>
        </w:tc>
        <w:tc>
          <w:tcPr>
            <w:tcW w:w="20" w:type="dxa"/>
            <w:vAlign w:val="bottom"/>
            <w:shd w:val="clear" w:color="auto" w:fill="CCEEFF"/>
          </w:tcPr>
          <w:p>
            <w:pPr>
              <w:spacing w:after="0"/>
              <w:rPr>
                <w:sz w:val="22"/>
                <w:szCs w:val="22"/>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2"/>
        </w:trPr>
        <w:tc>
          <w:tcPr>
            <w:tcW w:w="3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table set forth below presents a reconciliation of net income to Adjusted Net Income for the 2018</w:t>
      </w:r>
    </w:p>
    <w:p>
      <w:pPr>
        <w:spacing w:after="0" w:line="3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33"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Tradeweb Markets LLC</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5"/>
              </w:rPr>
              <w:t>October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40" w:type="dxa"/>
            <w:vAlign w:val="bottom"/>
            <w:gridSpan w:val="2"/>
          </w:tcPr>
          <w:p>
            <w:pPr>
              <w:jc w:val="center"/>
              <w:ind w:left="81"/>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6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$ 29,307</w:t>
            </w:r>
          </w:p>
        </w:tc>
        <w:tc>
          <w:tcPr>
            <w:tcW w:w="100" w:type="dxa"/>
            <w:vAlign w:val="bottom"/>
            <w:tcBorders>
              <w:right w:val="single" w:sz="8" w:color="auto"/>
            </w:tcBorders>
            <w:shd w:val="clear" w:color="auto" w:fill="CCEEFF"/>
          </w:tcPr>
          <w:p>
            <w:pPr>
              <w:spacing w:after="0"/>
              <w:rPr>
                <w:sz w:val="22"/>
                <w:szCs w:val="22"/>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$ 130,160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93,161</w:t>
            </w:r>
          </w:p>
        </w:tc>
        <w:tc>
          <w:tcPr>
            <w:tcW w:w="20" w:type="dxa"/>
            <w:vAlign w:val="bottom"/>
            <w:shd w:val="clear" w:color="auto" w:fill="CCEEFF"/>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26,830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58,520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26,224</w:t>
            </w:r>
          </w:p>
        </w:tc>
        <w:tc>
          <w:tcPr>
            <w:tcW w:w="20" w:type="dxa"/>
            <w:vAlign w:val="bottom"/>
          </w:tcPr>
          <w:p>
            <w:pPr>
              <w:spacing w:after="0"/>
              <w:rPr>
                <w:sz w:val="22"/>
                <w:szCs w:val="22"/>
                <w:color w:val="auto"/>
              </w:rPr>
            </w:pPr>
          </w:p>
        </w:tc>
      </w:tr>
      <w:tr>
        <w:trPr>
          <w:trHeight w:val="192"/>
        </w:trPr>
        <w:tc>
          <w:tcPr>
            <w:tcW w:w="340" w:type="dxa"/>
            <w:vAlign w:val="bottom"/>
          </w:tcPr>
          <w:p>
            <w:pPr>
              <w:spacing w:after="0"/>
              <w:rPr>
                <w:sz w:val="16"/>
                <w:szCs w:val="16"/>
                <w:color w:val="auto"/>
              </w:rPr>
            </w:pPr>
          </w:p>
        </w:tc>
        <w:tc>
          <w:tcPr>
            <w:tcW w:w="34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8"/>
              </w:rPr>
              <w:t>Acquisition and Refinitiv Transaction related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94"/>
        </w:trPr>
        <w:tc>
          <w:tcPr>
            <w:tcW w:w="340" w:type="dxa"/>
            <w:vAlign w:val="bottom"/>
          </w:tcPr>
          <w:p>
            <w:pPr>
              <w:spacing w:after="0"/>
              <w:rPr>
                <w:sz w:val="24"/>
                <w:szCs w:val="24"/>
                <w:color w:val="auto"/>
              </w:rPr>
            </w:pPr>
          </w:p>
        </w:tc>
        <w:tc>
          <w:tcPr>
            <w:tcW w:w="348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7"/>
                <w:szCs w:val="27"/>
                <w:color w:val="auto"/>
                <w:vertAlign w:val="superscript"/>
              </w:rPr>
              <w:t>(a)</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22,413</w:t>
            </w:r>
          </w:p>
        </w:tc>
        <w:tc>
          <w:tcPr>
            <w:tcW w:w="100" w:type="dxa"/>
            <w:vAlign w:val="bottom"/>
            <w:tcBorders>
              <w:right w:val="single" w:sz="8" w:color="auto"/>
            </w:tcBorders>
            <w:shd w:val="clear" w:color="auto" w:fill="CCEEFF"/>
          </w:tcPr>
          <w:p>
            <w:pPr>
              <w:spacing w:after="0"/>
              <w:rPr>
                <w:sz w:val="24"/>
                <w:szCs w:val="2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19,576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31,236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41,125</w:t>
            </w:r>
          </w:p>
        </w:tc>
        <w:tc>
          <w:tcPr>
            <w:tcW w:w="20" w:type="dxa"/>
            <w:vAlign w:val="bottom"/>
            <w:shd w:val="clear" w:color="auto" w:fill="CCEEFF"/>
          </w:tcPr>
          <w:p>
            <w:pPr>
              <w:spacing w:after="0"/>
              <w:rPr>
                <w:sz w:val="24"/>
                <w:szCs w:val="24"/>
                <w:color w:val="auto"/>
              </w:rPr>
            </w:pPr>
          </w:p>
        </w:tc>
      </w:tr>
      <w:tr>
        <w:trPr>
          <w:trHeight w:val="263"/>
        </w:trPr>
        <w:tc>
          <w:tcPr>
            <w:tcW w:w="34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tcBorders>
              <w:right w:val="single" w:sz="8" w:color="auto"/>
            </w:tcBorders>
          </w:tcPr>
          <w:p>
            <w:pPr>
              <w:spacing w:after="0"/>
              <w:rPr>
                <w:sz w:val="22"/>
                <w:szCs w:val="22"/>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$ 51,983</w:t>
            </w:r>
          </w:p>
        </w:tc>
        <w:tc>
          <w:tcPr>
            <w:tcW w:w="100" w:type="dxa"/>
            <w:vAlign w:val="bottom"/>
            <w:tcBorders>
              <w:right w:val="single" w:sz="8" w:color="auto"/>
            </w:tcBorders>
            <w:shd w:val="clear" w:color="auto" w:fill="CCEEFF"/>
          </w:tcPr>
          <w:p>
            <w:pPr>
              <w:spacing w:after="0"/>
              <w:rPr>
                <w:sz w:val="22"/>
                <w:szCs w:val="22"/>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$ 175,606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173,040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162,382</w:t>
            </w:r>
          </w:p>
        </w:tc>
        <w:tc>
          <w:tcPr>
            <w:tcW w:w="20" w:type="dxa"/>
            <w:vAlign w:val="bottom"/>
            <w:shd w:val="clear" w:color="auto" w:fill="CCEEFF"/>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2"/>
        </w:trPr>
        <w:tc>
          <w:tcPr>
            <w:tcW w:w="3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left="1640" w:right="779" w:hanging="354"/>
        <w:spacing w:after="0" w:line="312" w:lineRule="auto"/>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2"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5" w:lineRule="exact"/>
        <w:rPr>
          <w:sz w:val="20"/>
          <w:szCs w:val="20"/>
          <w:color w:val="auto"/>
        </w:rPr>
      </w:pPr>
    </w:p>
    <w:p>
      <w:pPr>
        <w:ind w:left="1260" w:right="839" w:firstLine="360"/>
        <w:spacing w:after="0" w:line="302" w:lineRule="auto"/>
        <w:rPr>
          <w:sz w:val="20"/>
          <w:szCs w:val="20"/>
          <w:color w:val="auto"/>
        </w:rPr>
      </w:pPr>
      <w:r>
        <w:rPr>
          <w:rFonts w:ascii="Arial" w:cs="Arial" w:eastAsia="Arial" w:hAnsi="Arial"/>
          <w:sz w:val="16"/>
          <w:szCs w:val="16"/>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60" w:lineRule="exact"/>
        <w:rPr>
          <w:sz w:val="20"/>
          <w:szCs w:val="20"/>
          <w:color w:val="auto"/>
        </w:rPr>
      </w:pPr>
    </w:p>
    <w:p>
      <w:pPr>
        <w:ind w:left="1980" w:right="1099" w:hanging="352"/>
        <w:spacing w:after="0" w:line="279" w:lineRule="auto"/>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economic and political conditions and uncertainties in the United States, the United Kingdom, the European Union and/or its member states, China or other major economies around the world, including, among other things, the proposed exit by the United Kingdom from the European Union (“Brexit”) or any prolonged shutdown of the U.S. government;</w:t>
      </w:r>
    </w:p>
    <w:p>
      <w:pPr>
        <w:spacing w:after="0" w:line="63" w:lineRule="exact"/>
        <w:rPr>
          <w:rFonts w:ascii="Arial" w:cs="Arial" w:eastAsia="Arial" w:hAnsi="Arial"/>
          <w:sz w:val="17"/>
          <w:szCs w:val="17"/>
          <w:color w:val="auto"/>
        </w:rPr>
      </w:pPr>
    </w:p>
    <w:p>
      <w:pPr>
        <w:ind w:left="1980" w:right="1379" w:hanging="352"/>
        <w:spacing w:after="0" w:line="342" w:lineRule="auto"/>
        <w:tabs>
          <w:tab w:leader="none" w:pos="1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 of Federal Reserve Board and other central banks’ monetary policy, increased capital requirements for banks and other financial institutions, and other regulatory requirements;</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28" w:lineRule="exact"/>
        <w:rPr>
          <w:rFonts w:ascii="Arial" w:cs="Arial" w:eastAsia="Arial" w:hAnsi="Arial"/>
          <w:sz w:val="17"/>
          <w:szCs w:val="17"/>
          <w:color w:val="auto"/>
        </w:rPr>
      </w:pPr>
    </w:p>
    <w:p>
      <w:pPr>
        <w:ind w:left="1980" w:right="779" w:hanging="352"/>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5" w:lineRule="exact"/>
        <w:rPr>
          <w:rFonts w:ascii="Arial" w:cs="Arial" w:eastAsia="Arial" w:hAnsi="Arial"/>
          <w:sz w:val="18"/>
          <w:szCs w:val="18"/>
          <w:color w:val="auto"/>
        </w:rPr>
      </w:pPr>
    </w:p>
    <w:p>
      <w:pPr>
        <w:ind w:left="1980" w:right="1659" w:hanging="352"/>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concerns over inflation and weakening consumer and investor confidence levels;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concerns over credit default or bankruptcy of one or more sovereign nations or corporate entities;</w:t>
      </w:r>
    </w:p>
    <w:p>
      <w:pPr>
        <w:spacing w:after="0" w:line="128" w:lineRule="exact"/>
        <w:rPr>
          <w:rFonts w:ascii="Arial" w:cs="Arial" w:eastAsia="Arial" w:hAnsi="Arial"/>
          <w:sz w:val="17"/>
          <w:szCs w:val="17"/>
          <w:color w:val="auto"/>
        </w:rPr>
      </w:pPr>
    </w:p>
    <w:p>
      <w:pPr>
        <w:ind w:left="1980" w:right="779" w:hanging="352"/>
        <w:spacing w:after="0" w:line="308" w:lineRule="auto"/>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legislative and regulatory changes, including changes to financial industry regulations and tax laws that could limit the ability of market participants to engage in a wider array of trading activities;</w:t>
      </w:r>
    </w:p>
    <w:p>
      <w:pPr>
        <w:spacing w:after="0" w:line="51"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threatened acts of war, terrorism or other armed hostilities.</w:t>
      </w:r>
    </w:p>
    <w:p>
      <w:pPr>
        <w:spacing w:after="0" w:line="117"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59" w:lineRule="exact"/>
        <w:rPr>
          <w:sz w:val="20"/>
          <w:szCs w:val="20"/>
          <w:color w:val="auto"/>
        </w:rPr>
      </w:pPr>
    </w:p>
    <w:p>
      <w:pPr>
        <w:ind w:left="1260" w:right="959" w:firstLine="360"/>
        <w:spacing w:after="0" w:line="276" w:lineRule="auto"/>
        <w:rPr>
          <w:sz w:val="20"/>
          <w:szCs w:val="20"/>
          <w:color w:val="auto"/>
        </w:rPr>
      </w:pPr>
      <w:r>
        <w:rPr>
          <w:rFonts w:ascii="Arial" w:cs="Arial" w:eastAsia="Arial" w:hAnsi="Arial"/>
          <w:sz w:val="17"/>
          <w:szCs w:val="17"/>
          <w:color w:val="auto"/>
        </w:rPr>
        <w:t>In the event of stagnant economic conditions or stability in the U.S. and/or global financial markets, we would likely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markets could be jeopardized, which, in turn, could further discourage clients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80"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54"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5"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We face intense competition in both the financial services industry generally and the institutional, wholesale and retail client sectors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57"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61"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trading protocols we offer our clients.</w:t>
      </w:r>
    </w:p>
    <w:p>
      <w:pPr>
        <w:spacing w:after="0" w:line="65" w:lineRule="exact"/>
        <w:rPr>
          <w:sz w:val="20"/>
          <w:szCs w:val="20"/>
          <w:color w:val="auto"/>
        </w:rPr>
      </w:pPr>
    </w:p>
    <w:p>
      <w:pPr>
        <w:jc w:val="both"/>
        <w:ind w:left="1260" w:right="839" w:firstLine="360"/>
        <w:spacing w:after="0" w:line="276" w:lineRule="auto"/>
        <w:rPr>
          <w:sz w:val="20"/>
          <w:szCs w:val="20"/>
          <w:color w:val="auto"/>
        </w:rPr>
      </w:pPr>
      <w:r>
        <w:rPr>
          <w:rFonts w:ascii="Arial" w:cs="Arial" w:eastAsia="Arial" w:hAnsi="Arial"/>
          <w:sz w:val="17"/>
          <w:szCs w:val="17"/>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recently acquired BondPoint, TMC Bonds and IDC, in an effort to expand its portfolio of fixed income products and services. In</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93" w:lineRule="auto"/>
        <w:rPr>
          <w:sz w:val="20"/>
          <w:szCs w:val="20"/>
          <w:color w:val="auto"/>
        </w:rPr>
      </w:pPr>
      <w:r>
        <w:rPr>
          <w:rFonts w:ascii="Arial" w:cs="Arial" w:eastAsia="Arial" w:hAnsi="Arial"/>
          <w:sz w:val="16"/>
          <w:szCs w:val="16"/>
          <w:color w:val="auto"/>
        </w:rPr>
        <w:t>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proceeds compared to our variable fees)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57"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a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6" w:lineRule="exact"/>
        <w:rPr>
          <w:sz w:val="20"/>
          <w:szCs w:val="20"/>
          <w:color w:val="auto"/>
        </w:rPr>
      </w:pPr>
    </w:p>
    <w:p>
      <w:pPr>
        <w:ind w:left="1260" w:right="799"/>
        <w:spacing w:after="0" w:line="253"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1"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5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89" w:lineRule="exact"/>
        <w:rPr>
          <w:sz w:val="20"/>
          <w:szCs w:val="20"/>
          <w:color w:val="auto"/>
        </w:rPr>
      </w:pPr>
    </w:p>
    <w:p>
      <w:pPr>
        <w:ind w:left="1980" w:right="1179" w:hanging="352"/>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89" w:lineRule="exact"/>
        <w:rPr>
          <w:rFonts w:ascii="Arial" w:cs="Arial" w:eastAsia="Arial" w:hAnsi="Arial"/>
          <w:sz w:val="18"/>
          <w:szCs w:val="18"/>
          <w:color w:val="auto"/>
        </w:rPr>
      </w:pPr>
    </w:p>
    <w:p>
      <w:pPr>
        <w:ind w:left="1980" w:right="819" w:hanging="352"/>
        <w:spacing w:after="0" w:line="286" w:lineRule="auto"/>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84" w:lineRule="exact"/>
        <w:rPr>
          <w:rFonts w:ascii="Arial" w:cs="Arial" w:eastAsia="Arial" w:hAnsi="Arial"/>
          <w:sz w:val="17"/>
          <w:szCs w:val="17"/>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144" w:lineRule="exact"/>
        <w:rPr>
          <w:rFonts w:ascii="Arial" w:cs="Arial" w:eastAsia="Arial" w:hAnsi="Arial"/>
          <w:sz w:val="18"/>
          <w:szCs w:val="18"/>
          <w:color w:val="auto"/>
        </w:rPr>
      </w:pPr>
    </w:p>
    <w:p>
      <w:pPr>
        <w:ind w:left="1980" w:right="859" w:hanging="352"/>
        <w:spacing w:after="0" w:line="342" w:lineRule="auto"/>
        <w:tabs>
          <w:tab w:leader="none" w:pos="1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respond to competitive pressures, technological advances, including new or disruptive technology, emerging industry standards and practices and regulatory changes on a cost-effective and timely basis;</w:t>
      </w:r>
    </w:p>
    <w:p>
      <w:pPr>
        <w:spacing w:after="0" w:line="29" w:lineRule="exact"/>
        <w:rPr>
          <w:rFonts w:ascii="Arial" w:cs="Arial" w:eastAsia="Arial" w:hAnsi="Arial"/>
          <w:sz w:val="16"/>
          <w:szCs w:val="16"/>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operate, support, expand, adapt and develop our operations, systems, networks and infrastructure;</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57"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new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5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54" w:lineRule="exact"/>
        <w:rPr>
          <w:sz w:val="20"/>
          <w:szCs w:val="20"/>
          <w:color w:val="auto"/>
        </w:rPr>
      </w:pPr>
    </w:p>
    <w:p>
      <w:pPr>
        <w:ind w:left="1260" w:right="1299"/>
        <w:spacing w:after="0" w:line="246"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5"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85"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65"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We are dependent on our dealer clients that are also stockholders to support our marketplaces by transacting with our other institutional, wholesale and retail clients.</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In particular, we have historically earned a substantial portion of our revenues from dealer clients that are also stockholders. We refer to these clients and stockholders as the “Bank Stockholders.” For the combined year ended December 31, 2018 and the years ended December 31, 2017 and 2016, 42.2%, 41.3% and 40.8%, respectively, of our revenues were generated by the Bank Stockholders and their affiliates. Market knowledge and feedback from these Bank Stockholders have been important factors in the development of many of our offerings and solutions. In addition, these Bank Stockholders also provide us with data via feeds and through the transactions they execute on our trading platforms, which is an important input for our market data offerings.</w:t>
      </w:r>
    </w:p>
    <w:p>
      <w:pPr>
        <w:spacing w:after="0" w:line="74"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There are inherent risks whenever a significant percentage of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Bank Stockholder’s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7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61"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Bank Stockholders may reduce their engagement with us after this offering due to the reduction in the level of their equity ownership following the completion of this offering.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69" w:lineRule="exact"/>
        <w:rPr>
          <w:sz w:val="20"/>
          <w:szCs w:val="20"/>
          <w:color w:val="auto"/>
        </w:rPr>
      </w:pPr>
    </w:p>
    <w:p>
      <w:pPr>
        <w:ind w:left="1260" w:right="859"/>
        <w:spacing w:after="0" w:line="307" w:lineRule="auto"/>
        <w:rPr>
          <w:sz w:val="20"/>
          <w:szCs w:val="20"/>
          <w:color w:val="auto"/>
        </w:rPr>
      </w:pPr>
      <w:r>
        <w:rPr>
          <w:rFonts w:ascii="Arial" w:cs="Arial" w:eastAsia="Arial" w:hAnsi="Arial"/>
          <w:sz w:val="16"/>
          <w:szCs w:val="16"/>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2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1079"/>
        <w:spacing w:after="0" w:line="264" w:lineRule="auto"/>
        <w:rPr>
          <w:sz w:val="20"/>
          <w:szCs w:val="20"/>
          <w:color w:val="auto"/>
        </w:rPr>
      </w:pPr>
      <w:r>
        <w:rPr>
          <w:rFonts w:ascii="Arial" w:cs="Arial" w:eastAsia="Arial" w:hAnsi="Arial"/>
          <w:sz w:val="18"/>
          <w:szCs w:val="18"/>
          <w:color w:val="auto"/>
        </w:rPr>
        <w:t>significant reduction in their use of our platforms and solutions could have a material negative impact on our trading volumes and revenues, and materially adversely affect our business, financial condition and results of operations.</w:t>
      </w:r>
    </w:p>
    <w:p>
      <w:pPr>
        <w:spacing w:after="0" w:line="168"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1"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57"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6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79"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5"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5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5"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Despite testing, our platforms and solutions may contain design defects and errors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75"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51" w:lineRule="exact"/>
        <w:rPr>
          <w:sz w:val="20"/>
          <w:szCs w:val="20"/>
          <w:color w:val="auto"/>
        </w:rPr>
      </w:pPr>
    </w:p>
    <w:p>
      <w:pPr>
        <w:ind w:left="1260" w:right="1359"/>
        <w:spacing w:after="0" w:line="307" w:lineRule="auto"/>
        <w:rPr>
          <w:sz w:val="20"/>
          <w:szCs w:val="20"/>
          <w:color w:val="auto"/>
        </w:rPr>
      </w:pPr>
      <w:r>
        <w:rPr>
          <w:rFonts w:ascii="Arial" w:cs="Arial" w:eastAsia="Arial" w:hAnsi="Arial"/>
          <w:sz w:val="16"/>
          <w:szCs w:val="16"/>
          <w:b w:val="1"/>
          <w:bCs w:val="1"/>
          <w:i w:val="1"/>
          <w:iCs w:val="1"/>
          <w:color w:val="auto"/>
        </w:rPr>
        <w:t>Systems failures, interruptions, delays in service, catastrophic events and resulting interruptions in the availability of our platform or solution could materially harm our business and reputation.</w:t>
      </w:r>
    </w:p>
    <w:p>
      <w:pPr>
        <w:spacing w:after="0" w:line="29"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Our business depends on the efficient and uninterrupted operation of our platforms, systems, networks and infrastructure. We cannot assure you that we, or our third-party providers, will not experience systems failures or business interruptions. Our systems, networks, infrastructure and other operations, in particular our trading platforms, are vulnerable to impact or interruption from a wide variety of causes, including: irregular or heavy use of our trading platforms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or terrorism;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7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281"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swap execution facilities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9"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1"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 and infrastructure.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improperly modify or degrade our information, systems, networks and infrastructure,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or malfunctions in our operations, which could result in reputational damage, financial losses, client dissatisfaction and/or regulatory fines and penalties, which may not in all cases be covered by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or other security vulnerabilities and to protect against damage caused by disruptions or cyber-attacks that may occur.</w:t>
      </w:r>
    </w:p>
    <w:p>
      <w:pPr>
        <w:spacing w:after="0" w:line="51"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43"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Although we have not been a victim of a cyber-attacks or other cyber incidents that have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trading platforms, security measures and reliability, which would materially harm our ability to retain clients and gain new ones.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dependent on third parties for our pre- and post-trade data, analytics and reporting solutions.</w:t>
      </w:r>
    </w:p>
    <w:p>
      <w:pPr>
        <w:spacing w:after="0" w:line="88"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4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We are dependent upon our trading counterparties and clearinghouses to perform their obligations to us.</w:t>
      </w:r>
    </w:p>
    <w:p>
      <w:pPr>
        <w:spacing w:after="0" w:line="11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161"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power loss, telecommunications failure, software or hardware malfunctions, theft, cyber-attacks, war or terrorist attacks. In addition, employee misconduct or error could expose us to significant liability, losses, regulatory sanctions and reputational harm. Misconduct or error by employees could include engaging in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service providers or clients. If our systems were to fail or be negatively impacted as a result of an unforeseen or catastrophic event, our business functions could be interrupted, our ability to make our trading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75"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1379"/>
        <w:spacing w:after="0" w:line="246"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55% of our gross revenue from our Rates asset class. Our long-term growth plan includes expanding the growth of our underlying asset classes, including the number of products we offer across those asset classes, by investing in product development, and increasing our revenues, by growing in our existing markets and entering into new markets. Although our long-term growth plan includes entering into new asset classes, we may not enter into new asset classes in the near term. We cannot assure you that we will be able to successfully execute our growth plan or be able to maintain or improve our current level of business, and we may decide to alter or discontinue certain aspects of our growth plan at any time.</w:t>
      </w:r>
    </w:p>
    <w:p>
      <w:pPr>
        <w:spacing w:after="0" w:line="75"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 adopted may extend over many months or years, if ever. Even after incurring these costs, such platform, platform feature or solution may not achieve market acceptance.</w:t>
      </w:r>
    </w:p>
    <w:p>
      <w:pPr>
        <w:spacing w:after="0" w:line="153"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75"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8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81" w:lineRule="exact"/>
        <w:rPr>
          <w:sz w:val="20"/>
          <w:szCs w:val="20"/>
          <w:color w:val="auto"/>
        </w:rPr>
      </w:pPr>
    </w:p>
    <w:p>
      <w:pPr>
        <w:jc w:val="both"/>
        <w:ind w:left="1260" w:right="859" w:firstLine="360"/>
        <w:spacing w:after="0" w:line="312" w:lineRule="auto"/>
        <w:rPr>
          <w:sz w:val="20"/>
          <w:szCs w:val="20"/>
          <w:color w:val="auto"/>
        </w:rPr>
      </w:pPr>
      <w:r>
        <w:rPr>
          <w:rFonts w:ascii="Arial" w:cs="Arial" w:eastAsia="Arial" w:hAnsi="Arial"/>
          <w:sz w:val="16"/>
          <w:szCs w:val="16"/>
          <w:color w:val="auto"/>
        </w:rPr>
        <w:t>We cannot assure you that we will be able to successfully adapt our platforms, solutions and technology for use in any new markets. Even if we do adapt our products, services and technologies, we cannot assure you that we will be able to attract clients to our platforms and compete successfully in any such new markets.</w:t>
      </w:r>
    </w:p>
    <w:p>
      <w:pPr>
        <w:spacing w:after="0" w:line="3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80"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239"/>
        <w:spacing w:after="0" w:line="24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75"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We have operations in the United States, China, Japan, Hong Kong, Singapore and the United Kingdom, and recently expanded our international operations to the Netherlands, where we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84" w:lineRule="exact"/>
        <w:rPr>
          <w:sz w:val="20"/>
          <w:szCs w:val="20"/>
          <w:color w:val="auto"/>
        </w:rPr>
      </w:pPr>
    </w:p>
    <w:p>
      <w:pPr>
        <w:ind w:left="1980" w:right="79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75" w:lineRule="exact"/>
        <w:rPr>
          <w:rFonts w:ascii="Arial" w:cs="Arial" w:eastAsia="Arial" w:hAnsi="Arial"/>
          <w:sz w:val="18"/>
          <w:szCs w:val="18"/>
          <w:color w:val="auto"/>
        </w:rPr>
      </w:pPr>
    </w:p>
    <w:p>
      <w:pPr>
        <w:ind w:left="1980" w:right="151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 and how we are supervised;</w:t>
      </w:r>
    </w:p>
    <w:p>
      <w:pPr>
        <w:spacing w:after="0" w:line="75"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75" w:lineRule="exact"/>
        <w:rPr>
          <w:rFonts w:ascii="Arial" w:cs="Arial" w:eastAsia="Arial" w:hAnsi="Arial"/>
          <w:sz w:val="18"/>
          <w:szCs w:val="18"/>
          <w:color w:val="auto"/>
        </w:rPr>
      </w:pPr>
    </w:p>
    <w:p>
      <w:pPr>
        <w:ind w:left="1980" w:right="859" w:hanging="352"/>
        <w:spacing w:after="0" w:line="308" w:lineRule="auto"/>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spacing w:after="0" w:line="38"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other trade barriers or international trade agreements;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 fluctuations and restrictions on currency conversion;</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17"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75" w:lineRule="exact"/>
        <w:rPr>
          <w:rFonts w:ascii="Arial" w:cs="Arial" w:eastAsia="Arial" w:hAnsi="Arial"/>
          <w:sz w:val="18"/>
          <w:szCs w:val="18"/>
          <w:color w:val="auto"/>
        </w:rPr>
      </w:pPr>
    </w:p>
    <w:p>
      <w:pPr>
        <w:ind w:left="1980" w:right="1099" w:hanging="352"/>
        <w:spacing w:after="0" w:line="264"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86"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reductions in business activity; and</w:t>
      </w:r>
    </w:p>
    <w:p>
      <w:pPr>
        <w:spacing w:after="0" w:line="130"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hyperinflationary conditions and political instability.</w:t>
      </w:r>
    </w:p>
    <w:p>
      <w:pPr>
        <w:spacing w:after="0" w:line="62"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conditions, less developed and predictable legal and regulatory regimes and increased potential for various types of adverse governmental action.</w:t>
      </w:r>
    </w:p>
    <w:p>
      <w:pPr>
        <w:spacing w:after="0" w:line="165"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5" w:lineRule="exact"/>
        <w:rPr>
          <w:sz w:val="20"/>
          <w:szCs w:val="20"/>
          <w:color w:val="auto"/>
        </w:rPr>
      </w:pPr>
    </w:p>
    <w:p>
      <w:pPr>
        <w:ind w:left="1260" w:right="979" w:firstLine="360"/>
        <w:spacing w:after="0" w:line="279" w:lineRule="auto"/>
        <w:rPr>
          <w:sz w:val="20"/>
          <w:szCs w:val="20"/>
          <w:color w:val="auto"/>
        </w:rPr>
      </w:pPr>
      <w:r>
        <w:rPr>
          <w:rFonts w:ascii="Arial" w:cs="Arial" w:eastAsia="Arial" w:hAnsi="Arial"/>
          <w:sz w:val="17"/>
          <w:szCs w:val="17"/>
          <w:color w:val="auto"/>
        </w:rPr>
        <w:t>In March 2017, the United Kingdom government invoked article 50 of the Lisbon Treaty and officially notified the European Union of its decision to withdraw from the European Union. This formally initiated the process of negotiations with the European Union regarding the terms of the United Kingdom’s withdrawal and the framework of the future relationship between the United Kingdom and the European</w:t>
      </w:r>
    </w:p>
    <w:p>
      <w:pPr>
        <w:sectPr>
          <w:pgSz w:w="11900" w:h="16838" w:orient="portrait"/>
          <w:cols w:equalWidth="0" w:num="1">
            <w:col w:w="10219"/>
          </w:cols>
          <w:pgMar w:left="240" w:top="132" w:right="1440" w:bottom="1440" w:gutter="0" w:footer="0" w:header="0"/>
        </w:sectPr>
      </w:pP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45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Union (the “article 50 withdrawal agreement”). The United Kingdom is currently scheduled to exit the European Union on April 12, 2019, if the UK parliament rejects the article 50 withdrawal agreement, and May 22, 2019, if the UK parliament approves the article 50 withdrawal agreement (the “exit date”). However, as part of the negotiations with the European Union, a transitional period has been agreed in principle which would extend the application of European Union law, and provide for continuing access to the European Union market, until the end of 2020. However, it remains uncertain whether the article 50 withdrawal agreement will be finalized and ratified by the United Kingdom and the European Union ahead of the exit date. If it is not ratified, European Union law will cease to apply to the United Kingdom from that date. While continuing to negotiate the article 50 withdrawal agreement, the United Kingdom government has commenced preparations for a “hard” Brexit or “no-deal” Brexit to minimize the risks for firms and businesses associated with an exit with no transitional agreement. There are also ongoing political discussions around Brexit, including discussions on a second referendum and providing more time for the United Kingdom and the European Union to finalize negotiations on and ratify the article 50 withdrawal agreement.</w:t>
      </w:r>
    </w:p>
    <w:p>
      <w:pPr>
        <w:spacing w:after="0" w:line="80"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Brexit, together with the protracted negotiations around the terms of the withdrawal, could significantly impact the business environment in which we and our clients operate, increase the cost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It is unclear how Brexit will affect liquidity in our marketplaces.</w:t>
      </w:r>
    </w:p>
    <w:p>
      <w:pPr>
        <w:spacing w:after="0" w:line="59"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Significantly, the effects of Brexit will depend on any agreements the United Kingdom makes to retain access to the European Union single market. Discussions between the United Kingdom and the European Union regarding a transitional period following Brexit contemplate a temporary continuation of the existing passporting rights that allow financial services firms to operate throughout the European Union. However, it is not possible to predict with any certainty whether the United Kingdom and the European Union will be able to agree on a transitional period, which laws and policies will apply during any such transitional period, whether we (or our clients would be able to rely on the existing passporting regime during a transitional period or the length of such period. In the event of no political agreement on a transitional period, regulated financial services firms and trading venues based in the United Kingdom will lose such passporting rights. This potential loss of passporting rights will affect us and many of our clients. For us, it means our UK authorized subsidiary will no longer be able to provide services to EU clients other than in limited circumstances. As a result, we have established a new regulated subsidiary in the Netherlands in order to be in a position to be able to continue to serve clients in the European Union following Brexit and any transitional period. We will face regulatory and operational costs and challenges associated with the establishment of any new regulated subsidiaries in the European Union and the management of a client and employee base that is less centralized in London.</w:t>
      </w:r>
    </w:p>
    <w:p>
      <w:pPr>
        <w:spacing w:after="0" w:line="61"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Brexit may also lead to legal uncertainty and potentially divergent national laws and regulations as the United Kingdom determines which European Union laws to replace or replicate. Accordingly, the cost and complexity of operating across increasingly divergent regulatory regimes could increase following Brexit, which could have a material adverse effect on our business, financial condition, and results of operations.</w:t>
      </w:r>
    </w:p>
    <w:p>
      <w:pPr>
        <w:spacing w:after="0" w:line="63" w:lineRule="exact"/>
        <w:rPr>
          <w:sz w:val="20"/>
          <w:szCs w:val="20"/>
          <w:color w:val="auto"/>
        </w:rPr>
      </w:pPr>
    </w:p>
    <w:p>
      <w:pPr>
        <w:jc w:val="both"/>
        <w:ind w:left="1260" w:right="1039" w:firstLine="360"/>
        <w:spacing w:after="0" w:line="264" w:lineRule="auto"/>
        <w:rPr>
          <w:sz w:val="20"/>
          <w:szCs w:val="20"/>
          <w:color w:val="auto"/>
        </w:rPr>
      </w:pPr>
      <w:r>
        <w:rPr>
          <w:rFonts w:ascii="Arial" w:cs="Arial" w:eastAsia="Arial" w:hAnsi="Arial"/>
          <w:sz w:val="18"/>
          <w:szCs w:val="18"/>
          <w:color w:val="auto"/>
        </w:rPr>
        <w:t>Further, although we have an international client base, we could also be materially adversely affected by reduced growth in the United Kingdom economy and increased volatility in the rate of exchange of the pound sterling.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04"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and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73" w:lineRule="auto"/>
        <w:rPr>
          <w:sz w:val="20"/>
          <w:szCs w:val="20"/>
          <w:color w:val="auto"/>
        </w:rPr>
      </w:pPr>
      <w:r>
        <w:rPr>
          <w:rFonts w:ascii="Arial" w:cs="Arial" w:eastAsia="Arial" w:hAnsi="Arial"/>
          <w:sz w:val="17"/>
          <w:szCs w:val="17"/>
          <w:color w:val="auto"/>
        </w:rPr>
        <w:t>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increasing interest rates (particularly short-term rates), have caused, and may continue to cause, significant volatility in currency exchange rates, especially among the U.S. dollar, the pound sterling and the euro.</w:t>
      </w:r>
    </w:p>
    <w:p>
      <w:pPr>
        <w:spacing w:after="0" w:line="70"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While we engage in hedging activity to attempt to mitigate currency exchange rate risk, these hedging activities may not be effective, particularly in the event of inaccurate forecasts of the levels of our non-U.S. dollar denominated assets and liabilities. Accordingly, if there are adverse movements in exchange rates, we may suffer significant losses, which would materially adversely affect our financial condition and results of operations.</w:t>
      </w:r>
    </w:p>
    <w:p>
      <w:pPr>
        <w:spacing w:after="0" w:line="141" w:lineRule="exact"/>
        <w:rPr>
          <w:sz w:val="20"/>
          <w:szCs w:val="20"/>
          <w:color w:val="auto"/>
        </w:rPr>
      </w:pPr>
    </w:p>
    <w:p>
      <w:pPr>
        <w:ind w:left="1260" w:right="1239"/>
        <w:spacing w:after="0" w:line="275" w:lineRule="auto"/>
        <w:rPr>
          <w:sz w:val="20"/>
          <w:szCs w:val="20"/>
          <w:color w:val="auto"/>
        </w:rPr>
      </w:pPr>
      <w:r>
        <w:rPr>
          <w:rFonts w:ascii="Arial" w:cs="Arial" w:eastAsia="Arial" w:hAnsi="Arial"/>
          <w:sz w:val="17"/>
          <w:szCs w:val="17"/>
          <w:b w:val="1"/>
          <w:bCs w:val="1"/>
          <w:i w:val="1"/>
          <w:iCs w:val="1"/>
          <w:color w:val="auto"/>
        </w:rPr>
        <w:t>We may undertake acquisitions or divestitures, which may not be successful, and which could materially adversely affect our business, financial condition and results of operations.</w:t>
      </w:r>
    </w:p>
    <w:p>
      <w:pPr>
        <w:spacing w:after="0" w:line="5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From time to time, we may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74"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w:t>
      </w:r>
    </w:p>
    <w:p>
      <w:pPr>
        <w:spacing w:after="0" w:line="2" w:lineRule="exact"/>
        <w:rPr>
          <w:sz w:val="20"/>
          <w:szCs w:val="20"/>
          <w:color w:val="auto"/>
        </w:rPr>
      </w:pPr>
    </w:p>
    <w:p>
      <w:pPr>
        <w:ind w:left="1260" w:right="859" w:firstLine="8"/>
        <w:spacing w:after="0" w:line="268" w:lineRule="auto"/>
        <w:tabs>
          <w:tab w:leader="none" w:pos="15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In addition, it is possible that perceived or actual violations of these requirements could give rise to litigation or regulatory enforcement action or result in us not receiving the necessary approvals to complete a desired acquisition.</w:t>
      </w:r>
    </w:p>
    <w:p>
      <w:pPr>
        <w:spacing w:after="0" w:line="76"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Furthermore, even if we complete an acquisition, the anticipated benefits from such acquisition may not be achieved unless the operations of the acquired business, product or technology are integrated in an efficient, cost-effective and timely manner. The integration of any acquired business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our acquisitions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employees and clients.</w:t>
      </w:r>
    </w:p>
    <w:p>
      <w:pPr>
        <w:spacing w:after="0" w:line="75"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79" w:firstLine="8"/>
        <w:spacing w:after="0" w:line="264" w:lineRule="auto"/>
        <w:tabs>
          <w:tab w:leader="none" w:pos="15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encountering difficulties in the separation of operations, products, services or personnel; (vi) retaining future liabilities as a result of contractual indemnity obligations; and (vii) loss of, or damage to our relationships with, any of our key employees, clients, suppliers or other business partners.</w:t>
      </w:r>
    </w:p>
    <w:p>
      <w:pPr>
        <w:spacing w:after="0" w:line="73" w:lineRule="exact"/>
        <w:rPr>
          <w:sz w:val="20"/>
          <w:szCs w:val="20"/>
          <w:color w:val="auto"/>
        </w:rPr>
      </w:pPr>
    </w:p>
    <w:p>
      <w:pPr>
        <w:ind w:left="1260" w:right="1139" w:firstLine="360"/>
        <w:spacing w:after="0" w:line="259"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75"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71"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71"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We cannot assure you that we will be able to enter into strategic alliances, partnerships or joint ventures on terms that are favorable to us, or at all, or that any that any strategic alliance, partnership or strategic alliance we have entered into or may enter into will be successful. In particular, these arrangements may not generate the expected number of new clients or increased trading volume or other benefits we seek. Unsuccessful strategic alliances, partnerships or joint ventures could harm our reputation and have a material adverse effect on our business, financial condition and results of operations.</w:t>
      </w:r>
    </w:p>
    <w:p>
      <w:pPr>
        <w:spacing w:after="0" w:line="165"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5"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24" w:lineRule="exact"/>
        <w:rPr>
          <w:sz w:val="20"/>
          <w:szCs w:val="20"/>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71"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02"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service, security breaches or perceived security breaches;</w:t>
      </w:r>
    </w:p>
    <w:p>
      <w:pPr>
        <w:sectPr>
          <w:pgSz w:w="11900" w:h="16838" w:orient="portrait"/>
          <w:cols w:equalWidth="0" w:num="1">
            <w:col w:w="10219"/>
          </w:cols>
          <w:pgMar w:left="240" w:top="132" w:right="1440" w:bottom="1440" w:gutter="0" w:footer="0" w:header="0"/>
        </w:sect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171" w:lineRule="exact"/>
        <w:rPr>
          <w:rFonts w:ascii="Arial" w:cs="Arial" w:eastAsia="Arial" w:hAnsi="Arial"/>
          <w:sz w:val="18"/>
          <w:szCs w:val="18"/>
          <w:color w:val="auto"/>
        </w:rPr>
      </w:pPr>
    </w:p>
    <w:p>
      <w:pPr>
        <w:ind w:left="1980" w:right="839" w:hanging="352"/>
        <w:spacing w:after="0" w:line="259"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and our competitors, including disruptive technology, or any other change in the competitive dynamics of our industry, including consolidation or new entrants among competitors, market participants or strategic alliances;</w:t>
      </w:r>
    </w:p>
    <w:p>
      <w:pPr>
        <w:spacing w:after="0" w:line="132"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71" w:lineRule="exact"/>
        <w:rPr>
          <w:rFonts w:ascii="Arial" w:cs="Arial" w:eastAsia="Arial" w:hAnsi="Arial"/>
          <w:sz w:val="18"/>
          <w:szCs w:val="18"/>
          <w:color w:val="auto"/>
        </w:rPr>
      </w:pPr>
    </w:p>
    <w:p>
      <w:pPr>
        <w:ind w:left="1980" w:right="899" w:hanging="352"/>
        <w:spacing w:after="0" w:line="342" w:lineRule="auto"/>
        <w:tabs>
          <w:tab w:leader="none" w:pos="1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products, services, technologies or businesses and potential future charges for impairment of goodwill from acquired companies; and</w:t>
      </w:r>
    </w:p>
    <w:p>
      <w:pPr>
        <w:spacing w:after="0" w:line="69" w:lineRule="exact"/>
        <w:rPr>
          <w:rFonts w:ascii="Arial" w:cs="Arial" w:eastAsia="Arial" w:hAnsi="Arial"/>
          <w:sz w:val="16"/>
          <w:szCs w:val="16"/>
          <w:color w:val="auto"/>
        </w:rPr>
      </w:pPr>
    </w:p>
    <w:p>
      <w:pPr>
        <w:ind w:left="1980" w:right="81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w:t>
      </w:r>
    </w:p>
    <w:p>
      <w:pPr>
        <w:spacing w:after="0" w:line="157" w:lineRule="exact"/>
        <w:rPr>
          <w:sz w:val="20"/>
          <w:szCs w:val="20"/>
          <w:color w:val="auto"/>
        </w:rPr>
      </w:pPr>
    </w:p>
    <w:p>
      <w:pPr>
        <w:ind w:left="1260" w:right="739"/>
        <w:spacing w:after="0" w:line="275" w:lineRule="auto"/>
        <w:rPr>
          <w:sz w:val="20"/>
          <w:szCs w:val="20"/>
          <w:color w:val="auto"/>
        </w:rPr>
      </w:pPr>
      <w:r>
        <w:rPr>
          <w:rFonts w:ascii="Arial" w:cs="Arial" w:eastAsia="Arial" w:hAnsi="Arial"/>
          <w:sz w:val="17"/>
          <w:szCs w:val="17"/>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5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74" w:lineRule="exact"/>
        <w:rPr>
          <w:sz w:val="20"/>
          <w:szCs w:val="20"/>
          <w:color w:val="auto"/>
        </w:rPr>
      </w:pPr>
    </w:p>
    <w:p>
      <w:pPr>
        <w:ind w:left="1260" w:right="839" w:firstLine="360"/>
        <w:spacing w:after="0" w:line="268"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or manage our business effectively.</w:t>
      </w:r>
    </w:p>
    <w:p>
      <w:pPr>
        <w:spacing w:after="0" w:line="174"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75"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and any impropriety, misconduct or fraudulent activity by any personnel formerly or currently associated with us.</w:t>
      </w:r>
    </w:p>
    <w:p>
      <w:pPr>
        <w:spacing w:after="0" w:line="81" w:lineRule="exact"/>
        <w:rPr>
          <w:sz w:val="20"/>
          <w:szCs w:val="20"/>
          <w:color w:val="auto"/>
        </w:rPr>
      </w:pPr>
    </w:p>
    <w:p>
      <w:pPr>
        <w:ind w:left="1260" w:right="1039" w:firstLine="360"/>
        <w:spacing w:after="0" w:line="312" w:lineRule="auto"/>
        <w:rPr>
          <w:sz w:val="20"/>
          <w:szCs w:val="20"/>
          <w:color w:val="auto"/>
        </w:rPr>
      </w:pPr>
      <w:r>
        <w:rPr>
          <w:rFonts w:ascii="Arial" w:cs="Arial" w:eastAsia="Arial" w:hAnsi="Arial"/>
          <w:sz w:val="16"/>
          <w:szCs w:val="16"/>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86" w:lineRule="auto"/>
        <w:rPr>
          <w:sz w:val="20"/>
          <w:szCs w:val="20"/>
          <w:color w:val="auto"/>
        </w:rPr>
      </w:pPr>
      <w:r>
        <w:rPr>
          <w:rFonts w:ascii="Arial" w:cs="Arial" w:eastAsia="Arial" w:hAnsi="Arial"/>
          <w:sz w:val="17"/>
          <w:szCs w:val="17"/>
          <w:color w:val="auto"/>
        </w:rPr>
        <w:t>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57"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personnel cannot be completely eliminated or mitigated and may materially harm our reputation, business, financial condition and results of operations.</w:t>
      </w:r>
    </w:p>
    <w:p>
      <w:pPr>
        <w:spacing w:after="0" w:line="16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75"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products, services or technologies that are substantially equivalent or superior to our logos, products, services or technologies.</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services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79"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1"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81"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products, services, technology or practices or discontinue use of such products, services, technologies or practices. Any development efforts could require significant effort and expense and, as result, our business, results of operations, and financial condition could be materially adversely affected.</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99"/>
        <w:spacing w:after="0" w:line="307"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29"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Inc.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Financial Conduct Authority (“FCA”) in the United Kingdom,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and the Japan Securities Dealers Association.</w:t>
      </w:r>
    </w:p>
    <w:p>
      <w:pPr>
        <w:spacing w:after="0" w:line="64"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6"/>
          <w:szCs w:val="16"/>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w:t>
      </w:r>
    </w:p>
    <w:p>
      <w:pPr>
        <w:spacing w:after="0" w:line="2" w:lineRule="exact"/>
        <w:rPr>
          <w:sz w:val="20"/>
          <w:szCs w:val="20"/>
          <w:color w:val="auto"/>
        </w:rPr>
      </w:pPr>
    </w:p>
    <w:p>
      <w:pPr>
        <w:ind w:left="1260" w:right="859"/>
        <w:spacing w:after="0" w:line="269" w:lineRule="auto"/>
        <w:rPr>
          <w:sz w:val="20"/>
          <w:szCs w:val="20"/>
          <w:color w:val="auto"/>
        </w:rPr>
      </w:pPr>
      <w:r>
        <w:rPr>
          <w:rFonts w:ascii="Arial" w:cs="Arial" w:eastAsia="Arial" w:hAnsi="Arial"/>
          <w:sz w:val="17"/>
          <w:szCs w:val="17"/>
          <w:color w:val="auto"/>
        </w:rPr>
        <w:t>and the conduct of officers, employees and other associated persons. See “Business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73"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80"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61"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Our ability to operate our trading platforms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57" w:lineRule="exact"/>
        <w:rPr>
          <w:sz w:val="20"/>
          <w:szCs w:val="20"/>
          <w:color w:val="auto"/>
        </w:rPr>
      </w:pPr>
    </w:p>
    <w:p>
      <w:pPr>
        <w:ind w:left="1260" w:right="1079" w:firstLine="360"/>
        <w:spacing w:after="0" w:line="342" w:lineRule="auto"/>
        <w:rPr>
          <w:sz w:val="20"/>
          <w:szCs w:val="20"/>
          <w:color w:val="auto"/>
        </w:rPr>
      </w:pPr>
      <w:r>
        <w:rPr>
          <w:rFonts w:ascii="Arial" w:cs="Arial" w:eastAsia="Arial" w:hAnsi="Arial"/>
          <w:sz w:val="16"/>
          <w:szCs w:val="16"/>
          <w:color w:val="auto"/>
        </w:rPr>
        <w:t>We incur significant costs, and will continue to devote significant financial and operational resources, to develop, implement and maintain policies, systems and processes to comply with our evolving legal and</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342" w:lineRule="auto"/>
        <w:rPr>
          <w:sz w:val="20"/>
          <w:szCs w:val="20"/>
          <w:color w:val="auto"/>
        </w:rPr>
      </w:pPr>
      <w:r>
        <w:rPr>
          <w:rFonts w:ascii="Arial" w:cs="Arial" w:eastAsia="Arial" w:hAnsi="Arial"/>
          <w:sz w:val="16"/>
          <w:szCs w:val="16"/>
          <w:color w:val="auto"/>
        </w:rPr>
        <w:t>regulatory requirements. Future laws, rules and regulations, or adverse changes to, or more stringent enforcement of, existing laws, rules and regulations, could increase these costs and expose us to significant liabilities.</w:t>
      </w:r>
    </w:p>
    <w:p>
      <w:pPr>
        <w:spacing w:after="0" w:line="16"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may be difficult to assess or quantify.</w:t>
      </w:r>
    </w:p>
    <w:p>
      <w:pPr>
        <w:spacing w:after="0" w:line="7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In the normal course of our business, we have been, and expect in the future to continue to be,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75"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4" w:lineRule="exact"/>
        <w:rPr>
          <w:sz w:val="20"/>
          <w:szCs w:val="20"/>
          <w:color w:val="auto"/>
        </w:rPr>
      </w:pPr>
    </w:p>
    <w:p>
      <w:pPr>
        <w:ind w:left="1260" w:right="979"/>
        <w:spacing w:after="0" w:line="235"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business, and the business of many of our clients, is subject to extensive regulation. Governmental and regulatory authorities periodically review legislative and regulatory initiatives, and may promulgate new or revised, or adopt changes in the interpretation and enforcement of existing,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7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the financial instruments we hold.</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Furthermore, many of the underlying markets in which we facilitate trading, and in which our clients trade, are subject to regulation. For example, trading in interest rate swaps has been subject to extensive regulators in the past, and any future regulation could lead to a decline in trading in these markets, which could have a negative impact on our trading volumes and, as a result, our revenues.</w:t>
      </w:r>
    </w:p>
    <w:p>
      <w:pPr>
        <w:spacing w:after="0" w:line="63"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In addition, regulatory bodies in Europe have recently developed new rules and regulations targeted at the financial services industry, including MiFID II and the Markets in Financial Instruments Regulation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in a manner that can successfully compete against other methods of trading.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61"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59" w:lineRule="exact"/>
        <w:rPr>
          <w:sz w:val="20"/>
          <w:szCs w:val="20"/>
          <w:color w:val="auto"/>
        </w:rPr>
      </w:pPr>
    </w:p>
    <w:p>
      <w:pPr>
        <w:ind w:left="1260" w:right="1439"/>
        <w:spacing w:after="0" w:line="246"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7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Certain types of information we collect, compile, store, use, transfer and/or publish are subject to numerous federal, state, local, and foreign laws and regulations regarding privacy, data protection and information security These laws and regulations govern the storing, sharing, use, processing, transfer, disclosure and protection of personal information and other content. The scope of these laws and regulations are changing, subject to differing interpretations, may be inconsistent among countries or conflict with other rules. We are also subject to the terms of our privacy policies and obligations to third parties related to applicable privacy, data protection, and information security.</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regulatory framework for privacy and data protection worldwide is uncertain, and is likely to remain uncertain for the foreseeable future, and we expect that there will continue to be new laws,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74" w:lineRule="exact"/>
        <w:rPr>
          <w:sz w:val="20"/>
          <w:szCs w:val="20"/>
          <w:color w:val="auto"/>
        </w:rPr>
      </w:pPr>
    </w:p>
    <w:p>
      <w:pPr>
        <w:ind w:left="1260" w:right="1039" w:firstLine="360"/>
        <w:spacing w:after="0" w:line="302" w:lineRule="auto"/>
        <w:rPr>
          <w:sz w:val="20"/>
          <w:szCs w:val="20"/>
          <w:color w:val="auto"/>
        </w:rPr>
      </w:pPr>
      <w:r>
        <w:rPr>
          <w:rFonts w:ascii="Arial" w:cs="Arial" w:eastAsia="Arial" w:hAnsi="Arial"/>
          <w:sz w:val="16"/>
          <w:szCs w:val="16"/>
          <w:color w:val="auto"/>
        </w:rPr>
        <w:t>Our efforts to comply with privacy, data protection and information security laws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19"/>
        <w:spacing w:after="0" w:line="259" w:lineRule="auto"/>
        <w:rPr>
          <w:sz w:val="20"/>
          <w:szCs w:val="20"/>
          <w:color w:val="auto"/>
        </w:rPr>
      </w:pPr>
      <w:r>
        <w:rPr>
          <w:rFonts w:ascii="Arial" w:cs="Arial" w:eastAsia="Arial" w:hAnsi="Arial"/>
          <w:sz w:val="18"/>
          <w:szCs w:val="18"/>
          <w:color w:val="auto"/>
        </w:rPr>
        <w:t>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73"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On December 22, 2017, President Trump signed into law a comprehensive tax reform bill (the “Tax Cuts and Jobs Act,” or the “TCJA”) that significantly reforms the Internal Revenue Code of 1986, as amended. The TCJA, among other things, contains significant changes to corporate taxation, including a reduction of the corporate income tax rate, a partial limitation on the deductibility of business interest expense, limitation of the deduction for certain net operating losses to 80% of current year taxable income, an indefinite carryforward of certain net operating losses, immediate deductions for certain new investments instead of deductions for depreciation expense over time and the modification or repeal of many business deductions and credits. We continue to examine the impact of this tax reform legislation, and as its overall impact is uncertain, we note that the TCJA could adversely affect our business and financial condition. The impact of this tax reform legislation on holders of our Class A common stock is also uncertain and could be adverse.</w:t>
      </w:r>
    </w:p>
    <w:p>
      <w:pPr>
        <w:spacing w:after="0" w:line="164" w:lineRule="exact"/>
        <w:rPr>
          <w:sz w:val="20"/>
          <w:szCs w:val="20"/>
          <w:color w:val="auto"/>
        </w:rPr>
      </w:pPr>
    </w:p>
    <w:p>
      <w:pPr>
        <w:ind w:left="1260" w:right="839"/>
        <w:spacing w:after="0" w:line="275"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2" w:lineRule="exact"/>
        <w:rPr>
          <w:sz w:val="20"/>
          <w:szCs w:val="20"/>
          <w:color w:val="auto"/>
        </w:rPr>
      </w:pPr>
    </w:p>
    <w:p>
      <w:pPr>
        <w:ind w:left="1260" w:right="919" w:firstLine="360"/>
        <w:spacing w:after="0" w:line="270"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or the lack of adequate, accurate or timely information. If our risk-management programs and efforts are ineffective, we could suffer losses that could have a material adverse effect on our financial condition and results of operations.</w:t>
      </w:r>
    </w:p>
    <w:p>
      <w:pPr>
        <w:spacing w:after="0" w:line="70"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70"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04"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We are from time to time involved in various litigation matters and claims, including lawsuits regarding employment matters, breach of contract matters and other business and commercial matters. See “Business — Legal Proceedings.” Many aspects of our business, and the businesses of our clients, involve substantial risks of liability. These risks include, among others, disputes over terms of a trade and claims</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lawsuits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64"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75" w:lineRule="exact"/>
        <w:rPr>
          <w:sz w:val="20"/>
          <w:szCs w:val="20"/>
          <w:color w:val="auto"/>
        </w:rPr>
      </w:pPr>
    </w:p>
    <w:p>
      <w:pPr>
        <w:ind w:left="1260" w:right="959" w:firstLine="360"/>
        <w:spacing w:after="0" w:line="293" w:lineRule="auto"/>
        <w:rPr>
          <w:sz w:val="20"/>
          <w:szCs w:val="20"/>
          <w:color w:val="auto"/>
        </w:rPr>
      </w:pPr>
      <w:r>
        <w:rPr>
          <w:rFonts w:ascii="Arial" w:cs="Arial" w:eastAsia="Arial" w:hAnsi="Arial"/>
          <w:sz w:val="16"/>
          <w:szCs w:val="16"/>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51"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The credit agreement that will govern the New Revolving Credit Facility will impose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81" w:lineRule="exact"/>
        <w:rPr>
          <w:sz w:val="20"/>
          <w:szCs w:val="20"/>
          <w:color w:val="auto"/>
        </w:rPr>
      </w:pPr>
    </w:p>
    <w:p>
      <w:pPr>
        <w:jc w:val="both"/>
        <w:ind w:left="1260" w:right="839" w:firstLine="360"/>
        <w:spacing w:after="0" w:line="264" w:lineRule="auto"/>
        <w:rPr>
          <w:sz w:val="20"/>
          <w:szCs w:val="20"/>
          <w:color w:val="auto"/>
        </w:rPr>
      </w:pPr>
      <w:r>
        <w:rPr>
          <w:rFonts w:ascii="Arial" w:cs="Arial" w:eastAsia="Arial" w:hAnsi="Arial"/>
          <w:sz w:val="18"/>
          <w:szCs w:val="18"/>
          <w:color w:val="auto"/>
        </w:rPr>
        <w:t>The credit agreement that will govern the New Revolving Credit Facility will impose significant operating and financial restrictions. These restrictions, which are subject to a number of qualifications and exceptions, will limit our ability and the ability of our restricted subsidiaries to, among other things:</w:t>
      </w:r>
    </w:p>
    <w:p>
      <w:pPr>
        <w:spacing w:after="0" w:line="114" w:lineRule="exact"/>
        <w:rPr>
          <w:sz w:val="20"/>
          <w:szCs w:val="20"/>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In addition, the credit agreement that will govern our New Revolving Credit Facility will require us to maintain a maximum total net leverage ratio and a minimum cash interest coverage ratio. See “Description of Certain Indebtedness.”</w:t>
      </w:r>
    </w:p>
    <w:p>
      <w:pPr>
        <w:spacing w:after="0" w:line="73"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will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58"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Our failure to comply with the covenants and other terms of the New Revolving Credit Facility and/or the terms of any future indebtedness could result in an event of default. If any such event of default occurs and is not waived, the lenders under the New Revolving Credit Facility could elect to declare all amounts outstanding and accrued and unpaid interest, if any, under the New Revolving Credit Facility to be immediately due and payable, and could foreclose on the assets securing the New Revolving Credit Facility. The lenders would also have the right in these circumstances to terminate any commitments they have to</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spacing w:after="0" w:line="264" w:lineRule="auto"/>
        <w:rPr>
          <w:sz w:val="20"/>
          <w:szCs w:val="20"/>
          <w:color w:val="auto"/>
        </w:rPr>
      </w:pPr>
      <w:r>
        <w:rPr>
          <w:rFonts w:ascii="Arial" w:cs="Arial" w:eastAsia="Arial" w:hAnsi="Arial"/>
          <w:sz w:val="18"/>
          <w:szCs w:val="18"/>
          <w:color w:val="auto"/>
        </w:rPr>
        <w:t>provide further credit extensions. If we are forced to refinance any borrowings under the New Revolving Credit Facility on less favorable terms or if we cannot refinance these borrowings, our financial condition and results of operations could be materially adversely affected.</w:t>
      </w:r>
    </w:p>
    <w:p>
      <w:pPr>
        <w:spacing w:after="0" w:line="60"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In addition, although the credit agreement that will govern the New Revolving Credit Facility will contain restrictions on the incurrence of additional indebtedness, these restrictions will be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21" w:lineRule="exact"/>
        <w:rPr>
          <w:sz w:val="20"/>
          <w:szCs w:val="20"/>
          <w:color w:val="auto"/>
        </w:rPr>
      </w:pPr>
    </w:p>
    <w:p>
      <w:pPr>
        <w:ind w:left="1260" w:right="1199"/>
        <w:spacing w:after="0" w:line="246" w:lineRule="auto"/>
        <w:rPr>
          <w:sz w:val="20"/>
          <w:szCs w:val="20"/>
          <w:color w:val="auto"/>
        </w:rPr>
      </w:pPr>
      <w:r>
        <w:rPr>
          <w:rFonts w:ascii="Arial" w:cs="Arial" w:eastAsia="Arial" w:hAnsi="Arial"/>
          <w:sz w:val="18"/>
          <w:szCs w:val="18"/>
          <w:b w:val="1"/>
          <w:bCs w:val="1"/>
          <w:i w:val="1"/>
          <w:iCs w:val="1"/>
          <w:color w:val="auto"/>
        </w:rPr>
        <w:t>Any borrowings under the New Revolving Credit Facility will subject us to interest rate risk, which could cause our debt service obligations to increase significantly.</w:t>
      </w:r>
    </w:p>
    <w:p>
      <w:pPr>
        <w:spacing w:after="0" w:line="4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Any borrowings under the New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New Revolving Credit Facility will increase even though the amount borrowed may remain the same, and our net income and cash flows will correspondingly decrease. Assuming that the $500.0 million New Revolving Credit Facility was fully drawn, each 0.125% change in interest rates would result in an approximate change of $0.6 million in annual interest expense on the borrowings under the New Revolving Credit Facility.</w:t>
      </w:r>
    </w:p>
    <w:p>
      <w:pPr>
        <w:spacing w:after="0" w:line="100"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35"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 restrictions are limitations on Refinitiv’s ability to permit us to 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24"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December 31, 2018, we had goodwill of $2,694.8 million and indefinite-lived intangible assets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$323.1 million, which relate to the Refinitiv Transaction. The carrying value of goodwill represents the fair value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an acquired business in excess of identifiable assets and liabilities as of the acquisition date. The carrying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value of indefinite-lived intangible assets represents the fair value of licenses and trade names as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acquisition date. Determining the fair value of certain assets acquired and liabilities assumed is judgmental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nature and requires management to use significant estimates and assumptions, including assumptions with respect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future cash flows, discount rates, growth rates and asset lives. We do not amortize goodwill and indefinite-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lived intangible assets that we expect to contribute indefinitely to our cash flows, but instead we evaluate these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assets for impairment at least annually, or more frequently if changes in circumstances indicate that a potential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impairment could exist. Significant negative industry or economic trends, disruptions to our business, inability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effectively integrate acquired businesses, unexpected significant changes or planned changes in use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acquired assets, divestitures and market capitalization declines may impair our goodwill and other indefinite-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lived intangible assets. Any charges relating to such impairments could materially adversely affect our financial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condition and results of operations.</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135"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Our principal asset after the completion of this offering will be our interest in TWM LLC, and, accordingly, we will depend on distributions from TWM LLC to pay our taxes and expenses, including payments under the Tax Receivable Agreement.</w:t>
      </w:r>
    </w:p>
    <w:p>
      <w:pPr>
        <w:spacing w:after="0" w:line="40"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are a holding company and, upon completion of the Reorganization Transactions, including this offering, our principal asset will be our ownership of LLC Interests of TWM LLC. We will have no</w:t>
      </w:r>
    </w:p>
    <w:p>
      <w:pPr>
        <w:sectPr>
          <w:pgSz w:w="11900" w:h="16838" w:orient="portrait"/>
          <w:cols w:equalWidth="0" w:num="1">
            <w:col w:w="10219"/>
          </w:cols>
          <w:pgMar w:left="240" w:top="132" w:right="1440" w:bottom="1440" w:gutter="0" w:footer="0" w:header="0"/>
        </w:sect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independent means of generating revenue or cash flow, and our ability to pay our taxes and operating expenses or declare and pay dividends in the future, if any,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64" w:lineRule="exact"/>
        <w:rPr>
          <w:sz w:val="20"/>
          <w:szCs w:val="20"/>
          <w:color w:val="auto"/>
        </w:rPr>
      </w:pPr>
    </w:p>
    <w:p>
      <w:pPr>
        <w:ind w:left="1260" w:right="819" w:firstLine="360"/>
        <w:spacing w:after="0" w:line="285" w:lineRule="auto"/>
        <w:rPr>
          <w:sz w:val="20"/>
          <w:szCs w:val="20"/>
          <w:color w:val="auto"/>
        </w:rPr>
      </w:pPr>
      <w:r>
        <w:rPr>
          <w:rFonts w:ascii="Arial" w:cs="Arial" w:eastAsia="Arial" w:hAnsi="Arial"/>
          <w:sz w:val="16"/>
          <w:szCs w:val="16"/>
          <w:color w:val="auto"/>
        </w:rPr>
        <w:t>We will also incur expenses related to our operations, including payments under the Tax Receivable Agreement, which we expect could be significant. See “Certain Relationships and Related Party Transactions — Related Party Transactions Entered Into in Connection With This Offering — Tax Receivable Agreement.” We intend, as its sole manager, to cause TWM LLC to make cash distributions to the owners of LLC Interests in an amount sufficient to (i) fund all or part of their tax obligations in respect of taxable income allocated to them and</w:t>
      </w:r>
    </w:p>
    <w:p>
      <w:pPr>
        <w:spacing w:after="0" w:line="2" w:lineRule="exact"/>
        <w:rPr>
          <w:sz w:val="20"/>
          <w:szCs w:val="20"/>
          <w:color w:val="auto"/>
        </w:rPr>
      </w:pPr>
    </w:p>
    <w:p>
      <w:pPr>
        <w:ind w:left="1260" w:right="759" w:firstLine="8"/>
        <w:spacing w:after="0" w:line="284" w:lineRule="auto"/>
        <w:tabs>
          <w:tab w:leader="none" w:pos="152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New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“Certain Relationships and Related Party Transactions — Related Party Transactions Entered Into in Connection With This Offering — Tax Receivable Agreement” and “Certain Relationships and Related Party Transactions — Related Party Transactions Entered Into in Connection With This Offering — TWM LLC Agreement.” In addition, if TWM LLC does not have sufficient funds to make distributions, our ability to declare and pay cash dividends will also be restricted or impaired. See “— Risks Relating to This Offering and Ownership of Our Class A Common Stock” and “Dividend Policy.”</w:t>
      </w:r>
    </w:p>
    <w:p>
      <w:pPr>
        <w:spacing w:after="0" w:line="159" w:lineRule="exact"/>
        <w:rPr>
          <w:sz w:val="20"/>
          <w:szCs w:val="20"/>
          <w:color w:val="auto"/>
        </w:rPr>
      </w:pPr>
    </w:p>
    <w:p>
      <w:pPr>
        <w:ind w:left="1260" w:right="759"/>
        <w:spacing w:after="0"/>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83"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TWM LLC will continue to be treated as a partnership for U.S. federal income tax purposes and, as such, will not be subject to any entity-level U.S. federal income tax. Instead, taxable income will be allocated to holders of LLC Interests, including us. Accordingly, we will incur income taxes on our allocable share of any net taxable income of TWM LLC. Under the TWM LLC Agreement, TWM LLC will generally be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obligations under the Tax Receivable Agreement and the payment of other expenses. We will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59"/>
        <w:spacing w:after="0" w:line="297" w:lineRule="auto"/>
        <w:rPr>
          <w:sz w:val="20"/>
          <w:szCs w:val="20"/>
          <w:color w:val="auto"/>
        </w:rPr>
      </w:pPr>
      <w:r>
        <w:rPr>
          <w:rFonts w:ascii="Arial" w:cs="Arial" w:eastAsia="Arial" w:hAnsi="Arial"/>
          <w:sz w:val="16"/>
          <w:szCs w:val="16"/>
          <w:color w:val="auto"/>
        </w:rPr>
        <w:t>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45" w:lineRule="exact"/>
        <w:rPr>
          <w:sz w:val="20"/>
          <w:szCs w:val="20"/>
          <w:color w:val="auto"/>
        </w:rPr>
      </w:pPr>
    </w:p>
    <w:p>
      <w:pPr>
        <w:jc w:val="both"/>
        <w:ind w:left="1260" w:right="839"/>
        <w:spacing w:after="0" w:line="235"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81" w:lineRule="exact"/>
        <w:rPr>
          <w:sz w:val="20"/>
          <w:szCs w:val="20"/>
          <w:color w:val="auto"/>
        </w:rPr>
      </w:pPr>
    </w:p>
    <w:p>
      <w:pPr>
        <w:ind w:left="1260" w:right="819" w:firstLine="360"/>
        <w:spacing w:after="0" w:line="267" w:lineRule="auto"/>
        <w:rPr>
          <w:sz w:val="20"/>
          <w:szCs w:val="20"/>
          <w:color w:val="auto"/>
        </w:rPr>
      </w:pPr>
      <w:r>
        <w:rPr>
          <w:rFonts w:ascii="Arial" w:cs="Arial" w:eastAsia="Arial" w:hAnsi="Arial"/>
          <w:sz w:val="17"/>
          <w:szCs w:val="17"/>
          <w:color w:val="auto"/>
        </w:rPr>
        <w:t>Upon the closing of this offering, we will be a party to the Tax Receivable Agreement with TWM LLC and the Continuing LLC Owners. Under the Tax Receivable Agreement, we will be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as described under “The Reorganization Transactions,” and (ii) certain other tax benefits related to our making payments under the Tax Receivable Agreement. We expect that the amount of the cash payments that we will be required to make under the Tax Receivable Agreement will be significant. Any payments made by us to the Continuing LLC Owners under the Tax Receivable Agreement will generally reduce the amount of overall cash flow that might have otherwise been available to us.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 — Related Party Transactions Entered Into in Connection With This Transaction — Tax Receivable Agreement.”</w:t>
      </w:r>
    </w:p>
    <w:p>
      <w:pPr>
        <w:spacing w:after="0" w:line="85"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purchase, redemption or exchange,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assuming (i) that the Continuing LLC Owners redeemed or exchanged all of their LLC Interests immediately after the completion of this offering (including the LLC Interests we expect to purchase from certain of the Bank Stockholders using the net proceeds of this offering), (ii) no material changes in relevant tax law, and (iii) that we earn sufficient taxable income in each year to realize on a current basis all tax benefits that are subject to the Tax Receivable Agreement, based on the initial public offering price of $27.00 per share of our Class A common stock, we expect that the tax savings we would be deemed to realize would aggregate approximately $866.7 million over the 15-year period from the assumed date of such redemption or exchange, and over such period we would be required to pay the Continuing LLC Owners 50% of such amount, or approximately $433.3 million, over such period. The actual amounts we may be required to pay under the Tax Receivable Agreement may materially differ from these hypothetical amounts, as potential future tax savings we will be deemed to realize, and Tax Receivable Agreement payments by us, will be calculated based in part on the market value of our Class A common stock at the time of redemption or exchange and the prevailing federal tax rates applicable to us over the life of the Tax Receivable Agreement (as well as the assumed combined state and local tax rate), and will generally be dependent on us generating sufficient future taxable income to realize all of these tax savings (subject to the exceptions described under “Certain Relationships and Related Party Transactions — Related Party Transactions Entered Into in Connection With This Transaction — Tax Receivable Agreement”). Payments under the Tax Receivable</w:t>
      </w:r>
    </w:p>
    <w:p>
      <w:pPr>
        <w:spacing w:after="0" w:line="2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97" w:lineRule="auto"/>
        <w:rPr>
          <w:sz w:val="20"/>
          <w:szCs w:val="20"/>
          <w:color w:val="auto"/>
        </w:rPr>
      </w:pPr>
      <w:r>
        <w:rPr>
          <w:rFonts w:ascii="Arial" w:cs="Arial" w:eastAsia="Arial" w:hAnsi="Arial"/>
          <w:sz w:val="16"/>
          <w:szCs w:val="16"/>
          <w:color w:val="auto"/>
        </w:rPr>
        <w:t>Agreement are not conditioned on any Continuing LLC Owner’s continued ownership of LLC Interests or our Class A common stock or Class B common stock after this offering.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45" w:lineRule="exact"/>
        <w:rPr>
          <w:sz w:val="20"/>
          <w:szCs w:val="20"/>
          <w:color w:val="auto"/>
        </w:rPr>
      </w:pPr>
    </w:p>
    <w:p>
      <w:pPr>
        <w:ind w:left="1260" w:right="859"/>
        <w:spacing w:after="0" w:line="253"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71"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We will enter into the Tax Receivable Agreement with TWM LLC and the Continuing LLC Owners and it will provide for the payment by us to the Continuing LLC Owners of 50% of the tax benefits, if any, that we actually realize, or in certain circumstances are deemed to realize, as a result of (i) increases in the tax basis of TWM LLC’s assets resulting from (a) the purchase of LLC Interests from the Continuing LLC Owners using the net proceeds from this or any future offering or (b) redemptions or exchanges by the Continuing LLC Owners of LLC Interests for shares of our Class A common stock or Class B Common Stock or for cash, as applicable, as described under “The Reorganization Transactions,”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55"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81" w:lineRule="exact"/>
        <w:rPr>
          <w:sz w:val="20"/>
          <w:szCs w:val="20"/>
          <w:color w:val="auto"/>
        </w:rPr>
      </w:pPr>
    </w:p>
    <w:p>
      <w:pPr>
        <w:ind w:left="1260" w:right="879" w:firstLine="360"/>
        <w:spacing w:after="0" w:line="276" w:lineRule="auto"/>
        <w:rPr>
          <w:sz w:val="20"/>
          <w:szCs w:val="20"/>
          <w:color w:val="auto"/>
        </w:rPr>
      </w:pPr>
      <w:r>
        <w:rPr>
          <w:rFonts w:ascii="Arial" w:cs="Arial" w:eastAsia="Arial" w:hAnsi="Arial"/>
          <w:sz w:val="17"/>
          <w:szCs w:val="17"/>
          <w:color w:val="auto"/>
        </w:rPr>
        <w:t>The Tax Receivable Agreement provides that upon certain changes of control or if, at any time, we elect an early termination of the Tax Receivable Agreement, then our obligations, or our successor’s obligations, under the Tax Receivable Agreement to make payments thereunder would be accelerated and calculated based on certain assumptions, including an assumption that we would have sufficient taxable income to fully utilize all potential future tax benefits that are subject to the Tax Receivable Agreement.</w:t>
      </w:r>
    </w:p>
    <w:p>
      <w:pPr>
        <w:spacing w:after="0" w:line="6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81"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75"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65" w:lineRule="exact"/>
        <w:rPr>
          <w:sz w:val="20"/>
          <w:szCs w:val="20"/>
          <w:color w:val="auto"/>
        </w:rPr>
      </w:pPr>
    </w:p>
    <w:p>
      <w:pPr>
        <w:ind w:left="1260" w:right="779"/>
        <w:spacing w:after="0" w:line="328" w:lineRule="auto"/>
        <w:rPr>
          <w:sz w:val="20"/>
          <w:szCs w:val="20"/>
          <w:color w:val="auto"/>
        </w:rPr>
      </w:pPr>
      <w:r>
        <w:rPr>
          <w:rFonts w:ascii="Arial" w:cs="Arial" w:eastAsia="Arial" w:hAnsi="Arial"/>
          <w:sz w:val="15"/>
          <w:szCs w:val="15"/>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9" w:lineRule="exact"/>
        <w:rPr>
          <w:sz w:val="20"/>
          <w:szCs w:val="20"/>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63"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4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60"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Legislation that is effective for taxable years beginning after December 31, 2017 may impute liability for adjustments to a partnership’s tax return on the partnership itself in certain circumstances, absent an election to the contrary. TWM LLC may be subject to material liabilities pursuant to this legislation and related guidance if, for example, its calculations of taxable income are incorrect.</w:t>
      </w:r>
    </w:p>
    <w:p>
      <w:pPr>
        <w:spacing w:after="0" w:line="173" w:lineRule="exact"/>
        <w:rPr>
          <w:sz w:val="20"/>
          <w:szCs w:val="20"/>
          <w:color w:val="auto"/>
        </w:rPr>
      </w:pPr>
    </w:p>
    <w:p>
      <w:pPr>
        <w:ind w:left="1260" w:right="799"/>
        <w:spacing w:after="0" w:line="276"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27"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32"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As the sole manager of TWM LLC, we will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65" w:lineRule="exact"/>
        <w:rPr>
          <w:sz w:val="20"/>
          <w:szCs w:val="20"/>
          <w:color w:val="auto"/>
        </w:rPr>
      </w:pPr>
    </w:p>
    <w:p>
      <w:pPr>
        <w:ind w:left="1260" w:right="819" w:firstLine="360"/>
        <w:spacing w:after="0" w:line="302" w:lineRule="auto"/>
        <w:rPr>
          <w:sz w:val="20"/>
          <w:szCs w:val="20"/>
          <w:color w:val="auto"/>
        </w:rPr>
      </w:pPr>
      <w:r>
        <w:rPr>
          <w:rFonts w:ascii="Arial" w:cs="Arial" w:eastAsia="Arial" w:hAnsi="Arial"/>
          <w:sz w:val="16"/>
          <w:szCs w:val="16"/>
          <w:color w:val="auto"/>
        </w:rPr>
        <w:t>We and TWM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3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Risks Relating to This Offering and Ownership of Our Class A Common Stock</w:t>
      </w:r>
    </w:p>
    <w:p>
      <w:pPr>
        <w:spacing w:after="0" w:line="202"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The Refinitiv Owners and their affiliates control us and their interests may conflict with ours or yours in the future.</w:t>
      </w:r>
    </w:p>
    <w:p>
      <w:pPr>
        <w:spacing w:after="0" w:line="35"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Immediately following this offering and the application of the net proceeds from this offering, the Refinitiv Owners and their affiliates will control approximately 68.2% of the combined voting power of our</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85" w:lineRule="auto"/>
        <w:rPr>
          <w:sz w:val="20"/>
          <w:szCs w:val="20"/>
          <w:color w:val="auto"/>
        </w:rPr>
      </w:pPr>
      <w:r>
        <w:rPr>
          <w:rFonts w:ascii="Arial" w:cs="Arial" w:eastAsia="Arial" w:hAnsi="Arial"/>
          <w:sz w:val="16"/>
          <w:szCs w:val="16"/>
          <w:color w:val="auto"/>
        </w:rPr>
        <w:t>common stock (or 69.8%, if the underwriters exercise in full their option to purchase additional shares of Class A common stock) as a result of their ownership of our Class B common stock and Class D common stock, each share of which is entitled to 10 votes on all matters submitted to a vote of our stockholders. Moreover, under our amended and restated bylaws and the Stockholders Agreement that will be in effect by the completion of this offering, for so long as the Refinitiv Owners and their affiliates together continue to beneficially own at least 10% of the combined voting power of our common stock, we will agree to nominate to our board of directors a certain number of individuals designated by the Refinitiv Owners. See “Certain Relationships and Related Party Transactions — Transactions Entered Into in Connection With This Offering — Stockholders Agreement.” Even when the Refinitiv Owners and their affiliates cease to own 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have significant influence with respect to our management, business plans and policies. In particular, the Refinitiv Owners and their affiliates will be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65"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Refinitiv Owners and their affiliates engage in a broad spectrum of activities. In the ordinary course of their business activities, the Refinitiv Owners and their affiliates may engage in activities where their interests conflict with our interests or those of our stockholders. Our amended and restated certificate of incorporation will provide that none of the Refinitiv Owners, any of their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59" w:lineRule="exact"/>
        <w:rPr>
          <w:sz w:val="20"/>
          <w:szCs w:val="20"/>
          <w:color w:val="auto"/>
        </w:rPr>
      </w:pPr>
    </w:p>
    <w:p>
      <w:pPr>
        <w:ind w:left="1260" w:right="779"/>
        <w:spacing w:after="0" w:line="275" w:lineRule="auto"/>
        <w:rPr>
          <w:sz w:val="20"/>
          <w:szCs w:val="20"/>
          <w:color w:val="auto"/>
        </w:rPr>
      </w:pPr>
      <w:r>
        <w:rPr>
          <w:rFonts w:ascii="Arial" w:cs="Arial" w:eastAsia="Arial" w:hAnsi="Arial"/>
          <w:sz w:val="17"/>
          <w:szCs w:val="17"/>
          <w:b w:val="1"/>
          <w:bCs w:val="1"/>
          <w:i w:val="1"/>
          <w:iCs w:val="1"/>
          <w:color w:val="auto"/>
        </w:rPr>
        <w:t>Immediately following the consummation of this offering, the Refinitiv Direct Owner and the Continuing LLC Owners may require us to issue additional shares of our Class A common stock.</w:t>
      </w:r>
    </w:p>
    <w:p>
      <w:pPr>
        <w:spacing w:after="0" w:line="52" w:lineRule="exact"/>
        <w:rPr>
          <w:sz w:val="20"/>
          <w:szCs w:val="20"/>
          <w:color w:val="auto"/>
        </w:rPr>
      </w:pPr>
    </w:p>
    <w:p>
      <w:pPr>
        <w:ind w:left="1260" w:right="1019" w:firstLine="360"/>
        <w:spacing w:after="0" w:line="274" w:lineRule="auto"/>
        <w:rPr>
          <w:sz w:val="20"/>
          <w:szCs w:val="20"/>
          <w:color w:val="auto"/>
        </w:rPr>
      </w:pPr>
      <w:r>
        <w:rPr>
          <w:rFonts w:ascii="Arial" w:cs="Arial" w:eastAsia="Arial" w:hAnsi="Arial"/>
          <w:sz w:val="17"/>
          <w:szCs w:val="17"/>
          <w:color w:val="auto"/>
        </w:rPr>
        <w:t>After this offering, we will have an aggregate of more than 960,000,000 shares of Class A common stock authorized but unissued, including approximately 182,222,223 shares of Class A common stock (or</w:t>
      </w:r>
    </w:p>
    <w:p>
      <w:pPr>
        <w:ind w:left="1260" w:right="759"/>
        <w:spacing w:after="0" w:line="286" w:lineRule="auto"/>
        <w:rPr>
          <w:sz w:val="20"/>
          <w:szCs w:val="20"/>
          <w:color w:val="auto"/>
        </w:rPr>
      </w:pPr>
      <w:r>
        <w:rPr>
          <w:rFonts w:ascii="Arial" w:cs="Arial" w:eastAsia="Arial" w:hAnsi="Arial"/>
          <w:sz w:val="16"/>
          <w:szCs w:val="16"/>
          <w:color w:val="auto"/>
        </w:rPr>
        <w:t>176,222,223 shares, if the underwriters exercise in full their option to purchase additional shares of Class A common stock) issuable upon the redemption or exchange of LLC Interests that will be held by the Continuing LLC Owners or the exchange of shares of Class B common stock that will be held by the Refinitiv Direct Owner and any other future holders of Class B common stock. TWM LLC will enter into the TWM LLC Agreement and, subject to certain restrictions set forth therein and as described elsewhere in this prospectus, the Continuing LLC Owners will be entitled to have their LLC Interests redeemed for newly issued shares of our Class A common stock or Class B common stock,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59"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2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59"/>
        <w:spacing w:after="0" w:line="307"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Nasdaq and, as a result, will qualify for, and may rely on, exemptions from certain corporate governance requirements.</w:t>
      </w:r>
    </w:p>
    <w:p>
      <w:pPr>
        <w:spacing w:after="0" w:line="29"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After completion of this offering, Refinitiv will continue to own a majority of the combined voting power in us. As a result, we will be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78" w:lineRule="exact"/>
        <w:rPr>
          <w:sz w:val="20"/>
          <w:szCs w:val="20"/>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30"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00" w:lineRule="exact"/>
        <w:rPr>
          <w:rFonts w:ascii="Arial" w:cs="Arial" w:eastAsia="Arial" w:hAnsi="Arial"/>
          <w:sz w:val="18"/>
          <w:szCs w:val="18"/>
          <w:color w:val="auto"/>
        </w:rPr>
      </w:pPr>
    </w:p>
    <w:p>
      <w:pPr>
        <w:ind w:left="1980" w:right="1199" w:hanging="352"/>
        <w:spacing w:after="0" w:line="342" w:lineRule="auto"/>
        <w:tabs>
          <w:tab w:leader="none" w:pos="1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Following this offering, we intend to rely on all of the exemptions listed above. If we do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65" w:lineRule="exact"/>
        <w:rPr>
          <w:sz w:val="20"/>
          <w:szCs w:val="20"/>
          <w:color w:val="auto"/>
        </w:rPr>
      </w:pPr>
    </w:p>
    <w:p>
      <w:pPr>
        <w:jc w:val="both"/>
        <w:ind w:left="1260" w:right="899"/>
        <w:spacing w:after="0" w:line="235" w:lineRule="auto"/>
        <w:rPr>
          <w:sz w:val="20"/>
          <w:szCs w:val="20"/>
          <w:color w:val="auto"/>
        </w:rPr>
      </w:pPr>
      <w:r>
        <w:rPr>
          <w:rFonts w:ascii="Arial" w:cs="Arial" w:eastAsia="Arial" w:hAnsi="Arial"/>
          <w:sz w:val="18"/>
          <w:szCs w:val="18"/>
          <w:b w:val="1"/>
          <w:bCs w:val="1"/>
          <w:i w:val="1"/>
          <w:iCs w:val="1"/>
          <w:color w:val="auto"/>
        </w:rPr>
        <w:t>There is no existing market for our Class A common stock, and we do not know if one will develop to provide you with adequate liquidity to sell our Class A common stock at prices equal to or greater than the price you paid in this offering.</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Prior to this offering, there has been no public market for our Class A common stock. We cannot predict the extent to which investor interest in us will lead to the development of a trading market on Nasdaq or otherwise or how active and liquid that market may come to be. Although we intend to apply to list our Class A common stock on Nasdaq, if an active trading market for our Class A common stock does not develop following this offering, you may not be able to sell your shares quickly or at or above the initial public offering price. The initial public offering price for our shares was determined by negotiations between us, certain of the Original LLC Owners and the representatives of the underwriters, and this price may not be indicative of prices that will prevail in the open market following this offering. Consequently, you may not be able to sell our Class A common stock at prices equal to or greater than the price you paid in this offering.</w:t>
      </w:r>
    </w:p>
    <w:p>
      <w:pPr>
        <w:spacing w:after="0" w:line="168"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of our Class A common stock:</w:t>
      </w:r>
    </w:p>
    <w:p>
      <w:pPr>
        <w:spacing w:after="0" w:line="94" w:lineRule="exact"/>
        <w:rPr>
          <w:sz w:val="20"/>
          <w:szCs w:val="20"/>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pacing w:after="0" w:line="130"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concerning our competitors or our industry in general;</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3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failure of securities analysts to cover the Company or changes in analysts’ financial estimates;</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political, legal and regulatory factors unrelated to our performance;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30"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 and</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fluctuations in the U.S. equity markets.</w:t>
      </w:r>
    </w:p>
    <w:p>
      <w:pPr>
        <w:spacing w:after="0" w:line="117"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68"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 as a result of this offering and any future equity issuances.</w:t>
      </w:r>
    </w:p>
    <w:p>
      <w:pPr>
        <w:spacing w:after="0" w:line="75"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common stock. Dilution is the difference between the initial public offering price per share and the pro forma net tangible book value per share of our Class A common stock after this offering. If you purchase shares of Class A common stock in this offering, you will incur immediate and substantial dilution in the amount of $26.49 per share. To the extent outstanding options are ultimately exercised, there will be further dilution to investors in this offering. In addition, if we issue additional equity securities in the future, including to our employees and directors under our equity incentive plans, investors purchasing shares of Class A common stock in this offering will experience additional dilution. See “Dilution.”</w:t>
      </w:r>
    </w:p>
    <w:p>
      <w:pPr>
        <w:spacing w:after="0" w:line="153"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5"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 this offering, we will have 40,000,000 outstanding shares of Class A common stock (or 46,000,000 shares, if the underwriters exercise in full their option to purchase additional shares of Class A common stock) and 182,222,223 shares of Class A common stock that are authorized but unissued that would be issuable upon redemption or exchange of LLC Interests or exchange of shares of our Class B common stock.</w:t>
      </w:r>
    </w:p>
    <w:p>
      <w:pPr>
        <w:spacing w:after="0" w:line="7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We and each of our directors and executive officers and substantially all of our other existing stockholders, which collectively hold substantially all of our outstanding common stock other than shares sold in this offering, have agreed with the underwriters, subject to certain exceptions, not to dispose of or hedge any shares of Class A common stock or securities convertible into or exchangeable for, or that represent the right to receive, shares of Class A common stock (including the LLC Interests and shares of Class B common stock) during the period from the date of this prospectus continuing through the date 180 days after the date of this prospectus, except with the prior written consent of the representatives. 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See “Certain Relationships and Related Party Transactions — Related Party Transactions Entered Into in Connection With This Offering — Registration</w:t>
      </w:r>
    </w:p>
    <w:p>
      <w:pPr>
        <w:spacing w:after="0" w:line="25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79" w:lineRule="auto"/>
        <w:rPr>
          <w:sz w:val="20"/>
          <w:szCs w:val="20"/>
          <w:color w:val="auto"/>
        </w:rPr>
      </w:pPr>
      <w:r>
        <w:rPr>
          <w:rFonts w:ascii="Arial" w:cs="Arial" w:eastAsia="Arial" w:hAnsi="Arial"/>
          <w:sz w:val="17"/>
          <w:szCs w:val="17"/>
          <w:color w:val="auto"/>
        </w:rPr>
        <w:t>Rights Agreement.” Sales of a substantial number of Class A common stock upon expiration of such above-described agreements, the perception that such sales may occur, or early release of such agreements, could cause the market price of our shares of Class A common stock to fall or make it more difficult for you to sell your Class A common stock at a time and price that you deem appropriate.</w:t>
      </w:r>
    </w:p>
    <w:p>
      <w:pPr>
        <w:spacing w:after="0" w:line="63"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of the applicable lock-up periods, subject to applicable limitations imposed under federal securities laws. In addition, shares of Class A common stock issued or issuable upon exercise of options vested as of the expiration of the lock-up period will be eligible for sale at that time. Sales of shares of our Class A common stock following the expiration of the applicable lock-up periods could have a material adverse effect on the trading price of our Class A common stock. See “Shares Eligible for Future Sale.”</w:t>
      </w:r>
    </w:p>
    <w:p>
      <w:pPr>
        <w:spacing w:after="0" w:line="71"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Moreover, after this offering, 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 statement on Form S-8 will cover approximately 33,334,000 shares of our Class A common stock.</w:t>
      </w:r>
    </w:p>
    <w:p>
      <w:pPr>
        <w:spacing w:after="0" w:line="70"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also intend to enter into the Registration Rights Agreement.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w:t>
      </w:r>
    </w:p>
    <w:p>
      <w:pPr>
        <w:spacing w:after="0" w:line="2"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 Related Party Transactions Entered Into in Connection With This Offering — Registration Rights Agreement.”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76" w:lineRule="exact"/>
        <w:rPr>
          <w:sz w:val="20"/>
          <w:szCs w:val="20"/>
          <w:color w:val="auto"/>
        </w:rPr>
      </w:pPr>
    </w:p>
    <w:p>
      <w:pPr>
        <w:jc w:val="both"/>
        <w:ind w:left="1260" w:right="819"/>
        <w:spacing w:after="0" w:line="303"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markets, or if they adversely change their recommendations or publish negative reports regarding our business or our Class A common stock, our stock price and trading volume could materially decline.</w:t>
      </w:r>
    </w:p>
    <w:p>
      <w:pPr>
        <w:spacing w:after="0" w:line="35"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markets or our competitors. We do not have any control over these analysts and we cannot provide any assurance that analysts will cover us or provide favorable coverage. If any of the analysts who may cover us adversely change their recommendation regarding our Class A common stock, or provide more favorable relative recommendations about our competitors, our stock price could materially decline. If any analyst who may cover us were to cease coverage of our company or fail to regularly publish reports on us, we could lose visibility in the financial markets, which in turn could cause our stock price or trading volume to materially decline.</w:t>
      </w:r>
    </w:p>
    <w:p>
      <w:pPr>
        <w:spacing w:after="0" w:line="165"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We intend to pay regular dividends on our Class A common stock and Class B common stock, but our ability to do so may be limited.</w:t>
      </w:r>
    </w:p>
    <w:p>
      <w:pPr>
        <w:spacing w:after="0" w:line="75"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Following the completion of this offering, we intend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64"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91" w:lineRule="auto"/>
        <w:rPr>
          <w:sz w:val="20"/>
          <w:szCs w:val="20"/>
          <w:color w:val="auto"/>
        </w:rPr>
      </w:pPr>
      <w:r>
        <w:rPr>
          <w:rFonts w:ascii="Arial" w:cs="Arial" w:eastAsia="Arial" w:hAnsi="Arial"/>
          <w:sz w:val="16"/>
          <w:szCs w:val="16"/>
          <w:color w:val="auto"/>
        </w:rPr>
        <w:t>economic interests in TWM LLC at the time of such distributions. See “The Reorganization Transactions.”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including the New Revolving Credit Facility, or any future debt or preferred equity securities of Tradeweb or its subsidiaries.</w:t>
      </w:r>
    </w:p>
    <w:p>
      <w:pPr>
        <w:spacing w:after="0" w:line="59"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79" w:lineRule="exact"/>
        <w:rPr>
          <w:sz w:val="20"/>
          <w:szCs w:val="20"/>
          <w:color w:val="auto"/>
        </w:rPr>
      </w:pPr>
    </w:p>
    <w:p>
      <w:pPr>
        <w:ind w:left="1260" w:right="1319"/>
        <w:spacing w:after="0" w:line="24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75"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to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133" w:lineRule="exact"/>
        <w:rPr>
          <w:sz w:val="20"/>
          <w:szCs w:val="20"/>
          <w:color w:val="auto"/>
        </w:rPr>
      </w:pPr>
    </w:p>
    <w:p>
      <w:pPr>
        <w:ind w:left="1980" w:right="129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102" w:lineRule="exact"/>
        <w:rPr>
          <w:rFonts w:ascii="Arial" w:cs="Arial" w:eastAsia="Arial" w:hAnsi="Arial"/>
          <w:sz w:val="18"/>
          <w:szCs w:val="18"/>
          <w:color w:val="auto"/>
        </w:rPr>
      </w:pPr>
    </w:p>
    <w:p>
      <w:pPr>
        <w:ind w:left="1980" w:right="1039" w:hanging="352"/>
        <w:spacing w:after="0" w:line="302" w:lineRule="auto"/>
        <w:tabs>
          <w:tab w:leader="none" w:pos="1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would 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00" w:lineRule="exact"/>
        <w:rPr>
          <w:rFonts w:ascii="Arial" w:cs="Arial" w:eastAsia="Arial" w:hAnsi="Arial"/>
          <w:sz w:val="16"/>
          <w:szCs w:val="16"/>
          <w:color w:val="auto"/>
        </w:rPr>
      </w:pPr>
    </w:p>
    <w:p>
      <w:pPr>
        <w:jc w:val="both"/>
        <w:ind w:left="1980" w:right="959" w:hanging="352"/>
        <w:spacing w:after="0" w:line="286" w:lineRule="auto"/>
        <w:tabs>
          <w:tab w:leader="none" w:pos="1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the Refinitiv Owners cease to beneficially own at least 50% of the total voting power of all then outstanding shares of our capital stock unless such action is recommended by all directors then in office;</w:t>
      </w:r>
    </w:p>
    <w:p>
      <w:pPr>
        <w:spacing w:after="0" w:line="97" w:lineRule="exact"/>
        <w:rPr>
          <w:rFonts w:ascii="Arial" w:cs="Arial" w:eastAsia="Arial" w:hAnsi="Arial"/>
          <w:sz w:val="17"/>
          <w:szCs w:val="17"/>
          <w:color w:val="auto"/>
        </w:rPr>
      </w:pPr>
    </w:p>
    <w:p>
      <w:pPr>
        <w:ind w:left="1980" w:right="799" w:hanging="352"/>
        <w:spacing w:after="0" w:line="261"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or more in voting power of all outstanding shares of our capital stock, if the Refinitiv Owners and their respective affiliates beneficially own less than 50% in voting power of our stock entitled to vote generally in the election of directors; and</w:t>
      </w:r>
    </w:p>
    <w:p>
      <w:pPr>
        <w:spacing w:after="0" w:line="130"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62"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33" w:lineRule="exact"/>
        <w:rPr>
          <w:sz w:val="20"/>
          <w:szCs w:val="20"/>
          <w:color w:val="auto"/>
        </w:rPr>
      </w:pPr>
    </w:p>
    <w:p>
      <w:pPr>
        <w:ind w:left="1980" w:right="97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16"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79" w:hanging="352"/>
        <w:spacing w:after="0" w:line="231"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5"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73"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64" w:lineRule="exact"/>
        <w:rPr>
          <w:sz w:val="20"/>
          <w:szCs w:val="20"/>
          <w:color w:val="auto"/>
        </w:rPr>
      </w:pPr>
    </w:p>
    <w:p>
      <w:pPr>
        <w:ind w:left="1260" w:right="819"/>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62"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5" w:lineRule="exact"/>
        <w:rPr>
          <w:sz w:val="20"/>
          <w:szCs w:val="20"/>
          <w:color w:val="auto"/>
        </w:rPr>
      </w:pPr>
    </w:p>
    <w:p>
      <w:pPr>
        <w:ind w:left="1260" w:right="1039"/>
        <w:spacing w:after="0" w:line="246"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75"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89" w:lineRule="exact"/>
        <w:rPr>
          <w:sz w:val="20"/>
          <w:szCs w:val="20"/>
          <w:color w:val="auto"/>
        </w:rPr>
      </w:pPr>
    </w:p>
    <w:p>
      <w:pPr>
        <w:ind w:left="1980" w:right="959" w:hanging="352"/>
        <w:spacing w:after="0" w:line="264"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00"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89"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101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3"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We currently intend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80"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We could be an emerging growth company for up to five years after this offering. We cannot predict if investors will find our Class A common stock less attractive if we elect to rely on these exemptions, or if taking advantage of these exemptions would result in less active trading or more volatility in the price of our Class A common stock.</w:t>
      </w:r>
    </w:p>
    <w:p>
      <w:pPr>
        <w:spacing w:after="0" w:line="173"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62"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However,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64"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64" w:lineRule="exact"/>
        <w:rPr>
          <w:sz w:val="20"/>
          <w:szCs w:val="20"/>
          <w:color w:val="auto"/>
        </w:rPr>
      </w:pPr>
    </w:p>
    <w:p>
      <w:pPr>
        <w:ind w:left="1260" w:right="1079"/>
        <w:spacing w:after="0" w:line="246" w:lineRule="auto"/>
        <w:rPr>
          <w:sz w:val="20"/>
          <w:szCs w:val="20"/>
          <w:color w:val="auto"/>
        </w:rPr>
      </w:pPr>
      <w:r>
        <w:rPr>
          <w:rFonts w:ascii="Arial" w:cs="Arial" w:eastAsia="Arial" w:hAnsi="Arial"/>
          <w:sz w:val="17"/>
          <w:szCs w:val="17"/>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76" w:lineRule="exact"/>
        <w:rPr>
          <w:sz w:val="20"/>
          <w:szCs w:val="20"/>
          <w:color w:val="auto"/>
        </w:rPr>
      </w:pPr>
    </w:p>
    <w:p>
      <w:pPr>
        <w:ind w:left="1260" w:right="1419" w:firstLine="360"/>
        <w:spacing w:after="0" w:line="342" w:lineRule="auto"/>
        <w:rPr>
          <w:sz w:val="20"/>
          <w:szCs w:val="20"/>
          <w:color w:val="auto"/>
        </w:rPr>
      </w:pPr>
      <w:r>
        <w:rPr>
          <w:rFonts w:ascii="Arial" w:cs="Arial" w:eastAsia="Arial" w:hAnsi="Arial"/>
          <w:sz w:val="16"/>
          <w:szCs w:val="16"/>
          <w:color w:val="auto"/>
        </w:rPr>
        <w:t>As a public company, we will be subject to the reporting requirements of the Exchange Act, and the corporate governance standards of the Sarbanes-Oxley Act and Nasdaq. These requirements will place a</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69" w:lineRule="auto"/>
        <w:rPr>
          <w:sz w:val="20"/>
          <w:szCs w:val="20"/>
          <w:color w:val="auto"/>
        </w:rPr>
      </w:pPr>
      <w:r>
        <w:rPr>
          <w:rFonts w:ascii="Arial" w:cs="Arial" w:eastAsia="Arial" w:hAnsi="Arial"/>
          <w:sz w:val="17"/>
          <w:szCs w:val="17"/>
          <w:color w:val="auto"/>
        </w:rPr>
        <w:t>strain on our management, systems and resources and we will incur significant legal, accounting, insurance and other expenses that we have not incurred as a private company. The Exchange Act will require us to file annual, quarterly and current reports with respect to our business and financial condition within specified time periods and to prepare a proxy statement with respect to our annual meeting of stockholders. The Sarbanes-Oxley Act will require that we maintain effective disclosure controls and procedures and internal controls over financial reporting. Nasdaq will require that we comply with various corporate governance requirements. To maintain and improve the effectiveness of our disclosure controls and procedures and internal controls over financial reporting and comply with the Exchange Act and Nasdaq requirements, significant resources and management oversight will be required. This may divert management’s attention from other business concerns and lead to significant costs associated with compliance, which could have a material adverse effect on us and the price of our Class A common stock.</w:t>
      </w:r>
    </w:p>
    <w:p>
      <w:pPr>
        <w:spacing w:after="0" w:line="75"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27" w:lineRule="exact"/>
        <w:rPr>
          <w:sz w:val="20"/>
          <w:szCs w:val="20"/>
          <w:color w:val="auto"/>
        </w:rPr>
      </w:pPr>
    </w:p>
    <w:p>
      <w:pPr>
        <w:ind w:left="1260" w:right="1019" w:firstLine="360"/>
        <w:spacing w:after="0" w:line="297" w:lineRule="auto"/>
        <w:rPr>
          <w:sz w:val="20"/>
          <w:szCs w:val="20"/>
          <w:color w:val="auto"/>
        </w:rPr>
      </w:pPr>
      <w:r>
        <w:rPr>
          <w:rFonts w:ascii="Arial" w:cs="Arial" w:eastAsia="Arial" w:hAnsi="Arial"/>
          <w:sz w:val="16"/>
          <w:szCs w:val="16"/>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This prospectus contains forward-looking statements.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expected dividend policy and our expectations, beliefs, plans, strategies, objectives, prospects, assumptions, or future events or performance, contained in this prospectus under the headings “Prospectus Summary,” “Risk Factors,” “Dividend Policy,” “Management’s Discussion and Analysis of Financial Condition and Results of Operations” and “Business” are forward-looking statements.</w:t>
      </w:r>
    </w:p>
    <w:p>
      <w:pPr>
        <w:spacing w:after="0" w:line="6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prospectus under the headings “Prospectus Summary,” “Risk Factors,” “Management’s Discussion and Analysis of Financial Condition and Results of Operations” and “Business,”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74" w:lineRule="exact"/>
        <w:rPr>
          <w:sz w:val="20"/>
          <w:szCs w:val="20"/>
          <w:color w:val="auto"/>
        </w:rPr>
      </w:pPr>
    </w:p>
    <w:p>
      <w:pPr>
        <w:ind w:left="1980" w:right="127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inability to maintain and grow the capacity of our trading platforms, systems and infrastructure;</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17"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17" w:lineRule="exact"/>
        <w:rPr>
          <w:rFonts w:ascii="Arial" w:cs="Arial" w:eastAsia="Arial" w:hAnsi="Arial"/>
          <w:sz w:val="18"/>
          <w:szCs w:val="18"/>
          <w:color w:val="auto"/>
        </w:rPr>
      </w:pPr>
    </w:p>
    <w:p>
      <w:pPr>
        <w:ind w:left="1980" w:right="1159" w:hanging="352"/>
        <w:spacing w:after="0" w:line="342" w:lineRule="auto"/>
        <w:tabs>
          <w:tab w:leader="none" w:pos="1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limitations on operating our business and incurring additional indebtedness as a result of covenant restrictions under the New Revolving Credit Facility and certain Refinitiv indebtedness;</w:t>
      </w:r>
    </w:p>
    <w:p>
      <w:pPr>
        <w:spacing w:after="0" w:line="15" w:lineRule="exact"/>
        <w:rPr>
          <w:rFonts w:ascii="Arial" w:cs="Arial" w:eastAsia="Arial" w:hAnsi="Arial"/>
          <w:sz w:val="16"/>
          <w:szCs w:val="16"/>
          <w:color w:val="auto"/>
        </w:rPr>
      </w:pPr>
    </w:p>
    <w:p>
      <w:pPr>
        <w:ind w:left="1980" w:right="87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policy and to pay our taxes and expenses, including payments under the Tax Receivable Agreement;</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risk factors described under “Risk Factors.”</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prospectus are not guarantees of future performance and our actual results of operations, financial condition, and liquidity, and the development of the industry in which we operate, may differ materially from the forward-looking statements contained in this prospectus. In addition, even if our results of operations, financial condition, and liquidity, and events in the industry in which we operate, are consistent with the forward-looking statements contained in this prospectus, they may not be predictive of results or developments in future periods.</w:t>
      </w:r>
    </w:p>
    <w:p>
      <w:pPr>
        <w:spacing w:after="0" w:line="7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Any forward-looking statement that we make in this prospectus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REORGANIZATION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Existing Organization</w:t>
      </w:r>
    </w:p>
    <w:p>
      <w:pPr>
        <w:spacing w:after="0" w:line="108"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Prior to the completion of this offering and the organizational transactions described below, the Original LLC Owners are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Reorganization Transactions</w:t>
      </w:r>
    </w:p>
    <w:p>
      <w:pPr>
        <w:spacing w:after="0" w:line="10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Prior to the closing of this offering, we will consummate the following organizational transactions, which we refer to as the “Reorganization Transactions:”</w:t>
      </w:r>
    </w:p>
    <w:p>
      <w:pPr>
        <w:spacing w:after="0" w:line="143" w:lineRule="exact"/>
        <w:rPr>
          <w:sz w:val="20"/>
          <w:szCs w:val="20"/>
          <w:color w:val="auto"/>
        </w:rPr>
      </w:pPr>
    </w:p>
    <w:p>
      <w:pPr>
        <w:ind w:left="1980" w:right="859" w:hanging="352"/>
        <w:spacing w:after="0" w:line="259"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amend and restate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146" w:lineRule="exact"/>
        <w:rPr>
          <w:rFonts w:ascii="Arial" w:cs="Arial" w:eastAsia="Arial" w:hAnsi="Arial"/>
          <w:sz w:val="18"/>
          <w:szCs w:val="18"/>
          <w:color w:val="auto"/>
        </w:rPr>
      </w:pPr>
    </w:p>
    <w:p>
      <w:pPr>
        <w:ind w:left="1980" w:right="819" w:hanging="352"/>
        <w:spacing w:after="0" w:line="270"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92" w:lineRule="exact"/>
        <w:rPr>
          <w:sz w:val="20"/>
          <w:szCs w:val="20"/>
          <w:color w:val="auto"/>
        </w:rPr>
      </w:pPr>
    </w:p>
    <w:tbl>
      <w:tblPr>
        <w:tblLayout w:type="fixed"/>
        <w:tblInd w:w="2520" w:type="dxa"/>
        <w:tblCellMar>
          <w:top w:w="0" w:type="dxa"/>
          <w:left w:w="0" w:type="dxa"/>
          <w:bottom w:w="0" w:type="dxa"/>
          <w:right w:w="0" w:type="dxa"/>
        </w:tblCellMar>
      </w:tblPr>
      <w:tr>
        <w:trPr>
          <w:trHeight w:val="186"/>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26"/>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316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2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70"/>
        </w:trPr>
        <w:tc>
          <w:tcPr>
            <w:tcW w:w="3160" w:type="dxa"/>
            <w:vAlign w:val="bottom"/>
            <w:gridSpan w:val="3"/>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-668020</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-668020</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980" w:right="899"/>
        <w:spacing w:after="0" w:line="312"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20" w:lineRule="exact"/>
        <w:rPr>
          <w:sz w:val="20"/>
          <w:szCs w:val="20"/>
          <w:color w:val="auto"/>
        </w:rPr>
      </w:pPr>
    </w:p>
    <w:p>
      <w:pPr>
        <w:ind w:left="1980" w:right="959" w:hanging="352"/>
        <w:spacing w:after="0" w:line="264"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assume sponsorship of the Option Plan and the PRSU Plan currently sponsored by Tradeweb Markets LLC. Accordingly, all options and PRSUs granted under such plans will be converted into economically equivalent awards of Tradeweb Markets Inc.;</w:t>
      </w:r>
    </w:p>
    <w:p>
      <w:pPr>
        <w:spacing w:after="0" w:line="140" w:lineRule="exact"/>
        <w:rPr>
          <w:rFonts w:ascii="Arial" w:cs="Arial" w:eastAsia="Arial" w:hAnsi="Arial"/>
          <w:sz w:val="18"/>
          <w:szCs w:val="18"/>
          <w:color w:val="auto"/>
        </w:rPr>
      </w:pPr>
    </w:p>
    <w:p>
      <w:pPr>
        <w:ind w:left="1980" w:right="779" w:hanging="352"/>
        <w:spacing w:after="0" w:line="264"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issue an aggregate of 125,289,031 shares of Class C common stock and Class D common stock to the Continuing LLC Owners, as the case may be, on a one-to-one basis with the number of LLC Interests they own, for nominal consideration;</w:t>
      </w:r>
    </w:p>
    <w:p>
      <w:pPr>
        <w:spacing w:after="0" w:line="140"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will receive 96,933,192 shares of Class B common stock and we will receive 96,933,192 LLC Interests;</w:t>
      </w:r>
    </w:p>
    <w:p>
      <w:pPr>
        <w:spacing w:after="0" w:line="143" w:lineRule="exact"/>
        <w:rPr>
          <w:rFonts w:ascii="Arial" w:cs="Arial" w:eastAsia="Arial" w:hAnsi="Arial"/>
          <w:sz w:val="18"/>
          <w:szCs w:val="18"/>
          <w:color w:val="auto"/>
        </w:rPr>
      </w:pPr>
    </w:p>
    <w:p>
      <w:pPr>
        <w:ind w:left="1980" w:right="779" w:hanging="352"/>
        <w:spacing w:after="0" w:line="312" w:lineRule="auto"/>
        <w:tabs>
          <w:tab w:leader="none" w:pos="1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received in exchange for their existing membership interests in TWM LLC and will have no economic interests in Tradeweb despite their ownership of Class C common stock and/or Class D common stock, as the case may be; and</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59" w:hanging="352"/>
        <w:spacing w:after="0" w:line="276" w:lineRule="auto"/>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Tradeweb will enter into (i) the Tax Receivable Agreement with TWM LLC and the Continuing LLC Owners, (ii) the Stockholders Agreement with the Refinitiv Owners, and (iii) the Registration Rights Agreement with the Refinitiv Owners and the Bank Stockholders. For a description of the terms of the Tax Receivable Agreement, the Stockholders Agreement and the Registration Rights Agreement, see “Certain Relationships and Related Party Transactions.”</w:t>
      </w:r>
    </w:p>
    <w:p>
      <w:pPr>
        <w:spacing w:after="0" w:line="6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will issue 40,000,000 shares of Class A common stock to the purchasers in this offering in exchange for $1,009.8 million of net proceeds. We estimate that the offering expenses (other than the underwriting discounts and commissions) will be approximately $12.1 million. All of such offering expenses will be paid for or otherwise borne by TWM LLC.</w:t>
      </w:r>
    </w:p>
    <w:p>
      <w:pPr>
        <w:spacing w:after="0" w:line="79"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After the completion of this offering, in order to facilitate the disposition of equity interests in TWM LLC held by certain of the Bank Stockholders, we intend to use the net proceeds from this offering to purchase 40,000,000 issued and outstanding LLC Interests (or 46,000,000 if the underwriters exercise in full their option to purchase additional shares of Class A common stock) from certain of the Bank Stockholders (and cancel the corresponding shares of common stock), at a purchase price per interest equal to the initial public offering price per share of Class A common stock, less the underwriting discounts and commissions payable thereon, collectively representing a 18.0% economic interest in TWM LLC (or 20.7% if the underwriters exercise in full their option to purchase additional shares of Class A common stock). See “Use of Proceeds.”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108"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Immediately following the completion of the Reorganization Transactions, including this offering and the application of the net proceeds therefrom as described in “Use of Proceeds:”</w:t>
      </w:r>
    </w:p>
    <w:p>
      <w:pPr>
        <w:spacing w:after="0" w:line="62" w:lineRule="exact"/>
        <w:rPr>
          <w:sz w:val="20"/>
          <w:szCs w:val="20"/>
          <w:color w:val="auto"/>
        </w:rPr>
      </w:pPr>
    </w:p>
    <w:p>
      <w:pPr>
        <w:jc w:val="both"/>
        <w:ind w:left="1980" w:right="859" w:hanging="352"/>
        <w:spacing w:after="0" w:line="264"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Tradeweb will be a holding company whose principal asset will be LLC Interests of TWM LLC that it acquires from certain of the Bank Stockholders using the net proceeds from this offering and the LLC Interests that it receives as a result of the Refinitiv Contribution;</w:t>
      </w:r>
    </w:p>
    <w:p>
      <w:pPr>
        <w:spacing w:after="0" w:line="73"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Tradeweb will be the sole manager of TWM LLC and will operate and control all of the business and affairs of TWM LLC and its subsidiaries;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and the TWM LLC Agreement will require that</w:t>
      </w:r>
    </w:p>
    <w:p>
      <w:pPr>
        <w:spacing w:after="0" w:line="46" w:lineRule="exact"/>
        <w:rPr>
          <w:rFonts w:ascii="Arial" w:cs="Arial" w:eastAsia="Arial" w:hAnsi="Arial"/>
          <w:sz w:val="16"/>
          <w:szCs w:val="16"/>
          <w:color w:val="auto"/>
        </w:rPr>
      </w:pPr>
    </w:p>
    <w:p>
      <w:pPr>
        <w:ind w:left="1980" w:right="839"/>
        <w:spacing w:after="0" w:line="252" w:lineRule="auto"/>
        <w:rPr>
          <w:rFonts w:ascii="Arial" w:cs="Arial" w:eastAsia="Arial" w:hAnsi="Arial"/>
          <w:sz w:val="16"/>
          <w:szCs w:val="16"/>
          <w:color w:val="auto"/>
        </w:rPr>
      </w:pPr>
      <w:r>
        <w:rPr>
          <w:rFonts w:ascii="Arial" w:cs="Arial" w:eastAsia="Arial" w:hAnsi="Arial"/>
          <w:sz w:val="18"/>
          <w:szCs w:val="18"/>
          <w:color w:val="auto"/>
        </w:rPr>
        <w:t>(i) we at all times maintain a ratio of one LLC Interest owned by us for each share of Class A common stock and Class B common stock issued by us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83" w:lineRule="exact"/>
        <w:rPr>
          <w:rFonts w:ascii="Arial" w:cs="Arial" w:eastAsia="Arial" w:hAnsi="Arial"/>
          <w:sz w:val="16"/>
          <w:szCs w:val="16"/>
          <w:color w:val="auto"/>
        </w:rPr>
      </w:pPr>
    </w:p>
    <w:p>
      <w:pPr>
        <w:ind w:left="1980" w:hanging="352"/>
        <w:spacing w:after="0"/>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Tradeweb will own LLC Interests representing 61.6% of the economic interest in TWM LLC (or</w:t>
      </w:r>
    </w:p>
    <w:p>
      <w:pPr>
        <w:spacing w:after="0" w:line="34" w:lineRule="exact"/>
        <w:rPr>
          <w:rFonts w:ascii="Arial" w:cs="Arial" w:eastAsia="Arial" w:hAnsi="Arial"/>
          <w:sz w:val="17"/>
          <w:szCs w:val="17"/>
          <w:color w:val="auto"/>
        </w:rPr>
      </w:pPr>
    </w:p>
    <w:p>
      <w:pPr>
        <w:ind w:left="1980" w:right="759"/>
        <w:spacing w:after="0" w:line="261" w:lineRule="auto"/>
        <w:rPr>
          <w:rFonts w:ascii="Arial" w:cs="Arial" w:eastAsia="Arial" w:hAnsi="Arial"/>
          <w:sz w:val="17"/>
          <w:szCs w:val="17"/>
          <w:color w:val="auto"/>
        </w:rPr>
      </w:pPr>
      <w:r>
        <w:rPr>
          <w:rFonts w:ascii="Arial" w:cs="Arial" w:eastAsia="Arial" w:hAnsi="Arial"/>
          <w:sz w:val="18"/>
          <w:szCs w:val="18"/>
          <w:color w:val="auto"/>
        </w:rPr>
        <w:t>64.3%, if the underwriters exercise in full their option to purchase additional shares of Class A common stock);</w:t>
      </w:r>
    </w:p>
    <w:p>
      <w:pPr>
        <w:spacing w:after="0" w:line="75" w:lineRule="exact"/>
        <w:rPr>
          <w:rFonts w:ascii="Arial" w:cs="Arial" w:eastAsia="Arial" w:hAnsi="Arial"/>
          <w:sz w:val="17"/>
          <w:szCs w:val="17"/>
          <w:color w:val="auto"/>
        </w:rPr>
      </w:pPr>
    </w:p>
    <w:p>
      <w:pPr>
        <w:ind w:left="1980" w:right="759" w:hanging="352"/>
        <w:spacing w:after="0" w:line="290" w:lineRule="auto"/>
        <w:tabs>
          <w:tab w:leader="none" w:pos="1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purchasers in this offering (i) will own shares of Class A common stock representing (x) 2.3% of the combined voting power of all of Tradeweb’s common stock (or 2.7%, if the underwriters exercise in full their option to purchase additional shares of Class A common stock) and (y) 29.2% of the economic interest in Tradeweb (or 32.2%, if the underwriters exercise in full their option to purchase additional shares of Class A common stock) and (ii) through Tradeweb’s ownership of LLC Interests, indirectly will hold (applying the percentage in the preceding clause (i)(y) to Tradeweb’s percentage economic interest in TWM LLC) 18.0% of the economic interest in TWM LLC (or 20.7%, if the underwriters exercise in full their option to purchase additional shares of Class A common stock);</w:t>
      </w:r>
    </w:p>
    <w:p>
      <w:pPr>
        <w:spacing w:after="0" w:line="58" w:lineRule="exact"/>
        <w:rPr>
          <w:rFonts w:ascii="Arial" w:cs="Arial" w:eastAsia="Arial" w:hAnsi="Arial"/>
          <w:sz w:val="16"/>
          <w:szCs w:val="16"/>
          <w:color w:val="auto"/>
        </w:rPr>
      </w:pPr>
    </w:p>
    <w:p>
      <w:pPr>
        <w:ind w:left="1980" w:right="779" w:hanging="352"/>
        <w:spacing w:after="0" w:line="286" w:lineRule="auto"/>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Refinitiv Owners will collectively own shares of Class B common stock and Class D common stock representing 68.2% of the combined voting power of all of Tradeweb’s common stock (or 69.8%, if the underwriters exercise in full their option to purchase additional shares of Class A</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139"/>
        <w:spacing w:after="0" w:line="277" w:lineRule="auto"/>
        <w:rPr>
          <w:sz w:val="20"/>
          <w:szCs w:val="20"/>
          <w:color w:val="auto"/>
        </w:rPr>
      </w:pPr>
      <w:r>
        <w:rPr>
          <w:rFonts w:ascii="Arial" w:cs="Arial" w:eastAsia="Arial" w:hAnsi="Arial"/>
          <w:sz w:val="18"/>
          <w:szCs w:val="18"/>
          <w:color w:val="auto"/>
        </w:rPr>
        <w:t>common stock) and shares of Class B common stock and LLC Interests, respectively, representing 54.0% of the total economic interest in TWM LLC, as set forth below:</w:t>
      </w:r>
    </w:p>
    <w:p>
      <w:pPr>
        <w:spacing w:after="0" w:line="89" w:lineRule="exact"/>
        <w:rPr>
          <w:sz w:val="20"/>
          <w:szCs w:val="20"/>
          <w:color w:val="auto"/>
        </w:rPr>
      </w:pPr>
    </w:p>
    <w:p>
      <w:pPr>
        <w:ind w:left="2340" w:right="759" w:hanging="351"/>
        <w:spacing w:after="0" w:line="254" w:lineRule="auto"/>
        <w:tabs>
          <w:tab w:leader="none" w:pos="23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Refinitiv Direct Owner (i) will own shares of Class B common stock representing (x) 55.1% of the combined voting power of all of Tradeweb’s common stock (or 56.4%, if the underwriters exercise in full their option to purchase additional shares of Class A common stock) and (y) 70.8% of the economic interest in Tradeweb (or 67.8% if the underwriters exercise in full their option to purchase additional shares of Class A common stock) and (ii) through Tradeweb’s ownership of LLC Interests, indirectly will hold (applying the percentages in the preceding clause (i)(y) to Tradeweb’s percentage economic interest in TWM LLC) 43.6% of the economic interest in TWM LLC;</w:t>
      </w:r>
    </w:p>
    <w:p>
      <w:pPr>
        <w:spacing w:after="0" w:line="111" w:lineRule="exact"/>
        <w:rPr>
          <w:rFonts w:ascii="Arial" w:cs="Arial" w:eastAsia="Arial" w:hAnsi="Arial"/>
          <w:sz w:val="18"/>
          <w:szCs w:val="18"/>
          <w:color w:val="auto"/>
        </w:rPr>
      </w:pPr>
    </w:p>
    <w:p>
      <w:pPr>
        <w:ind w:left="2340" w:right="739" w:hanging="351"/>
        <w:spacing w:after="0" w:line="279" w:lineRule="auto"/>
        <w:tabs>
          <w:tab w:leader="none" w:pos="23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Refinitiv LLC Owner will own (i) LLC Interests representing 10.3% of the economic interest in TWM LLC and (ii) through their ownership of shares of Class D common stock, 13.1% of the combined voting power of all of Tradeweb’s common stock (or 13.4%, if the underwriters exercise in full their option to purchase additional shares of Class A common stock);</w:t>
      </w:r>
    </w:p>
    <w:p>
      <w:pPr>
        <w:spacing w:after="0" w:line="90" w:lineRule="exact"/>
        <w:rPr>
          <w:rFonts w:ascii="Arial" w:cs="Arial" w:eastAsia="Arial" w:hAnsi="Arial"/>
          <w:sz w:val="17"/>
          <w:szCs w:val="17"/>
          <w:color w:val="auto"/>
        </w:rPr>
      </w:pPr>
    </w:p>
    <w:p>
      <w:pPr>
        <w:ind w:left="1980" w:right="859" w:hanging="352"/>
        <w:spacing w:after="0" w:line="255"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LLC Owners will own (i) LLC Interests representing 28.0% of the economic interest in TWM LLC (or 25.3%, if the underwriters exercise in full their option to purchase additional shares of Class A common stock) and (ii) through their ownership of shares of Class C common stock and/or Class D common stock, as the case may be, 29.5% of the combined voting power of all of Tradeweb’s common stock (or 27.5%, if the underwriters exercise in full their option to purchase additional shares of Class A common stock);</w:t>
      </w:r>
    </w:p>
    <w:p>
      <w:pPr>
        <w:spacing w:after="0" w:line="125" w:lineRule="exact"/>
        <w:rPr>
          <w:rFonts w:ascii="Arial" w:cs="Arial" w:eastAsia="Arial" w:hAnsi="Arial"/>
          <w:sz w:val="18"/>
          <w:szCs w:val="18"/>
          <w:color w:val="auto"/>
        </w:rPr>
      </w:pPr>
    </w:p>
    <w:p>
      <w:pPr>
        <w:ind w:left="1980" w:right="819" w:hanging="352"/>
        <w:spacing w:after="0" w:line="286" w:lineRule="auto"/>
        <w:tabs>
          <w:tab w:leader="none" w:pos="1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following this offering, each LLC Interest held by the Continuing LLC Owners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93" w:lineRule="exact"/>
        <w:rPr>
          <w:rFonts w:ascii="Arial" w:cs="Arial" w:eastAsia="Arial" w:hAnsi="Arial"/>
          <w:sz w:val="16"/>
          <w:szCs w:val="16"/>
          <w:color w:val="auto"/>
        </w:rPr>
      </w:pPr>
    </w:p>
    <w:p>
      <w:pPr>
        <w:ind w:left="1980" w:right="759" w:hanging="352"/>
        <w:spacing w:after="0" w:line="254"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111"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and</w:t>
      </w:r>
    </w:p>
    <w:p>
      <w:pPr>
        <w:spacing w:after="0" w:line="105" w:lineRule="exact"/>
        <w:rPr>
          <w:rFonts w:ascii="Arial" w:cs="Arial" w:eastAsia="Arial" w:hAnsi="Arial"/>
          <w:sz w:val="18"/>
          <w:szCs w:val="18"/>
          <w:color w:val="auto"/>
        </w:rPr>
      </w:pPr>
    </w:p>
    <w:p>
      <w:pPr>
        <w:ind w:left="1980" w:right="819" w:hanging="352"/>
        <w:spacing w:after="0" w:line="279"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59"/>
        <w:spacing w:after="0" w:line="293" w:lineRule="auto"/>
        <w:rPr>
          <w:sz w:val="20"/>
          <w:szCs w:val="20"/>
          <w:color w:val="auto"/>
        </w:rPr>
      </w:pPr>
      <w:r>
        <w:rPr>
          <w:rFonts w:ascii="Arial" w:cs="Arial" w:eastAsia="Arial" w:hAnsi="Arial"/>
          <w:sz w:val="16"/>
          <w:szCs w:val="16"/>
          <w:color w:val="auto"/>
        </w:rPr>
        <w:t>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57" w:lineRule="exact"/>
        <w:rPr>
          <w:sz w:val="20"/>
          <w:szCs w:val="20"/>
          <w:color w:val="auto"/>
        </w:rPr>
      </w:pPr>
    </w:p>
    <w:p>
      <w:pPr>
        <w:ind w:left="1260" w:right="799" w:firstLine="360"/>
        <w:spacing w:after="0" w:line="289" w:lineRule="auto"/>
        <w:rPr>
          <w:sz w:val="20"/>
          <w:szCs w:val="20"/>
          <w:color w:val="auto"/>
        </w:rPr>
      </w:pPr>
      <w:r>
        <w:rPr>
          <w:rFonts w:ascii="Arial" w:cs="Arial" w:eastAsia="Arial" w:hAnsi="Arial"/>
          <w:sz w:val="16"/>
          <w:szCs w:val="16"/>
          <w:color w:val="auto"/>
        </w:rPr>
        <w:t>Immediately following this offering, Tradeweb will be a holding company whose principal asset will be the LLC Interests it acquires from certain of the Bank Stockholders using the net proceeds from this offering and the LLC Interests it receives as a result of the Refinitiv Contribution.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 related to the LLC Interests held by the Continuing LLC Owners on our consolidated financial statements. Tradeweb will have a board of directors and executive officers, but will have no employees. The functions of all of our employees are expected to reside at TWM LLC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119380</wp:posOffset>
            </wp:positionV>
            <wp:extent cx="4656455" cy="5240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56455" cy="524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20" w:hanging="352"/>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economic interest in Tradeweb Markets Inc. and not Tradeweb Markets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estimate that the net proceeds to us from our sale of 40,000,000 shares of Class A common stock in this offering will be approximately $1,009.8 million, and after deducting underwriting discounts and commissions, but before deducting estimated offering expenses payable by us. If the underwriters exercise in full their option to purchase additional shares of Class A common stock, we expect to receive approximately $1,161.3 million of net proceeds.</w:t>
      </w:r>
    </w:p>
    <w:p>
      <w:pPr>
        <w:spacing w:after="0" w:line="80"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We estimate that the offering expenses will be approximately $12.1 million. All of such offering expenses will be paid for or otherwise borne by TWM LLC using cash on hand.</w:t>
      </w:r>
    </w:p>
    <w:p>
      <w:pPr>
        <w:spacing w:after="0" w:line="62"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intend to use the net proceeds to us from this offering to purchase 40,000,000 issued and outstanding LLC Interests (or 46,000,000 LLC Interests, if the underwriters exercise in full their option to purchase additional shares of Class A common stock) from certain of the Bank Stockholders (and cancel the corresponding shares of common stock), at a purchase price per interest equal to the initial public offering price per share of Class A common stock, less the underwriting discounts and commissions payable thereon. See “Certain Relationships and Related Party Transactions — Transactions With Certain Original LLC Owners.” Many of the Bank Stockholders are affiliates of the underwriters. As a result of the purchases of LLC Interests (together with the cancellation of the corresponding shares of common stock) described above, the number of outstanding shares of common stock will be reduced. Because we will hold the LLC Interests that we purchase (and thereby increase our ownership position in TWM LLC), the number of outstanding LLC Interests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Following the completion of this offering and subject to legally available funds, we intend to pay quarterly cash dividends on our Class A common stock and Class B common stock initially equal to $0.08 per share, commencing with the second quarter of 2019.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w:t>
      </w:r>
    </w:p>
    <w:p>
      <w:pPr>
        <w:spacing w:after="0" w:line="5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See “The Reorganization Transactions.”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New Revolving Credit Facility or any future credit agreement or any future debt or preferred equity securities of Tradeweb or its subsidiaries.</w:t>
      </w:r>
    </w:p>
    <w:p>
      <w:pPr>
        <w:spacing w:after="0" w:line="64" w:lineRule="exact"/>
        <w:rPr>
          <w:sz w:val="20"/>
          <w:szCs w:val="20"/>
          <w:color w:val="auto"/>
        </w:rPr>
      </w:pPr>
    </w:p>
    <w:p>
      <w:pPr>
        <w:ind w:left="1260" w:right="1059" w:firstLine="360"/>
        <w:spacing w:after="0" w:line="291"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59"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See “Risk Factors — Risks Relating to the Company and Our Organizational Structure — Our principal asset after the completion of this offering will be our interest in TWM LLC, and, accordingly, we will depend on distributions from TWM LLC to pay our taxes and expenses, including payments under the Tax Receivable Agreement” and “Risk Factors — Risks Relating to This Offering and Ownership of our Class A Common Stock</w:t>
      </w:r>
    </w:p>
    <w:p>
      <w:pPr>
        <w:spacing w:after="0" w:line="2"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color w:val="auto"/>
        </w:rPr>
        <w:t>— We intend to pay regular dividends on our Class A common stock and Class B common stock, but our ability to do so may be limited.”</w:t>
      </w:r>
    </w:p>
    <w:p>
      <w:pPr>
        <w:spacing w:after="0" w:line="76"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Prior to the consummation of this offering, we expect TWM LLC to make a cash distribution to the Original LLC Owners in an aggregate amount of $100.0 million. We refer to this distribution as the “Special Distribution.”</w:t>
      </w:r>
    </w:p>
    <w:p>
      <w:pPr>
        <w:spacing w:after="0" w:line="73"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In March 2019, Tradeweb Markets LLC made cash distributions to its equityholders in aggregate amounts of $20.0 million.</w:t>
      </w:r>
    </w:p>
    <w:p>
      <w:pPr>
        <w:spacing w:after="0" w:line="62"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In February, June, September and December 2018, Tradeweb Markets LLC made cash distributions to its equityholders in aggregate amounts of $25.0 million, $55.0 million, $59.4 million and $36.0 million, respectively.</w:t>
      </w:r>
    </w:p>
    <w:p>
      <w:pPr>
        <w:spacing w:after="0" w:line="73" w:lineRule="exact"/>
        <w:rPr>
          <w:sz w:val="20"/>
          <w:szCs w:val="20"/>
          <w:color w:val="auto"/>
        </w:rPr>
      </w:pPr>
    </w:p>
    <w:p>
      <w:pPr>
        <w:ind w:left="1260" w:right="1419" w:firstLine="360"/>
        <w:spacing w:after="0" w:line="264" w:lineRule="auto"/>
        <w:rPr>
          <w:sz w:val="20"/>
          <w:szCs w:val="20"/>
          <w:color w:val="auto"/>
        </w:rPr>
      </w:pPr>
      <w:r>
        <w:rPr>
          <w:rFonts w:ascii="Arial" w:cs="Arial" w:eastAsia="Arial" w:hAnsi="Arial"/>
          <w:sz w:val="18"/>
          <w:szCs w:val="18"/>
          <w:color w:val="auto"/>
        </w:rPr>
        <w:t>In March, June, August and November 2017, Tradeweb Markets LLC made cash distributions to its equityholders in aggregate amounts of $20.0 million, $50.0 million, $45.0 million and $37.0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following table sets forth the cash and cash equivalents and the total capitalization as of December 31, 2018:</w:t>
      </w:r>
    </w:p>
    <w:p>
      <w:pPr>
        <w:spacing w:after="0" w:line="89" w:lineRule="exact"/>
        <w:rPr>
          <w:sz w:val="20"/>
          <w:szCs w:val="20"/>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Tradeweb Markets LLC and its subsidiaries on an actual basis;</w:t>
      </w:r>
    </w:p>
    <w:p>
      <w:pPr>
        <w:spacing w:after="0" w:line="157" w:lineRule="exact"/>
        <w:rPr>
          <w:rFonts w:ascii="Arial" w:cs="Arial" w:eastAsia="Arial" w:hAnsi="Arial"/>
          <w:sz w:val="18"/>
          <w:szCs w:val="18"/>
          <w:color w:val="auto"/>
        </w:rPr>
      </w:pPr>
    </w:p>
    <w:p>
      <w:pPr>
        <w:ind w:left="1980" w:right="125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Tradeweb Markets LLC and its subsidiaries on a pro forma basis to give effect to the (i) $20.0 million distribution paid in March 2019 and (ii) Special Distribution; and</w:t>
      </w:r>
    </w:p>
    <w:p>
      <w:pPr>
        <w:spacing w:after="0" w:line="89" w:lineRule="exact"/>
        <w:rPr>
          <w:rFonts w:ascii="Arial" w:cs="Arial" w:eastAsia="Arial" w:hAnsi="Arial"/>
          <w:sz w:val="18"/>
          <w:szCs w:val="18"/>
          <w:color w:val="auto"/>
        </w:rPr>
      </w:pPr>
    </w:p>
    <w:p>
      <w:pPr>
        <w:jc w:val="both"/>
        <w:ind w:left="1980" w:right="859" w:hanging="352"/>
        <w:spacing w:after="0" w:line="291" w:lineRule="auto"/>
        <w:tabs>
          <w:tab w:leader="none" w:pos="1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of Tradeweb Markets Inc. and its subsidiaries on a pro forma basis to give effect to the Reorganization Transactions, including our issuance and sale of shares of Class A common stock in this offering, after</w:t>
      </w:r>
    </w:p>
    <w:p>
      <w:pPr>
        <w:ind w:left="1980" w:right="879"/>
        <w:spacing w:after="0" w:line="255" w:lineRule="auto"/>
        <w:rPr>
          <w:rFonts w:ascii="Arial" w:cs="Arial" w:eastAsia="Arial" w:hAnsi="Arial"/>
          <w:sz w:val="16"/>
          <w:szCs w:val="16"/>
          <w:color w:val="auto"/>
        </w:rPr>
      </w:pPr>
      <w:r>
        <w:rPr>
          <w:rFonts w:ascii="Arial" w:cs="Arial" w:eastAsia="Arial" w:hAnsi="Arial"/>
          <w:sz w:val="18"/>
          <w:szCs w:val="18"/>
          <w:color w:val="auto"/>
        </w:rPr>
        <w:t>(i) deducting the estimated underwriting discounts and commissions and estimated offering expenses payable by us and (ii) the application of the proceeds from this offering, each as described under “Use of Proceeds.”</w:t>
      </w:r>
    </w:p>
    <w:p>
      <w:pPr>
        <w:spacing w:after="0" w:line="82"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For more information, please see “The Reorganization Transactions,” “Use of Proceeds,” “Dividend Policy” and “Unaudited Pro Forma Consolidated Financial Information.” You should read this information in conjunction with our consolidated financial statements and related notes thereto included elsewhere in this prospectus and the “Management’s Discussion and Analysis of Financial Condition and Results of Operations” section and other financial information contained in this prospectus.</w:t>
      </w:r>
    </w:p>
    <w:p>
      <w:pPr>
        <w:spacing w:after="0" w:line="70"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10"/>
          </w:tcPr>
          <w:p>
            <w:pPr>
              <w:ind w:left="58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Historical</w:t>
            </w:r>
          </w:p>
        </w:tc>
        <w:tc>
          <w:tcPr>
            <w:tcW w:w="1020" w:type="dxa"/>
            <w:vAlign w:val="bottom"/>
            <w:tcBorders>
              <w:top w:val="single" w:sz="8" w:color="auto"/>
            </w:tcBorders>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w w:val="97"/>
              </w:rPr>
              <w:t>Pro Forma</w:t>
            </w:r>
          </w:p>
        </w:tc>
        <w:tc>
          <w:tcPr>
            <w:tcW w:w="8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Tradeweb</w:t>
            </w: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Tradeweb</w:t>
            </w: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73"/>
              <w:spacing w:after="0" w:line="133" w:lineRule="exact"/>
              <w:rPr>
                <w:sz w:val="20"/>
                <w:szCs w:val="20"/>
                <w:color w:val="auto"/>
              </w:rPr>
            </w:pPr>
            <w:r>
              <w:rPr>
                <w:rFonts w:ascii="Arial" w:cs="Arial" w:eastAsia="Arial" w:hAnsi="Arial"/>
                <w:sz w:val="14"/>
                <w:szCs w:val="14"/>
                <w:b w:val="1"/>
                <w:bCs w:val="1"/>
                <w:color w:val="auto"/>
                <w:w w:val="91"/>
              </w:rPr>
              <w:t>Tradeweb</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3"/>
                <w:szCs w:val="13"/>
                <w:color w:val="auto"/>
              </w:rPr>
            </w:pPr>
          </w:p>
        </w:tc>
        <w:tc>
          <w:tcPr>
            <w:tcW w:w="92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Markets</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7"/>
                <w:szCs w:val="17"/>
                <w:color w:val="auto"/>
              </w:rPr>
            </w:pPr>
          </w:p>
        </w:tc>
        <w:tc>
          <w:tcPr>
            <w:tcW w:w="920" w:type="dxa"/>
            <w:vAlign w:val="bottom"/>
            <w:gridSpan w:val="3"/>
          </w:tcPr>
          <w:p>
            <w:pPr>
              <w:jc w:val="center"/>
              <w:ind w:right="300"/>
              <w:spacing w:after="0" w:line="203" w:lineRule="exact"/>
              <w:rPr>
                <w:sz w:val="20"/>
                <w:szCs w:val="20"/>
                <w:color w:val="auto"/>
              </w:rPr>
            </w:pPr>
            <w:r>
              <w:rPr>
                <w:rFonts w:ascii="Arial" w:cs="Arial" w:eastAsia="Arial" w:hAnsi="Arial"/>
                <w:sz w:val="14"/>
                <w:szCs w:val="14"/>
                <w:b w:val="1"/>
                <w:bCs w:val="1"/>
                <w:color w:val="auto"/>
                <w:w w:val="94"/>
              </w:rPr>
              <w:t>LLC</w:t>
            </w:r>
            <w:r>
              <w:rPr>
                <w:rFonts w:ascii="Arial" w:cs="Arial" w:eastAsia="Arial" w:hAnsi="Arial"/>
                <w:sz w:val="21"/>
                <w:szCs w:val="21"/>
                <w:b w:val="1"/>
                <w:bCs w:val="1"/>
                <w:color w:val="auto"/>
                <w:w w:val="94"/>
                <w:vertAlign w:val="superscript"/>
              </w:rPr>
              <w:t>(1)</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900" w:type="dxa"/>
            <w:vAlign w:val="bottom"/>
            <w:tcBorders>
              <w:top w:val="single" w:sz="8" w:color="auto"/>
            </w:tcBorders>
            <w:gridSpan w:val="11"/>
          </w:tcPr>
          <w:p>
            <w:pPr>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5"/>
                <w:szCs w:val="25"/>
                <w:color w:val="auto"/>
                <w:vertAlign w:val="superscript"/>
              </w:rPr>
              <w:t>(2)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New Revolving Credit Facility</w:t>
            </w:r>
            <w:r>
              <w:rPr>
                <w:rFonts w:ascii="Arial" w:cs="Arial" w:eastAsia="Arial" w:hAnsi="Arial"/>
                <w:sz w:val="27"/>
                <w:szCs w:val="27"/>
                <w:color w:val="auto"/>
                <w:vertAlign w:val="superscript"/>
              </w:rPr>
              <w:t>(3)</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320" w:type="dxa"/>
            <w:vAlign w:val="bottom"/>
            <w:gridSpan w:val="2"/>
            <w:vMerge w:val="continue"/>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capital/stockholders’ equity:</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Members’ 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7"/>
              </w:rPr>
              <w:t>4,573,200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9"/>
              </w:rPr>
              <w:t>4,453,200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Class A common stock, par value $0.00001 per share; no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authorized, issued and outstanding, actual; 1,000,000,000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authorized, 40,000,000 issued and outstanding, pro forma</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Class B common stock, par value $0.00001 per share; no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w w:val="97"/>
              </w:rPr>
              <w:t>authorized, issued and outstanding, actual; 450,000,000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authorized, 96,933,192 issued and outstanding, pro forma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Class C common stock, par value $0.00001 per share; no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authorized, issued and outstanding, actual; 350,000,000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authorized, 11,600,000 shares issued and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Class D common stock, par value $0.00001 per share; no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w w:val="97"/>
              </w:rPr>
              <w:t>authorized, issued and outstanding, actual; 300,000,000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authorized, 73,689,031 issued and outstanding, pro forma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2,705,520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Total stockholders’ equity attributable to Tradeweb Markets Inc.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2"/>
              </w:rPr>
              <w:t>2,685,964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7"/>
                <w:szCs w:val="17"/>
                <w:color w:val="auto"/>
              </w:rPr>
              <w:t>Non-controlling interests</w:t>
            </w:r>
            <w:r>
              <w:rPr>
                <w:rFonts w:ascii="Arial" w:cs="Arial" w:eastAsia="Arial" w:hAnsi="Arial"/>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1,672,956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Total members’ capital/stockholders’ equity</w:t>
            </w:r>
            <w:r>
              <w:rPr>
                <w:rFonts w:ascii="Arial" w:cs="Arial" w:eastAsia="Arial" w:hAnsi="Arial"/>
                <w:sz w:val="25"/>
                <w:szCs w:val="25"/>
                <w:color w:val="auto"/>
                <w:vertAlign w:val="superscript"/>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4,572,334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4,452,334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4,358,920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7"/>
                <w:szCs w:val="17"/>
                <w:color w:val="auto"/>
              </w:rPr>
              <w:t>Total capitalization</w:t>
            </w:r>
            <w:r>
              <w:rPr>
                <w:rFonts w:ascii="Arial" w:cs="Arial" w:eastAsia="Arial" w:hAnsi="Arial"/>
                <w:sz w:val="25"/>
                <w:szCs w:val="25"/>
                <w:color w:val="auto"/>
                <w:vertAlign w:val="superscript"/>
              </w:rPr>
              <w:t>(2)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4,572,334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4,452,334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4,358,920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4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-351155</wp:posOffset>
            </wp:positionV>
            <wp:extent cx="46653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65345"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-3703955</wp:posOffset>
            </wp:positionV>
            <wp:extent cx="102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-3703955</wp:posOffset>
            </wp:positionV>
            <wp:extent cx="102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5" w:lineRule="exact"/>
        <w:rPr>
          <w:sz w:val="20"/>
          <w:szCs w:val="20"/>
          <w:color w:val="auto"/>
        </w:rPr>
      </w:pPr>
    </w:p>
    <w:p>
      <w:pPr>
        <w:ind w:left="1620" w:right="779" w:hanging="352"/>
        <w:spacing w:after="0" w:line="259"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 forma data in this column gives effect to the payment of the (i) $20.0 million distribution paid to the Original LLC Owners in March 2019 and (ii) $100.0 million distribution expected to be paid to the Original LLC Owners prior to the consummation of this offering as if such distribution was declared and paid on December 31, 2018.</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919" w:hanging="352"/>
        <w:spacing w:after="0" w:line="25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Historical cash and cash equivalents, members’ capital and total capitalization do not reflect the (i) $20.0 million distribution paid to the Original LLC Owners in March 2019 and (ii) $100.0 million distribution expected to be paid to the Original LLC Owners prior to the consummation of this offering. Pro Forma Tradeweb Markets Inc. cash and cash equivalents, total stockholders’ equity and total capitalization do not reflect the $20.0 million distribution paid in March 2019.</w:t>
      </w:r>
    </w:p>
    <w:p>
      <w:pPr>
        <w:spacing w:after="0" w:line="147" w:lineRule="exact"/>
        <w:rPr>
          <w:rFonts w:ascii="Arial" w:cs="Arial" w:eastAsia="Arial" w:hAnsi="Arial"/>
          <w:sz w:val="18"/>
          <w:szCs w:val="18"/>
          <w:color w:val="auto"/>
        </w:rPr>
      </w:pPr>
    </w:p>
    <w:p>
      <w:pPr>
        <w:ind w:left="1620" w:right="1339" w:hanging="352"/>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New Revolving Credit Facility is expected to be undrawn at the completion of this offering with approximately $500.0 million of available capacity.</w:t>
      </w:r>
    </w:p>
    <w:p>
      <w:pPr>
        <w:spacing w:after="0" w:line="129" w:lineRule="exact"/>
        <w:rPr>
          <w:rFonts w:ascii="Arial" w:cs="Arial" w:eastAsia="Arial" w:hAnsi="Arial"/>
          <w:sz w:val="18"/>
          <w:szCs w:val="18"/>
          <w:color w:val="auto"/>
        </w:rPr>
      </w:pPr>
    </w:p>
    <w:p>
      <w:pPr>
        <w:ind w:left="1620" w:right="759" w:hanging="352"/>
        <w:spacing w:after="0" w:line="259"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pro forma basis, includes the LLC Interests not owned by us, which represent 38.4% (or 35.7%, if the underwriters exercise in full their option to purchase additional shares of Class A common stock) of TWM LLC’s outstanding common equity. The Refinitiv LLC Owner and the Other LLC Owners will hold the non-controlling interests in TWM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899" w:firstLine="360"/>
        <w:spacing w:after="0" w:line="270" w:lineRule="auto"/>
        <w:rPr>
          <w:sz w:val="20"/>
          <w:szCs w:val="20"/>
          <w:color w:val="auto"/>
        </w:rPr>
      </w:pPr>
      <w:r>
        <w:rPr>
          <w:rFonts w:ascii="Arial" w:cs="Arial" w:eastAsia="Arial" w:hAnsi="Arial"/>
          <w:sz w:val="17"/>
          <w:szCs w:val="17"/>
          <w:color w:val="auto"/>
        </w:rPr>
        <w:t>The Continuing LLC Owners will maintain their LLC Interests in TWM LLC after the Reorganization Transactions. Because the Continuing LLC Owners do not own any Class A common stock or Class B common stock or have any right to receive distributions from Tradeweb, we have presented dilution in pro forma net tangible book value per share assuming that all of the holders of LLC Interests (other than Tradeweb) had their LLC Interests redeemed for newly issued shares of Class A common stock or Class B common stock on a one-for-one basis (rather than for cash) and the cancellation for no consideration of all of their shares of Class C common stock and Class D common stock (which are not entitled to receive distributions or dividends, whether cash or stock, from Tradeweb) in order to more meaningfully present the dilutive impact on the investors in this offering. We refer to the assumed redemption of all LLC Interests as described in the previous sentence as the “Assumed Redemption.”</w:t>
      </w:r>
    </w:p>
    <w:p>
      <w:pPr>
        <w:spacing w:after="0" w:line="70" w:lineRule="exact"/>
        <w:rPr>
          <w:sz w:val="20"/>
          <w:szCs w:val="20"/>
          <w:color w:val="auto"/>
        </w:rPr>
      </w:pPr>
    </w:p>
    <w:p>
      <w:pPr>
        <w:jc w:val="both"/>
        <w:ind w:left="1260" w:right="1099" w:firstLine="360"/>
        <w:spacing w:after="0" w:line="286" w:lineRule="auto"/>
        <w:rPr>
          <w:sz w:val="20"/>
          <w:szCs w:val="20"/>
          <w:color w:val="auto"/>
        </w:rPr>
      </w:pPr>
      <w:r>
        <w:rPr>
          <w:rFonts w:ascii="Arial" w:cs="Arial" w:eastAsia="Arial" w:hAnsi="Arial"/>
          <w:sz w:val="17"/>
          <w:szCs w:val="17"/>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57"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Pro forma net tangible book value per share is determined at any date by dividing our pro forma net tangible book value, which is total tangible assets less total liabilities, by the number of shares of common stock outstanding, after giving effect to the Reorganization Transactions, including this offering, and the Assumed Redemption. Our pro forma net tangible book value as of December 31, 2018 after this offering, would have been approximately $112.7 million, or $0.51 per share. This amount represents an immediate increase in pro forma net tangible book value of $0.20 per share to our existing stockholders and an immediate dilution in pro forma net tangible book value of approximately $26.49 per share to new investors purchasing shares of Class A common stock in this offering. We determine dilution by subtracting the pro forma net tangible book value per share after this offering from the amount of cash that a new investor paid for a share of Class A common stock.</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26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$ 27.00</w:t>
            </w:r>
          </w:p>
        </w:tc>
      </w:tr>
      <w:tr>
        <w:trPr>
          <w:trHeight w:val="192"/>
        </w:trPr>
        <w:tc>
          <w:tcPr>
            <w:tcW w:w="6980" w:type="dxa"/>
            <w:vAlign w:val="bottom"/>
          </w:tcPr>
          <w:p>
            <w:pPr>
              <w:ind w:left="180"/>
              <w:spacing w:after="0" w:line="192" w:lineRule="exact"/>
              <w:rPr>
                <w:sz w:val="20"/>
                <w:szCs w:val="20"/>
                <w:color w:val="auto"/>
              </w:rPr>
            </w:pPr>
            <w:r>
              <w:rPr>
                <w:rFonts w:ascii="Arial" w:cs="Arial" w:eastAsia="Arial" w:hAnsi="Arial"/>
                <w:sz w:val="18"/>
                <w:szCs w:val="18"/>
                <w:color w:val="auto"/>
              </w:rPr>
              <w:t>Pro forma net tangible book value per share as of December 31, 2018 before this</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94"/>
        </w:trPr>
        <w:tc>
          <w:tcPr>
            <w:tcW w:w="6980" w:type="dxa"/>
            <w:vAlign w:val="bottom"/>
          </w:tcPr>
          <w:p>
            <w:pPr>
              <w:ind w:left="360"/>
              <w:spacing w:after="0" w:line="294" w:lineRule="exact"/>
              <w:rPr>
                <w:sz w:val="20"/>
                <w:szCs w:val="20"/>
                <w:color w:val="auto"/>
              </w:rPr>
            </w:pPr>
            <w:r>
              <w:rPr>
                <w:rFonts w:ascii="Arial" w:cs="Arial" w:eastAsia="Arial" w:hAnsi="Arial"/>
                <w:sz w:val="18"/>
                <w:szCs w:val="18"/>
                <w:color w:val="auto"/>
              </w:rPr>
              <w:t>offering</w:t>
            </w:r>
            <w:r>
              <w:rPr>
                <w:rFonts w:ascii="Arial" w:cs="Arial" w:eastAsia="Arial" w:hAnsi="Arial"/>
                <w:sz w:val="27"/>
                <w:szCs w:val="27"/>
                <w:color w:val="auto"/>
                <w:vertAlign w:val="superscript"/>
              </w:rPr>
              <w:t>(1)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$ 0.31</w:t>
            </w:r>
          </w:p>
        </w:tc>
        <w:tc>
          <w:tcPr>
            <w:tcW w:w="540" w:type="dxa"/>
            <w:vAlign w:val="bottom"/>
          </w:tcPr>
          <w:p>
            <w:pPr>
              <w:spacing w:after="0"/>
              <w:rPr>
                <w:sz w:val="24"/>
                <w:szCs w:val="24"/>
                <w:color w:val="auto"/>
              </w:rPr>
            </w:pPr>
          </w:p>
        </w:tc>
      </w:tr>
      <w:tr>
        <w:trPr>
          <w:trHeight w:val="264"/>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investors in this offering</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540" w:type="dxa"/>
            <w:vAlign w:val="bottom"/>
            <w:shd w:val="clear" w:color="auto" w:fill="CCEEFF"/>
          </w:tcPr>
          <w:p>
            <w:pPr>
              <w:spacing w:after="0"/>
              <w:rPr>
                <w:sz w:val="22"/>
                <w:szCs w:val="22"/>
                <w:color w:val="auto"/>
              </w:rPr>
            </w:pPr>
          </w:p>
        </w:tc>
      </w:tr>
      <w:tr>
        <w:trPr>
          <w:trHeight w:val="264"/>
        </w:trPr>
        <w:tc>
          <w:tcPr>
            <w:tcW w:w="698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Pro forma net tangible book value per share after this offering</w:t>
            </w:r>
          </w:p>
        </w:tc>
        <w:tc>
          <w:tcPr>
            <w:tcW w:w="46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$ 26.49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48710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7" w:lineRule="exact"/>
        <w:rPr>
          <w:sz w:val="20"/>
          <w:szCs w:val="20"/>
          <w:color w:val="auto"/>
        </w:rPr>
      </w:pPr>
    </w:p>
    <w:p>
      <w:pPr>
        <w:ind w:left="1620" w:right="1319" w:hanging="352"/>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December 31, 2018 before this offering is set forth below:</w:t>
      </w:r>
    </w:p>
    <w:p>
      <w:pPr>
        <w:spacing w:after="0" w:line="176"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32385</wp:posOffset>
            </wp:positionV>
            <wp:extent cx="429641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96410" cy="171450"/>
                    </a:xfrm>
                    <a:prstGeom prst="rect">
                      <a:avLst/>
                    </a:prstGeom>
                    <a:noFill/>
                  </pic:spPr>
                </pic:pic>
              </a:graphicData>
            </a:graphic>
          </wp:anchor>
        </w:drawing>
      </w:r>
    </w:p>
    <w:p>
      <w:pPr>
        <w:spacing w:after="0" w:line="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Numerator</w:t>
      </w:r>
    </w:p>
    <w:p>
      <w:pPr>
        <w:spacing w:after="0" w:line="50"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Book value of tangible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650,912</w:t>
            </w:r>
          </w:p>
        </w:tc>
        <w:tc>
          <w:tcPr>
            <w:tcW w:w="6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(581,284)</w:t>
            </w:r>
          </w:p>
        </w:tc>
        <w:tc>
          <w:tcPr>
            <w:tcW w:w="60" w:type="dxa"/>
            <w:vAlign w:val="bottom"/>
          </w:tcPr>
          <w:p>
            <w:pPr>
              <w:spacing w:after="0"/>
              <w:rPr>
                <w:sz w:val="22"/>
                <w:szCs w:val="22"/>
                <w:color w:val="auto"/>
              </w:rPr>
            </w:pPr>
          </w:p>
        </w:tc>
      </w:tr>
      <w:tr>
        <w:trPr>
          <w:trHeight w:val="324"/>
        </w:trPr>
        <w:tc>
          <w:tcPr>
            <w:tcW w:w="20" w:type="dxa"/>
            <w:vAlign w:val="bottom"/>
          </w:tcPr>
          <w:p>
            <w:pPr>
              <w:spacing w:after="0"/>
              <w:rPr>
                <w:sz w:val="24"/>
                <w:szCs w:val="24"/>
                <w:color w:val="auto"/>
              </w:rPr>
            </w:pPr>
          </w:p>
        </w:tc>
        <w:tc>
          <w:tcPr>
            <w:tcW w:w="5540" w:type="dxa"/>
            <w:vAlign w:val="bottom"/>
          </w:tcPr>
          <w:p>
            <w:pPr>
              <w:ind w:left="340"/>
              <w:spacing w:after="0" w:line="284" w:lineRule="exact"/>
              <w:rPr>
                <w:sz w:val="20"/>
                <w:szCs w:val="20"/>
                <w:color w:val="auto"/>
              </w:rPr>
            </w:pPr>
            <w:r>
              <w:rPr>
                <w:rFonts w:ascii="Arial" w:cs="Arial" w:eastAsia="Arial" w:hAnsi="Arial"/>
                <w:sz w:val="18"/>
                <w:szCs w:val="18"/>
                <w:color w:val="auto"/>
              </w:rPr>
              <w:t>Pro forma net tangible book value</w:t>
            </w:r>
            <w:r>
              <w:rPr>
                <w:rFonts w:ascii="Arial" w:cs="Arial" w:eastAsia="Arial" w:hAnsi="Arial"/>
                <w:sz w:val="27"/>
                <w:szCs w:val="27"/>
                <w:color w:val="auto"/>
                <w:vertAlign w:val="superscript"/>
              </w:rPr>
              <w:t>(a)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69,628</w:t>
            </w:r>
          </w:p>
        </w:tc>
        <w:tc>
          <w:tcPr>
            <w:tcW w:w="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84"/>
        </w:trPr>
        <w:tc>
          <w:tcPr>
            <w:tcW w:w="20" w:type="dxa"/>
            <w:vAlign w:val="bottom"/>
          </w:tcPr>
          <w:p>
            <w:pPr>
              <w:spacing w:after="0"/>
              <w:rPr>
                <w:sz w:val="24"/>
                <w:szCs w:val="24"/>
                <w:color w:val="auto"/>
              </w:rPr>
            </w:pPr>
          </w:p>
        </w:tc>
        <w:tc>
          <w:tcPr>
            <w:tcW w:w="5540" w:type="dxa"/>
            <w:vAlign w:val="bottom"/>
            <w:tcBorders>
              <w:bottom w:val="single" w:sz="8" w:color="CCEEFF"/>
            </w:tcBorders>
          </w:tcPr>
          <w:p>
            <w:pPr>
              <w:ind w:left="160"/>
              <w:spacing w:after="0" w:line="284" w:lineRule="exact"/>
              <w:rPr>
                <w:sz w:val="20"/>
                <w:szCs w:val="20"/>
                <w:color w:val="auto"/>
              </w:rPr>
            </w:pPr>
            <w:r>
              <w:rPr>
                <w:rFonts w:ascii="Arial" w:cs="Arial" w:eastAsia="Arial" w:hAnsi="Arial"/>
                <w:sz w:val="18"/>
                <w:szCs w:val="18"/>
                <w:color w:val="auto"/>
              </w:rPr>
              <w:t>Shares of common stock outstanding</w:t>
            </w:r>
            <w:r>
              <w:rPr>
                <w:rFonts w:ascii="Arial" w:cs="Arial" w:eastAsia="Arial" w:hAnsi="Arial"/>
                <w:sz w:val="27"/>
                <w:szCs w:val="27"/>
                <w:color w:val="auto"/>
                <w:vertAlign w:val="superscript"/>
              </w:rPr>
              <w:t>(a)</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222,222,223</w:t>
            </w:r>
          </w:p>
        </w:tc>
        <w:tc>
          <w:tcPr>
            <w:tcW w:w="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tangible book value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-196850</wp:posOffset>
            </wp:positionV>
            <wp:extent cx="36620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6204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154305</wp:posOffset>
            </wp:positionV>
            <wp:extent cx="12350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03" w:lineRule="exact"/>
        <w:rPr>
          <w:sz w:val="20"/>
          <w:szCs w:val="20"/>
          <w:color w:val="auto"/>
        </w:rPr>
      </w:pPr>
    </w:p>
    <w:p>
      <w:pPr>
        <w:ind w:left="2340" w:right="1299" w:hanging="351"/>
        <w:spacing w:after="0" w:line="277" w:lineRule="auto"/>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Gives pro forma effect to the Reorganization Transactions (other than this offering) and the Assumed Redemption.</w:t>
      </w:r>
    </w:p>
    <w:p>
      <w:pPr>
        <w:spacing w:after="0" w:line="62" w:lineRule="exact"/>
        <w:rPr>
          <w:sz w:val="20"/>
          <w:szCs w:val="20"/>
          <w:color w:val="auto"/>
        </w:rPr>
      </w:pPr>
    </w:p>
    <w:p>
      <w:pPr>
        <w:ind w:left="1260" w:right="1259" w:firstLine="360"/>
        <w:spacing w:after="0" w:line="342" w:lineRule="auto"/>
        <w:rPr>
          <w:sz w:val="20"/>
          <w:szCs w:val="20"/>
          <w:color w:val="auto"/>
        </w:rPr>
      </w:pPr>
      <w:r>
        <w:rPr>
          <w:rFonts w:ascii="Arial" w:cs="Arial" w:eastAsia="Arial" w:hAnsi="Arial"/>
          <w:sz w:val="16"/>
          <w:szCs w:val="16"/>
          <w:color w:val="auto"/>
        </w:rPr>
        <w:t>Since we are not retaining any proceeds from the offering, if the underwriters exercise their option to purchase additional shares of Class A common stock in full, there would be no change to the pro forma net</w:t>
      </w:r>
    </w:p>
    <w:p>
      <w:pPr>
        <w:spacing w:after="0" w:line="1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color w:val="auto"/>
        </w:rPr>
        <w:t>tangible book value per share of our Class A common stock after giving effect to this offering, the Reorganization Transactions and the Assumed Redemption.</w:t>
      </w:r>
    </w:p>
    <w:p>
      <w:pPr>
        <w:spacing w:after="0" w:line="62" w:lineRule="exact"/>
        <w:rPr>
          <w:sz w:val="20"/>
          <w:szCs w:val="20"/>
          <w:color w:val="auto"/>
        </w:rPr>
      </w:pPr>
    </w:p>
    <w:p>
      <w:pPr>
        <w:ind w:left="1260" w:right="1579" w:firstLine="360"/>
        <w:spacing w:after="0" w:line="308" w:lineRule="auto"/>
        <w:rPr>
          <w:sz w:val="20"/>
          <w:szCs w:val="20"/>
          <w:color w:val="auto"/>
        </w:rPr>
      </w:pPr>
      <w:r>
        <w:rPr>
          <w:rFonts w:ascii="Arial" w:cs="Arial" w:eastAsia="Arial" w:hAnsi="Arial"/>
          <w:sz w:val="17"/>
          <w:szCs w:val="17"/>
          <w:color w:val="auto"/>
        </w:rPr>
        <w:t>The following table summarizes, as of December 31, 2018, after giving effect to this offering, the differences between the Original LLC Owners and new investors in this offering with regard to:</w:t>
      </w:r>
    </w:p>
    <w:p>
      <w:pPr>
        <w:spacing w:after="0" w:line="66" w:lineRule="exact"/>
        <w:rPr>
          <w:sz w:val="20"/>
          <w:szCs w:val="20"/>
          <w:color w:val="auto"/>
        </w:rPr>
      </w:pPr>
    </w:p>
    <w:p>
      <w:pPr>
        <w:ind w:left="1980" w:right="859" w:hanging="352"/>
        <w:spacing w:after="0" w:line="342" w:lineRule="auto"/>
        <w:tabs>
          <w:tab w:leader="none" w:pos="1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number of shares of Class A common stock purchased from us by investors in this offering and the number of shares issued to the Original LLC Owners after giving effect to the Assumed Redemption;</w:t>
      </w:r>
    </w:p>
    <w:p>
      <w:pPr>
        <w:spacing w:after="0" w:line="42" w:lineRule="exact"/>
        <w:rPr>
          <w:rFonts w:ascii="Arial" w:cs="Arial" w:eastAsia="Arial" w:hAnsi="Arial"/>
          <w:sz w:val="16"/>
          <w:szCs w:val="16"/>
          <w:color w:val="auto"/>
        </w:rPr>
      </w:pPr>
    </w:p>
    <w:p>
      <w:pPr>
        <w:ind w:left="1980" w:right="999" w:hanging="352"/>
        <w:spacing w:after="0" w:line="308" w:lineRule="auto"/>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total consideration paid to us in cash by investors purchasing shares of Class A common stock in this offering and by the Original LLC Owners including historical cash contributions; and</w:t>
      </w:r>
    </w:p>
    <w:p>
      <w:pPr>
        <w:spacing w:after="0" w:line="65" w:lineRule="exact"/>
        <w:rPr>
          <w:rFonts w:ascii="Arial" w:cs="Arial" w:eastAsia="Arial" w:hAnsi="Arial"/>
          <w:sz w:val="17"/>
          <w:szCs w:val="17"/>
          <w:color w:val="auto"/>
        </w:rPr>
      </w:pPr>
    </w:p>
    <w:p>
      <w:pPr>
        <w:ind w:left="1980" w:hanging="352"/>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average price per share that such Original LLC Owners and new investors paid.</w:t>
      </w:r>
    </w:p>
    <w:p>
      <w:pPr>
        <w:spacing w:after="0" w:line="149"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Average Price</w:t>
            </w: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6"/>
                <w:szCs w:val="16"/>
                <w:color w:val="auto"/>
              </w:rPr>
            </w:pPr>
          </w:p>
        </w:tc>
        <w:tc>
          <w:tcPr>
            <w:tcW w:w="128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93"/>
              </w:rPr>
              <w:t>Consideration</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Per Share</w:t>
            </w:r>
          </w:p>
        </w:tc>
      </w:tr>
      <w:tr>
        <w:trPr>
          <w:trHeight w:val="26"/>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00" w:type="dxa"/>
            <w:vAlign w:val="bottom"/>
          </w:tcPr>
          <w:p>
            <w:pPr>
              <w:jc w:val="right"/>
              <w:ind w:right="117"/>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Original LLC Owners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182,222,223</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834,911,056</w:t>
            </w:r>
          </w:p>
        </w:tc>
        <w:tc>
          <w:tcPr>
            <w:tcW w:w="240" w:type="dxa"/>
            <w:vAlign w:val="bottom"/>
            <w:tcBorders>
              <w:righ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4.58</w:t>
            </w:r>
          </w:p>
        </w:tc>
      </w:tr>
      <w:tr>
        <w:trPr>
          <w:trHeight w:val="263"/>
        </w:trPr>
        <w:tc>
          <w:tcPr>
            <w:tcW w:w="208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40,000,000</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1,080,000,000</w:t>
            </w:r>
          </w:p>
        </w:tc>
        <w:tc>
          <w:tcPr>
            <w:tcW w:w="24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27.00</w:t>
            </w:r>
          </w:p>
        </w:tc>
      </w:tr>
      <w:tr>
        <w:trPr>
          <w:trHeight w:val="20"/>
        </w:trPr>
        <w:tc>
          <w:tcPr>
            <w:tcW w:w="20" w:type="dxa"/>
            <w:vAlign w:val="bottom"/>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222,222,223</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1,914,911,056</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100.</w:t>
            </w:r>
            <w:r>
              <w:rPr>
                <w:rFonts w:ascii="Arial" w:cs="Arial" w:eastAsia="Arial" w:hAnsi="Arial"/>
                <w:sz w:val="18"/>
                <w:szCs w:val="18"/>
                <w:u w:val="single" w:color="auto"/>
                <w:color w:val="auto"/>
                <w:w w:val="85"/>
              </w:rPr>
              <w:t>0</w:t>
            </w:r>
            <w:r>
              <w:rPr>
                <w:rFonts w:ascii="Arial" w:cs="Arial" w:eastAsia="Arial" w:hAnsi="Arial"/>
                <w:sz w:val="18"/>
                <w:szCs w:val="18"/>
                <w:color w:val="auto"/>
                <w:w w:val="8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8.62</w:t>
            </w: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-196850</wp:posOffset>
            </wp:positionV>
            <wp:extent cx="11150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-196850</wp:posOffset>
            </wp:positionV>
            <wp:extent cx="1543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-196850</wp:posOffset>
            </wp:positionV>
            <wp:extent cx="137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-196850</wp:posOffset>
            </wp:positionV>
            <wp:extent cx="13119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-539750</wp:posOffset>
            </wp:positionV>
            <wp:extent cx="6858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-539750</wp:posOffset>
            </wp:positionV>
            <wp:extent cx="1289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-539750</wp:posOffset>
            </wp:positionV>
            <wp:extent cx="1200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-539750</wp:posOffset>
            </wp:positionV>
            <wp:extent cx="1200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-539750</wp:posOffset>
            </wp:positionV>
            <wp:extent cx="13036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82" w:lineRule="exact"/>
        <w:rPr>
          <w:sz w:val="20"/>
          <w:szCs w:val="20"/>
          <w:color w:val="auto"/>
        </w:rPr>
      </w:pPr>
    </w:p>
    <w:p>
      <w:pPr>
        <w:ind w:left="1260" w:right="919" w:firstLine="360"/>
        <w:spacing w:after="0" w:line="291"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Class A common stock. In addition, the discussion and tables above exclude shares of Class C common stock and Class D common stock, because holders of the Class C common stock and Class D common stock are not entitled to distributions or dividends, whether cash or stock, from Tradeweb. The number of shares of our common stock to be outstanding after this offering is based on the membership interests of TWM LLC outstanding as of March 22, 2019, after giving effect to the Reorganization Transactions and the Assumed Redemption, and excludes approximately:</w:t>
      </w:r>
    </w:p>
    <w:p>
      <w:pPr>
        <w:spacing w:after="0" w:line="86" w:lineRule="exact"/>
        <w:rPr>
          <w:sz w:val="20"/>
          <w:szCs w:val="20"/>
          <w:color w:val="auto"/>
        </w:rPr>
      </w:pPr>
    </w:p>
    <w:p>
      <w:pPr>
        <w:ind w:left="1980" w:right="759" w:hanging="352"/>
        <w:spacing w:after="0" w:line="259"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18,137,082 shares of Class A common stock issuable upon the exercise of outstanding options (of which 4,522,948 will vest in connection with this offering) under our Option Plan as of March 22, 2019 at an exercise price of $20.59 per share, which options may be exercised on a cashless or net settlement basis;</w:t>
      </w:r>
    </w:p>
    <w:p>
      <w:pPr>
        <w:spacing w:after="0" w:line="105"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2,770,334 shares of Class A common stock underlying performance based restricted share units issued under our PRSU Plan;</w:t>
      </w:r>
    </w:p>
    <w:p>
      <w:pPr>
        <w:spacing w:after="0" w:line="75"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10,028,460 shares of Class A common stock reserved for future issuance under our Option Plan and our 2019 Omnibus Equity Incentive Plan;</w:t>
      </w:r>
    </w:p>
    <w:p>
      <w:pPr>
        <w:spacing w:after="0" w:line="89" w:lineRule="exact"/>
        <w:rPr>
          <w:rFonts w:ascii="Arial" w:cs="Arial" w:eastAsia="Arial" w:hAnsi="Arial"/>
          <w:sz w:val="18"/>
          <w:szCs w:val="18"/>
          <w:color w:val="auto"/>
        </w:rPr>
      </w:pPr>
    </w:p>
    <w:p>
      <w:pPr>
        <w:jc w:val="both"/>
        <w:ind w:left="1980" w:right="859" w:hanging="352"/>
        <w:spacing w:after="0" w:line="286" w:lineRule="auto"/>
        <w:tabs>
          <w:tab w:leader="none" w:pos="1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 respect to the Refinitiv Direct Owner, 96,933,192 shares of Class A common stock reserved as of the closing date of this offering for future issuance upon (i) exchange of Class B common stock by the Refinitiv Direct Owner or (ii) conversion of the Class B common stock; and</w:t>
      </w:r>
    </w:p>
    <w:p>
      <w:pPr>
        <w:spacing w:after="0" w:line="84" w:lineRule="exact"/>
        <w:rPr>
          <w:rFonts w:ascii="Arial" w:cs="Arial" w:eastAsia="Arial" w:hAnsi="Arial"/>
          <w:sz w:val="17"/>
          <w:szCs w:val="17"/>
          <w:color w:val="auto"/>
        </w:rPr>
      </w:pPr>
    </w:p>
    <w:p>
      <w:pPr>
        <w:ind w:left="1980" w:right="959" w:hanging="352"/>
        <w:spacing w:after="0" w:line="255"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the Continuing LLC Owners, (i) 85,289,031 shares of Class A common stock and 73,689,031 shares of Class B common stock reserved as of the closing date of this offering for future issuance upon the redemption or exchange of LLC Interests by the Continuing LLC Owners and (ii) 73,689,031 shares of Class C common stock reserved for future issuance upon (x) exchange of Class D common stock by the Continuing LLC Owners or (y) conversion of the Class D common stock.</w:t>
      </w:r>
    </w:p>
    <w:p>
      <w:pPr>
        <w:spacing w:after="0" w:line="85" w:lineRule="exact"/>
        <w:rPr>
          <w:sz w:val="20"/>
          <w:szCs w:val="20"/>
          <w:color w:val="auto"/>
        </w:rPr>
      </w:pPr>
    </w:p>
    <w:p>
      <w:pPr>
        <w:jc w:val="both"/>
        <w:ind w:left="1260" w:right="919" w:firstLine="360"/>
        <w:spacing w:after="0" w:line="277" w:lineRule="auto"/>
        <w:rPr>
          <w:sz w:val="20"/>
          <w:szCs w:val="20"/>
          <w:color w:val="auto"/>
        </w:rPr>
      </w:pPr>
      <w:r>
        <w:rPr>
          <w:rFonts w:ascii="Arial" w:cs="Arial" w:eastAsia="Arial" w:hAnsi="Arial"/>
          <w:sz w:val="18"/>
          <w:szCs w:val="18"/>
          <w:color w:val="auto"/>
        </w:rPr>
        <w:t>To the extent any options are granted and exercised, or any restricted stock units are granted and settled, in the future, there may be additional economic dilution to new investors.</w:t>
      </w:r>
    </w:p>
    <w:p>
      <w:pPr>
        <w:spacing w:after="0" w:line="62" w:lineRule="exact"/>
        <w:rPr>
          <w:sz w:val="20"/>
          <w:szCs w:val="20"/>
          <w:color w:val="auto"/>
        </w:rPr>
      </w:pPr>
    </w:p>
    <w:p>
      <w:pPr>
        <w:jc w:val="both"/>
        <w:ind w:left="1260" w:right="939" w:firstLine="360"/>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108" w:lineRule="exact"/>
        <w:rPr>
          <w:sz w:val="20"/>
          <w:szCs w:val="20"/>
          <w:color w:val="auto"/>
        </w:rPr>
      </w:pPr>
    </w:p>
    <w:p>
      <w:pPr>
        <w:ind w:left="1260" w:right="1300" w:firstLine="360"/>
        <w:spacing w:after="0" w:line="290" w:lineRule="auto"/>
        <w:rPr>
          <w:sz w:val="20"/>
          <w:szCs w:val="20"/>
          <w:color w:val="auto"/>
        </w:rPr>
      </w:pPr>
      <w:r>
        <w:rPr>
          <w:rFonts w:ascii="Arial" w:cs="Arial" w:eastAsia="Arial" w:hAnsi="Arial"/>
          <w:sz w:val="16"/>
          <w:szCs w:val="16"/>
          <w:color w:val="auto"/>
        </w:rPr>
        <w:t>The following table presents the selected historical consolidated financial data for Tradeweb Markets LLC and its subsidiaries. Tradeweb Markets LLC is the predecessor of the issuer, Tradeweb Markets Inc., for financial reporting purposes. The selected consolidated statement of operations data for the 2018 Successor Period, the 2018 Predecessor Period and each of the years in the two-year period ended December 31, 2017 and the selected consolidated statement of financial condition data as of December 31, 2018 and 2017 are derived from the consolidated financial statements of Tradeweb Markets LLC and its subsidiaries included elsewhere in this prospectus. The summary consolidated statement of financial condition as of December 31, 2016 is derived from the consolidated financial statements of Tradeweb Markets LLC not included in this prospectus.</w:t>
      </w:r>
    </w:p>
    <w:p>
      <w:pPr>
        <w:spacing w:after="0" w:line="58" w:lineRule="exact"/>
        <w:rPr>
          <w:sz w:val="20"/>
          <w:szCs w:val="20"/>
          <w:color w:val="auto"/>
        </w:rPr>
      </w:pPr>
    </w:p>
    <w:p>
      <w:pPr>
        <w:ind w:left="1260" w:right="1260" w:firstLine="360"/>
        <w:spacing w:after="0" w:line="270" w:lineRule="auto"/>
        <w:rPr>
          <w:sz w:val="20"/>
          <w:szCs w:val="20"/>
          <w:color w:val="auto"/>
        </w:rPr>
      </w:pPr>
      <w:r>
        <w:rPr>
          <w:rFonts w:ascii="Arial" w:cs="Arial" w:eastAsia="Arial" w:hAnsi="Arial"/>
          <w:sz w:val="17"/>
          <w:szCs w:val="17"/>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“Management’s Discussion and Analysis of Financial Condition and Results of Operations — Effects of Pushdown Accounting on our Financial Statements.”</w:t>
      </w:r>
    </w:p>
    <w:p>
      <w:pPr>
        <w:spacing w:after="0" w:line="70" w:lineRule="exact"/>
        <w:rPr>
          <w:sz w:val="20"/>
          <w:szCs w:val="20"/>
          <w:color w:val="auto"/>
        </w:rPr>
      </w:pPr>
    </w:p>
    <w:p>
      <w:pPr>
        <w:ind w:left="1260" w:right="1500" w:firstLine="360"/>
        <w:spacing w:after="0" w:line="302" w:lineRule="auto"/>
        <w:rPr>
          <w:sz w:val="20"/>
          <w:szCs w:val="20"/>
          <w:color w:val="auto"/>
        </w:rPr>
      </w:pPr>
      <w:r>
        <w:rPr>
          <w:rFonts w:ascii="Arial" w:cs="Arial" w:eastAsia="Arial" w:hAnsi="Arial"/>
          <w:sz w:val="16"/>
          <w:szCs w:val="16"/>
          <w:color w:val="auto"/>
        </w:rPr>
        <w:t>The results of operations for the periods presented below are not necessarily indicative of the results to be expected for any future period. The information set forth below should be read together with “Basis of Presentation” and “Management’s Discussion and Analysis of Financial Condition and Results of Operations” and the consolidated financial statements and related notes thereto included elsewhere in this prospectus.</w:t>
      </w:r>
    </w:p>
    <w:p>
      <w:pPr>
        <w:spacing w:after="0" w:line="46" w:lineRule="exact"/>
        <w:rPr>
          <w:sz w:val="20"/>
          <w:szCs w:val="20"/>
          <w:color w:val="auto"/>
        </w:rPr>
      </w:pPr>
    </w:p>
    <w:p>
      <w:pPr>
        <w:ind w:left="1260" w:right="1720" w:firstLine="360"/>
        <w:spacing w:after="0" w:line="264" w:lineRule="auto"/>
        <w:rPr>
          <w:sz w:val="20"/>
          <w:szCs w:val="20"/>
          <w:color w:val="auto"/>
        </w:rPr>
      </w:pPr>
      <w:r>
        <w:rPr>
          <w:rFonts w:ascii="Arial" w:cs="Arial" w:eastAsia="Arial" w:hAnsi="Arial"/>
          <w:sz w:val="18"/>
          <w:szCs w:val="18"/>
          <w:color w:val="auto"/>
        </w:rPr>
        <w:t>The selected historical financial data of Tradeweb Markets Inc. have not been presented as Tradeweb Markets Inc. is a newly incorporated entity, has had no business transactions or activities to date and had no assets or liabilities during the periods presented in this section.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12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52"/>
        </w:trPr>
        <w:tc>
          <w:tcPr>
            <w:tcW w:w="12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5"/>
              </w:rPr>
              <w:t>October 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January 1,</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6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86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6"/>
                <w:szCs w:val="16"/>
                <w:color w:val="auto"/>
              </w:rPr>
            </w:pPr>
          </w:p>
        </w:tc>
        <w:tc>
          <w:tcPr>
            <w:tcW w:w="88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gridSpan w:val="13"/>
          </w:tcPr>
          <w:p>
            <w:pPr>
              <w:jc w:val="right"/>
              <w:ind w:right="6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60" w:type="dxa"/>
            <w:vAlign w:val="bottom"/>
          </w:tcPr>
          <w:p>
            <w:pPr>
              <w:spacing w:after="0"/>
              <w:rPr>
                <w:sz w:val="16"/>
                <w:szCs w:val="16"/>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$ 97,130</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$273,751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$267,020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$230,171</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line="242"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(1)</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46,519</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143,981</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194,534</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191,983</w:t>
            </w: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32,840</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79,830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96,745</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91,663</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gridSpan w:val="2"/>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2,148</w:t>
            </w:r>
          </w:p>
        </w:tc>
        <w:tc>
          <w:tcPr>
            <w:tcW w:w="120" w:type="dxa"/>
            <w:vAlign w:val="bottom"/>
            <w:tcBorders>
              <w:right w:val="single" w:sz="8" w:color="auto"/>
            </w:tcBorders>
          </w:tcPr>
          <w:p>
            <w:pPr>
              <w:spacing w:after="0"/>
              <w:rPr>
                <w:sz w:val="22"/>
                <w:szCs w:val="22"/>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8,209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4,669</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4,587</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300" w:type="dxa"/>
            <w:vAlign w:val="bottom"/>
            <w:gridSpan w:val="2"/>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178,637</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505,771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562,968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518,404</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line="257"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7"/>
                <w:szCs w:val="27"/>
                <w:color w:val="auto"/>
                <w:vertAlign w:val="superscript"/>
              </w:rPr>
              <w:t>(2)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(26,830)</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(58,520)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(26,224)</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w:t>
            </w:r>
          </w:p>
        </w:tc>
        <w:tc>
          <w:tcPr>
            <w:tcW w:w="300" w:type="dxa"/>
            <w:vAlign w:val="bottom"/>
            <w:gridSpan w:val="2"/>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178,637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478,941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504,448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492,180</w:t>
            </w:r>
          </w:p>
        </w:tc>
        <w:tc>
          <w:tcPr>
            <w:tcW w:w="1260" w:type="dxa"/>
            <w:vAlign w:val="bottom"/>
          </w:tcPr>
          <w:p>
            <w:pPr>
              <w:spacing w:after="0"/>
              <w:rPr>
                <w:sz w:val="21"/>
                <w:szCs w:val="21"/>
                <w:color w:val="auto"/>
              </w:rPr>
            </w:pPr>
          </w:p>
        </w:tc>
      </w:tr>
      <w:tr>
        <w:trPr>
          <w:trHeight w:val="223"/>
        </w:trPr>
        <w:tc>
          <w:tcPr>
            <w:tcW w:w="1260" w:type="dxa"/>
            <w:vAlign w:val="bottom"/>
          </w:tcPr>
          <w:p>
            <w:pPr>
              <w:spacing w:after="0"/>
              <w:rPr>
                <w:sz w:val="19"/>
                <w:szCs w:val="19"/>
                <w:color w:val="auto"/>
              </w:rPr>
            </w:pPr>
          </w:p>
        </w:tc>
        <w:tc>
          <w:tcPr>
            <w:tcW w:w="3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80,436</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209,053</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248,963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228,584</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33,020</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48,808</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68,615</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80,859</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11,837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23,056</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33,973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27,392</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9,907</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26,598</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30,013</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28,239</w:t>
            </w:r>
          </w:p>
        </w:tc>
        <w:tc>
          <w:tcPr>
            <w:tcW w:w="1260" w:type="dxa"/>
            <w:vAlign w:val="bottom"/>
          </w:tcPr>
          <w:p>
            <w:pPr>
              <w:spacing w:after="0"/>
              <w:rPr>
                <w:sz w:val="21"/>
                <w:szCs w:val="21"/>
                <w:color w:val="auto"/>
              </w:rPr>
            </w:pPr>
          </w:p>
        </w:tc>
      </w:tr>
      <w:tr>
        <w:trPr>
          <w:trHeight w:val="263"/>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8,194</w:t>
            </w:r>
          </w:p>
        </w:tc>
        <w:tc>
          <w:tcPr>
            <w:tcW w:w="120" w:type="dxa"/>
            <w:vAlign w:val="bottom"/>
            <w:tcBorders>
              <w:right w:val="single" w:sz="8" w:color="auto"/>
            </w:tcBorders>
            <w:shd w:val="clear" w:color="auto" w:fill="CCEEFF"/>
          </w:tcPr>
          <w:p>
            <w:pPr>
              <w:spacing w:after="0"/>
              <w:rPr>
                <w:sz w:val="22"/>
                <w:szCs w:val="22"/>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20,360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19,351</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18,158</w:t>
            </w:r>
          </w:p>
        </w:tc>
        <w:tc>
          <w:tcPr>
            <w:tcW w:w="1260" w:type="dxa"/>
            <w:vAlign w:val="bottom"/>
          </w:tcPr>
          <w:p>
            <w:pPr>
              <w:spacing w:after="0"/>
              <w:rPr>
                <w:sz w:val="22"/>
                <w:szCs w:val="22"/>
                <w:color w:val="auto"/>
              </w:rPr>
            </w:pPr>
          </w:p>
        </w:tc>
      </w:tr>
      <w:tr>
        <w:trPr>
          <w:trHeight w:val="480"/>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-1663065</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-1663065</wp:posOffset>
            </wp:positionV>
            <wp:extent cx="240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-1663065</wp:posOffset>
            </wp:positionV>
            <wp:extent cx="2489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-1663065</wp:posOffset>
            </wp:positionV>
            <wp:extent cx="3361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-1980565</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-1980565</wp:posOffset>
            </wp:positionV>
            <wp:extent cx="240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-1980565</wp:posOffset>
            </wp:positionV>
            <wp:extent cx="2489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-1980565</wp:posOffset>
            </wp:positionV>
            <wp:extent cx="3361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-3009265</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-3009265</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-3009265</wp:posOffset>
            </wp:positionV>
            <wp:extent cx="1289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87" w:name="page88"/>
    <w:bookmarkEnd w:id="8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Tradeweb Markets LLC</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r>
      <w:tr>
        <w:trPr>
          <w:trHeight w:val="166"/>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October 1,</w:t>
            </w: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w w:val="92"/>
              </w:rPr>
              <w:t>January 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2018 to</w:t>
            </w: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right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left="35"/>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175"/>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80" w:type="dxa"/>
            <w:vAlign w:val="bottom"/>
            <w:gridSpan w:val="16"/>
          </w:tcPr>
          <w:p>
            <w:pPr>
              <w:jc w:val="right"/>
              <w:ind w:right="6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60" w:type="dxa"/>
            <w:vAlign w:val="bottom"/>
          </w:tcPr>
          <w:p>
            <w:pPr>
              <w:spacing w:after="0"/>
              <w:rPr>
                <w:sz w:val="15"/>
                <w:szCs w:val="15"/>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10,732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14,441</w:t>
            </w: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15,817</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Total expenses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146,702</w:t>
            </w: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8"/>
                <w:szCs w:val="18"/>
                <w:color w:val="auto"/>
                <w:w w:val="98"/>
              </w:rPr>
              <w:t>338,607</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415,356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399,049</w:t>
            </w: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9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w w:val="98"/>
              </w:rPr>
              <w:t>140,334</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89,092</w:t>
            </w: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93,131</w:t>
            </w: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8"/>
                <w:szCs w:val="18"/>
                <w:color w:val="auto"/>
              </w:rPr>
              <w:t>1,726</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1,140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644</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9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Income before taxes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32,722</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8"/>
                <w:szCs w:val="18"/>
                <w:color w:val="auto"/>
                <w:w w:val="98"/>
              </w:rPr>
              <w:t>142,060</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89,777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92,436</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(3,415)</w:t>
            </w:r>
          </w:p>
        </w:tc>
        <w:tc>
          <w:tcPr>
            <w:tcW w:w="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(11,900)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(6,129)</w:t>
            </w: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gridSpan w:val="3"/>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29,307</w:t>
            </w: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130,160</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$ 83,648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$ 93,161</w:t>
            </w: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75"/>
        </w:trPr>
        <w:tc>
          <w:tcPr>
            <w:tcW w:w="1260" w:type="dxa"/>
            <w:vAlign w:val="bottom"/>
          </w:tcPr>
          <w:p>
            <w:pPr>
              <w:spacing w:after="0"/>
              <w:rPr>
                <w:sz w:val="6"/>
                <w:szCs w:val="6"/>
                <w:color w:val="auto"/>
              </w:rPr>
            </w:pPr>
          </w:p>
        </w:tc>
        <w:tc>
          <w:tcPr>
            <w:tcW w:w="39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365"/>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40" w:type="dxa"/>
            <w:vAlign w:val="bottom"/>
            <w:gridSpan w:val="14"/>
          </w:tcPr>
          <w:p>
            <w:pPr>
              <w:jc w:val="center"/>
              <w:ind w:right="708"/>
              <w:spacing w:after="0"/>
              <w:rPr>
                <w:sz w:val="20"/>
                <w:szCs w:val="20"/>
                <w:color w:val="auto"/>
              </w:rPr>
            </w:pPr>
            <w:r>
              <w:rPr>
                <w:rFonts w:ascii="Arial" w:cs="Arial" w:eastAsia="Arial" w:hAnsi="Arial"/>
                <w:sz w:val="14"/>
                <w:szCs w:val="14"/>
                <w:b w:val="1"/>
                <w:bCs w:val="1"/>
                <w:color w:val="auto"/>
                <w:w w:val="93"/>
              </w:rPr>
              <w:t>Tradeweb Markets Inc.</w:t>
            </w:r>
            <w:r>
              <w:rPr>
                <w:rFonts w:ascii="Arial" w:cs="Arial" w:eastAsia="Arial" w:hAnsi="Arial"/>
                <w:sz w:val="21"/>
                <w:szCs w:val="21"/>
                <w:b w:val="1"/>
                <w:bCs w:val="1"/>
                <w:color w:val="auto"/>
                <w:w w:val="93"/>
                <w:vertAlign w:val="superscript"/>
              </w:rPr>
              <w:t>(3)</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60"/>
        </w:trPr>
        <w:tc>
          <w:tcPr>
            <w:tcW w:w="12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6"/>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3900" w:type="dxa"/>
            <w:vAlign w:val="bottom"/>
            <w:shd w:val="clear" w:color="auto" w:fill="CCEEFF"/>
          </w:tcPr>
          <w:p>
            <w:pPr>
              <w:spacing w:after="0" w:line="236" w:lineRule="exact"/>
              <w:rPr>
                <w:sz w:val="20"/>
                <w:szCs w:val="20"/>
                <w:color w:val="auto"/>
              </w:rPr>
            </w:pPr>
            <w:r>
              <w:rPr>
                <w:rFonts w:ascii="Arial" w:cs="Arial" w:eastAsia="Arial" w:hAnsi="Arial"/>
                <w:sz w:val="18"/>
                <w:szCs w:val="18"/>
                <w:b w:val="1"/>
                <w:bCs w:val="1"/>
                <w:color w:val="auto"/>
              </w:rPr>
              <w:t>Pro forma net income per share data</w:t>
            </w:r>
            <w:r>
              <w:rPr>
                <w:rFonts w:ascii="Arial" w:cs="Arial" w:eastAsia="Arial" w:hAnsi="Arial"/>
                <w:sz w:val="27"/>
                <w:szCs w:val="27"/>
                <w:b w:val="1"/>
                <w:bCs w:val="1"/>
                <w:color w:val="auto"/>
                <w:vertAlign w:val="superscript"/>
              </w:rPr>
              <w:t>(3)</w:t>
            </w:r>
            <w:r>
              <w:rPr>
                <w:rFonts w:ascii="Arial" w:cs="Arial" w:eastAsia="Arial" w:hAnsi="Arial"/>
                <w:sz w:val="18"/>
                <w:szCs w:val="18"/>
                <w:b w:val="1"/>
                <w:bCs w:val="1"/>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5"/>
              </w:rPr>
              <w:t>Pro forma weighted average shares of Class A and</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Class B common stock outstanding</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w w:val="89"/>
              </w:rPr>
              <w:t>136,933,192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7"/>
          </w:tcPr>
          <w:p>
            <w:pPr>
              <w:jc w:val="right"/>
              <w:ind w:right="80"/>
              <w:spacing w:after="0"/>
              <w:rPr>
                <w:sz w:val="20"/>
                <w:szCs w:val="20"/>
                <w:color w:val="auto"/>
              </w:rPr>
            </w:pPr>
            <w:r>
              <w:rPr>
                <w:rFonts w:ascii="Arial" w:cs="Arial" w:eastAsia="Arial" w:hAnsi="Arial"/>
                <w:sz w:val="18"/>
                <w:szCs w:val="18"/>
                <w:color w:val="auto"/>
                <w:w w:val="89"/>
              </w:rPr>
              <w:t>224,790,379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to Class A and</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per share</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gridSpan w:val="4"/>
          </w:tcPr>
          <w:p>
            <w:pPr>
              <w:ind w:left="320"/>
              <w:spacing w:after="0"/>
              <w:rPr>
                <w:sz w:val="20"/>
                <w:szCs w:val="20"/>
                <w:color w:val="auto"/>
              </w:rPr>
            </w:pPr>
            <w:r>
              <w:rPr>
                <w:rFonts w:ascii="Arial" w:cs="Arial" w:eastAsia="Arial" w:hAnsi="Arial"/>
                <w:sz w:val="15"/>
                <w:szCs w:val="15"/>
                <w:color w:val="auto"/>
                <w:w w:val="71"/>
              </w:rPr>
              <w:t>$</w:t>
            </w:r>
          </w:p>
        </w:tc>
        <w:tc>
          <w:tcPr>
            <w:tcW w:w="1000" w:type="dxa"/>
            <w:vAlign w:val="bottom"/>
            <w:gridSpan w:val="7"/>
          </w:tcPr>
          <w:p>
            <w:pPr>
              <w:jc w:val="right"/>
              <w:ind w:right="8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92"/>
        </w:trPr>
        <w:tc>
          <w:tcPr>
            <w:tcW w:w="1260" w:type="dxa"/>
            <w:vAlign w:val="bottom"/>
          </w:tcPr>
          <w:p>
            <w:pPr>
              <w:spacing w:after="0"/>
              <w:rPr>
                <w:sz w:val="16"/>
                <w:szCs w:val="16"/>
                <w:color w:val="auto"/>
              </w:rPr>
            </w:pPr>
          </w:p>
        </w:tc>
        <w:tc>
          <w:tcPr>
            <w:tcW w:w="3900" w:type="dxa"/>
            <w:vAlign w:val="bottom"/>
          </w:tcPr>
          <w:p>
            <w:pPr>
              <w:spacing w:after="0" w:line="192" w:lineRule="exact"/>
              <w:rPr>
                <w:sz w:val="20"/>
                <w:szCs w:val="20"/>
                <w:color w:val="auto"/>
              </w:rPr>
            </w:pPr>
            <w:r>
              <w:rPr>
                <w:rFonts w:ascii="Arial" w:cs="Arial" w:eastAsia="Arial" w:hAnsi="Arial"/>
                <w:sz w:val="18"/>
                <w:szCs w:val="18"/>
                <w:color w:val="auto"/>
              </w:rPr>
              <w:t>Supplemental pro forma net income per share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81"/>
        </w:trPr>
        <w:tc>
          <w:tcPr>
            <w:tcW w:w="1260" w:type="dxa"/>
            <w:vAlign w:val="bottom"/>
          </w:tcPr>
          <w:p>
            <w:pPr>
              <w:spacing w:after="0"/>
              <w:rPr>
                <w:sz w:val="24"/>
                <w:szCs w:val="24"/>
                <w:color w:val="auto"/>
              </w:rPr>
            </w:pPr>
          </w:p>
        </w:tc>
        <w:tc>
          <w:tcPr>
            <w:tcW w:w="3900" w:type="dxa"/>
            <w:vAlign w:val="bottom"/>
          </w:tcPr>
          <w:p>
            <w:pPr>
              <w:ind w:left="180"/>
              <w:spacing w:after="0" w:line="281" w:lineRule="exact"/>
              <w:rPr>
                <w:sz w:val="20"/>
                <w:szCs w:val="20"/>
                <w:color w:val="auto"/>
              </w:rPr>
            </w:pPr>
            <w:r>
              <w:rPr>
                <w:rFonts w:ascii="Arial" w:cs="Arial" w:eastAsia="Arial" w:hAnsi="Arial"/>
                <w:sz w:val="18"/>
                <w:szCs w:val="18"/>
                <w:color w:val="auto"/>
              </w:rPr>
              <w:t>data</w:t>
            </w:r>
            <w:r>
              <w:rPr>
                <w:rFonts w:ascii="Arial" w:cs="Arial" w:eastAsia="Arial" w:hAnsi="Arial"/>
                <w:sz w:val="27"/>
                <w:szCs w:val="27"/>
                <w:color w:val="auto"/>
                <w:vertAlign w:val="superscript"/>
              </w:rPr>
              <w:t>(4)</w:t>
            </w: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shares of Class A and Class B</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outstanding</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7"/>
          </w:tcPr>
          <w:p>
            <w:pPr>
              <w:jc w:val="right"/>
              <w:ind w:right="80"/>
              <w:spacing w:after="0"/>
              <w:rPr>
                <w:sz w:val="20"/>
                <w:szCs w:val="20"/>
                <w:color w:val="auto"/>
              </w:rPr>
            </w:pPr>
            <w:r>
              <w:rPr>
                <w:rFonts w:ascii="Arial" w:cs="Arial" w:eastAsia="Arial" w:hAnsi="Arial"/>
                <w:sz w:val="18"/>
                <w:szCs w:val="18"/>
                <w:color w:val="auto"/>
                <w:w w:val="89"/>
              </w:rPr>
              <w:t>143,716,636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w w:val="89"/>
              </w:rPr>
              <w:t>231,573,824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2"/>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available to Class A and Class B</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common stock per share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gridSpan w:val="4"/>
          </w:tcPr>
          <w:p>
            <w:pPr>
              <w:ind w:left="320"/>
              <w:spacing w:after="0"/>
              <w:rPr>
                <w:sz w:val="20"/>
                <w:szCs w:val="20"/>
                <w:color w:val="auto"/>
              </w:rPr>
            </w:pPr>
            <w:r>
              <w:rPr>
                <w:rFonts w:ascii="Arial" w:cs="Arial" w:eastAsia="Arial" w:hAnsi="Arial"/>
                <w:sz w:val="15"/>
                <w:szCs w:val="15"/>
                <w:color w:val="auto"/>
                <w:w w:val="71"/>
              </w:rPr>
              <w:t>$</w:t>
            </w:r>
          </w:p>
        </w:tc>
        <w:tc>
          <w:tcPr>
            <w:tcW w:w="1000" w:type="dxa"/>
            <w:vAlign w:val="bottom"/>
            <w:gridSpan w:val="7"/>
          </w:tcPr>
          <w:p>
            <w:pPr>
              <w:jc w:val="right"/>
              <w:ind w:right="8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2"/>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jc w:val="right"/>
              <w:ind w:right="740"/>
              <w:spacing w:after="0"/>
              <w:rPr>
                <w:sz w:val="20"/>
                <w:szCs w:val="20"/>
                <w:color w:val="auto"/>
              </w:rPr>
            </w:pPr>
            <w:r>
              <w:rPr>
                <w:rFonts w:ascii="Arial" w:cs="Arial" w:eastAsia="Arial" w:hAnsi="Arial"/>
                <w:sz w:val="14"/>
                <w:szCs w:val="14"/>
                <w:b w:val="1"/>
                <w:bCs w:val="1"/>
                <w:color w:val="auto"/>
                <w:w w:val="96"/>
              </w:rPr>
              <w:t>Tradeweb Markets LLC</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79"/>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4"/>
                <w:szCs w:val="14"/>
                <w:color w:val="auto"/>
              </w:rPr>
            </w:pPr>
          </w:p>
        </w:tc>
        <w:tc>
          <w:tcPr>
            <w:tcW w:w="9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760" w:type="dxa"/>
            <w:vAlign w:val="bottom"/>
            <w:gridSpan w:val="2"/>
          </w:tcPr>
          <w:p>
            <w:pPr>
              <w:jc w:val="center"/>
              <w:ind w:left="375"/>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Condition Data:</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line="257"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7"/>
                <w:szCs w:val="27"/>
                <w:color w:val="auto"/>
                <w:vertAlign w:val="superscript"/>
              </w:rPr>
              <w:t>(5)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  410,104</w:t>
            </w:r>
          </w:p>
        </w:tc>
        <w:tc>
          <w:tcPr>
            <w:tcW w:w="100" w:type="dxa"/>
            <w:vAlign w:val="bottom"/>
            <w:tcBorders>
              <w:right w:val="single" w:sz="8" w:color="auto"/>
            </w:tcBorders>
          </w:tcPr>
          <w:p>
            <w:pPr>
              <w:spacing w:after="0"/>
              <w:rPr>
                <w:sz w:val="22"/>
                <w:szCs w:val="22"/>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352,598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  324,074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4,997,139</w:t>
            </w:r>
          </w:p>
        </w:tc>
        <w:tc>
          <w:tcPr>
            <w:tcW w:w="100" w:type="dxa"/>
            <w:vAlign w:val="bottom"/>
            <w:tcBorders>
              <w:right w:val="single" w:sz="8" w:color="auto"/>
            </w:tcBorders>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1,316,887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1,320,732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liabilities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410,626</w:t>
            </w:r>
          </w:p>
        </w:tc>
        <w:tc>
          <w:tcPr>
            <w:tcW w:w="100" w:type="dxa"/>
            <w:vAlign w:val="bottom"/>
            <w:tcBorders>
              <w:right w:val="single" w:sz="8" w:color="auto"/>
            </w:tcBorders>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317,118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283,319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7"/>
        </w:trPr>
        <w:tc>
          <w:tcPr>
            <w:tcW w:w="1260" w:type="dxa"/>
            <w:vAlign w:val="bottom"/>
          </w:tcPr>
          <w:p>
            <w:pPr>
              <w:spacing w:after="0"/>
              <w:rPr>
                <w:sz w:val="24"/>
                <w:szCs w:val="24"/>
                <w:color w:val="auto"/>
              </w:rPr>
            </w:pPr>
          </w:p>
        </w:tc>
        <w:tc>
          <w:tcPr>
            <w:tcW w:w="390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Total members’ capital</w:t>
            </w:r>
            <w:r>
              <w:rPr>
                <w:rFonts w:ascii="Arial" w:cs="Arial" w:eastAsia="Arial" w:hAnsi="Arial"/>
                <w:sz w:val="27"/>
                <w:szCs w:val="27"/>
                <w:color w:val="auto"/>
                <w:vertAlign w:val="superscript"/>
              </w:rPr>
              <w:t>(5)</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4,572,334</w:t>
            </w:r>
          </w:p>
        </w:tc>
        <w:tc>
          <w:tcPr>
            <w:tcW w:w="100" w:type="dxa"/>
            <w:vAlign w:val="bottom"/>
            <w:tcBorders>
              <w:right w:val="single" w:sz="8" w:color="auto"/>
            </w:tcBorders>
            <w:shd w:val="clear" w:color="auto" w:fill="CCEEFF"/>
          </w:tcPr>
          <w:p>
            <w:pPr>
              <w:spacing w:after="0"/>
              <w:rPr>
                <w:sz w:val="24"/>
                <w:szCs w:val="24"/>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986,468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1,024,759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93"/>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-6877050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-6877050</wp:posOffset>
            </wp:positionV>
            <wp:extent cx="240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-6877050</wp:posOffset>
            </wp:positionV>
            <wp:extent cx="2489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-6877050</wp:posOffset>
            </wp:positionV>
            <wp:extent cx="33445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-7314565</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-7314565</wp:posOffset>
            </wp:positionV>
            <wp:extent cx="137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-7314565</wp:posOffset>
            </wp:positionV>
            <wp:extent cx="1289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-5110480</wp:posOffset>
            </wp:positionV>
            <wp:extent cx="24955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-1499870</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-1499870</wp:posOffset>
            </wp:positionV>
            <wp:extent cx="1289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88" w:name="page89"/>
    <w:bookmarkEnd w:id="8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4"/>
                <w:szCs w:val="14"/>
                <w:b w:val="1"/>
                <w:bCs w:val="1"/>
                <w:color w:val="auto"/>
              </w:rPr>
              <w:t>Tradeweb Markets LLC</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38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7"/>
              </w:rPr>
              <w:t>Predecessor</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66"/>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2"/>
              </w:rPr>
              <w:t>January 1,</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1"/>
              </w:rPr>
              <w:t>2018 to</w:t>
            </w:r>
          </w:p>
        </w:tc>
        <w:tc>
          <w:tcPr>
            <w:tcW w:w="114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1"/>
              </w:rPr>
              <w:t>September 30,</w:t>
            </w:r>
          </w:p>
        </w:tc>
        <w:tc>
          <w:tcPr>
            <w:tcW w:w="2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December 31,   December 31,</w:t>
            </w:r>
          </w:p>
        </w:tc>
      </w:tr>
      <w:tr>
        <w:trPr>
          <w:trHeight w:val="186"/>
        </w:trPr>
        <w:tc>
          <w:tcPr>
            <w:tcW w:w="38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right w:val="single" w:sz="8" w:color="auto"/>
            </w:tcBorders>
          </w:tcPr>
          <w:p>
            <w:pPr>
              <w:spacing w:after="0"/>
              <w:rPr>
                <w:sz w:val="16"/>
                <w:szCs w:val="16"/>
                <w:color w:val="auto"/>
              </w:rPr>
            </w:pPr>
          </w:p>
        </w:tc>
        <w:tc>
          <w:tcPr>
            <w:tcW w:w="122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83"/>
        </w:trPr>
        <w:tc>
          <w:tcPr>
            <w:tcW w:w="3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88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57"/>
        </w:trPr>
        <w:tc>
          <w:tcPr>
            <w:tcW w:w="3820" w:type="dxa"/>
            <w:vAlign w:val="bottom"/>
          </w:tcPr>
          <w:p>
            <w:pPr>
              <w:spacing w:after="0" w:line="257" w:lineRule="exact"/>
              <w:rPr>
                <w:sz w:val="20"/>
                <w:szCs w:val="20"/>
                <w:color w:val="auto"/>
              </w:rPr>
            </w:pPr>
            <w:r>
              <w:rPr>
                <w:rFonts w:ascii="Arial" w:cs="Arial" w:eastAsia="Arial" w:hAnsi="Arial"/>
                <w:sz w:val="18"/>
                <w:szCs w:val="18"/>
                <w:color w:val="auto"/>
              </w:rPr>
              <w:t>Free Cash Flow</w:t>
            </w:r>
            <w:r>
              <w:rPr>
                <w:rFonts w:ascii="Arial" w:cs="Arial" w:eastAsia="Arial" w:hAnsi="Arial"/>
                <w:sz w:val="27"/>
                <w:szCs w:val="27"/>
                <w:color w:val="auto"/>
                <w:vertAlign w:val="superscript"/>
              </w:rPr>
              <w:t>(6)</w:t>
            </w: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$ 96,310</w:t>
            </w:r>
          </w:p>
        </w:tc>
        <w:tc>
          <w:tcPr>
            <w:tcW w:w="100" w:type="dxa"/>
            <w:vAlign w:val="bottom"/>
            <w:tcBorders>
              <w:right w:val="single" w:sz="8" w:color="auto"/>
            </w:tcBorders>
          </w:tcPr>
          <w:p>
            <w:pPr>
              <w:spacing w:after="0"/>
              <w:rPr>
                <w:sz w:val="22"/>
                <w:szCs w:val="22"/>
                <w:color w:val="auto"/>
              </w:rPr>
            </w:pPr>
          </w:p>
        </w:tc>
        <w:tc>
          <w:tcPr>
            <w:tcW w:w="1220" w:type="dxa"/>
            <w:vAlign w:val="bottom"/>
            <w:gridSpan w:val="3"/>
          </w:tcPr>
          <w:p>
            <w:pPr>
              <w:jc w:val="right"/>
              <w:ind w:right="248"/>
              <w:spacing w:after="0"/>
              <w:rPr>
                <w:sz w:val="20"/>
                <w:szCs w:val="20"/>
                <w:color w:val="auto"/>
              </w:rPr>
            </w:pPr>
            <w:r>
              <w:rPr>
                <w:rFonts w:ascii="Arial" w:cs="Arial" w:eastAsia="Arial" w:hAnsi="Arial"/>
                <w:sz w:val="18"/>
                <w:szCs w:val="18"/>
                <w:color w:val="auto"/>
              </w:rPr>
              <w:t>$ 138,978</w:t>
            </w:r>
          </w:p>
        </w:tc>
        <w:tc>
          <w:tcPr>
            <w:tcW w:w="1140" w:type="dxa"/>
            <w:vAlign w:val="bottom"/>
          </w:tcPr>
          <w:p>
            <w:pPr>
              <w:jc w:val="right"/>
              <w:ind w:right="258"/>
              <w:spacing w:after="0"/>
              <w:rPr>
                <w:sz w:val="20"/>
                <w:szCs w:val="20"/>
                <w:color w:val="auto"/>
              </w:rPr>
            </w:pPr>
            <w:r>
              <w:rPr>
                <w:rFonts w:ascii="Arial" w:cs="Arial" w:eastAsia="Arial" w:hAnsi="Arial"/>
                <w:sz w:val="18"/>
                <w:szCs w:val="18"/>
                <w:color w:val="auto"/>
                <w:w w:val="97"/>
              </w:rPr>
              <w:t>$ 183,962</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w w:val="89"/>
              </w:rPr>
              <w:t>$ 136,496</w:t>
            </w:r>
          </w:p>
        </w:tc>
        <w:tc>
          <w:tcPr>
            <w:tcW w:w="220" w:type="dxa"/>
            <w:vAlign w:val="bottom"/>
          </w:tcPr>
          <w:p>
            <w:pPr>
              <w:spacing w:after="0"/>
              <w:rPr>
                <w:sz w:val="22"/>
                <w:szCs w:val="22"/>
                <w:color w:val="auto"/>
              </w:rPr>
            </w:pPr>
          </w:p>
        </w:tc>
      </w:tr>
      <w:tr>
        <w:trPr>
          <w:trHeight w:val="257"/>
        </w:trPr>
        <w:tc>
          <w:tcPr>
            <w:tcW w:w="382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(7)</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$ 65,218</w:t>
            </w:r>
          </w:p>
        </w:tc>
        <w:tc>
          <w:tcPr>
            <w:tcW w:w="100" w:type="dxa"/>
            <w:vAlign w:val="bottom"/>
            <w:tcBorders>
              <w:right w:val="single" w:sz="8" w:color="auto"/>
            </w:tcBorders>
            <w:shd w:val="clear" w:color="auto" w:fill="CCEEFF"/>
          </w:tcPr>
          <w:p>
            <w:pPr>
              <w:spacing w:after="0"/>
              <w:rPr>
                <w:sz w:val="22"/>
                <w:szCs w:val="22"/>
                <w:color w:val="auto"/>
              </w:rPr>
            </w:pPr>
          </w:p>
        </w:tc>
        <w:tc>
          <w:tcPr>
            <w:tcW w:w="12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$ 215,012</w:t>
            </w:r>
          </w:p>
        </w:tc>
        <w:tc>
          <w:tcPr>
            <w:tcW w:w="11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7"/>
              </w:rPr>
              <w:t>$ 215,863</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9"/>
              </w:rPr>
              <w:t>$ 202,086</w:t>
            </w:r>
          </w:p>
        </w:tc>
        <w:tc>
          <w:tcPr>
            <w:tcW w:w="220" w:type="dxa"/>
            <w:vAlign w:val="bottom"/>
            <w:shd w:val="clear" w:color="auto" w:fill="CCEEFF"/>
          </w:tcPr>
          <w:p>
            <w:pPr>
              <w:spacing w:after="0"/>
              <w:rPr>
                <w:sz w:val="22"/>
                <w:szCs w:val="22"/>
                <w:color w:val="auto"/>
              </w:rPr>
            </w:pPr>
          </w:p>
        </w:tc>
      </w:tr>
      <w:tr>
        <w:trPr>
          <w:trHeight w:val="257"/>
        </w:trPr>
        <w:tc>
          <w:tcPr>
            <w:tcW w:w="3820" w:type="dxa"/>
            <w:vAlign w:val="bottom"/>
          </w:tcPr>
          <w:p>
            <w:pPr>
              <w:spacing w:after="0" w:line="257"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(7)</w:t>
            </w: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36.5%</w:t>
            </w:r>
          </w:p>
        </w:tc>
        <w:tc>
          <w:tcPr>
            <w:tcW w:w="1220" w:type="dxa"/>
            <w:vAlign w:val="bottom"/>
            <w:gridSpan w:val="3"/>
          </w:tcPr>
          <w:p>
            <w:pPr>
              <w:jc w:val="right"/>
              <w:ind w:right="88"/>
              <w:spacing w:after="0"/>
              <w:rPr>
                <w:sz w:val="20"/>
                <w:szCs w:val="20"/>
                <w:color w:val="auto"/>
              </w:rPr>
            </w:pPr>
            <w:r>
              <w:rPr>
                <w:rFonts w:ascii="Arial" w:cs="Arial" w:eastAsia="Arial" w:hAnsi="Arial"/>
                <w:sz w:val="18"/>
                <w:szCs w:val="18"/>
                <w:color w:val="auto"/>
              </w:rPr>
              <w:t>42.5%</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38.3%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r>
      <w:tr>
        <w:trPr>
          <w:trHeight w:val="277"/>
        </w:trPr>
        <w:tc>
          <w:tcPr>
            <w:tcW w:w="382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7"/>
                <w:szCs w:val="27"/>
                <w:color w:val="auto"/>
                <w:vertAlign w:val="superscript"/>
              </w:rPr>
              <w:t>(7)</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$ 51,983</w:t>
            </w:r>
          </w:p>
        </w:tc>
        <w:tc>
          <w:tcPr>
            <w:tcW w:w="100" w:type="dxa"/>
            <w:vAlign w:val="bottom"/>
            <w:tcBorders>
              <w:right w:val="single" w:sz="8" w:color="auto"/>
            </w:tcBorders>
            <w:shd w:val="clear" w:color="auto" w:fill="CCEEFF"/>
          </w:tcPr>
          <w:p>
            <w:pPr>
              <w:spacing w:after="0"/>
              <w:rPr>
                <w:sz w:val="24"/>
                <w:szCs w:val="24"/>
                <w:color w:val="auto"/>
              </w:rPr>
            </w:pPr>
          </w:p>
        </w:tc>
        <w:tc>
          <w:tcPr>
            <w:tcW w:w="12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$ 175,606</w:t>
            </w:r>
          </w:p>
        </w:tc>
        <w:tc>
          <w:tcPr>
            <w:tcW w:w="11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7"/>
              </w:rPr>
              <w:t>$ 173,040</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9"/>
              </w:rPr>
              <w:t>$ 162,382</w:t>
            </w:r>
          </w:p>
        </w:tc>
        <w:tc>
          <w:tcPr>
            <w:tcW w:w="220" w:type="dxa"/>
            <w:vAlign w:val="bottom"/>
            <w:shd w:val="clear" w:color="auto" w:fill="CCEEFF"/>
          </w:tcPr>
          <w:p>
            <w:pPr>
              <w:spacing w:after="0"/>
              <w:rPr>
                <w:sz w:val="24"/>
                <w:szCs w:val="24"/>
                <w:color w:val="auto"/>
              </w:rPr>
            </w:pPr>
          </w:p>
        </w:tc>
      </w:tr>
      <w:tr>
        <w:trPr>
          <w:trHeight w:val="460"/>
        </w:trPr>
        <w:tc>
          <w:tcPr>
            <w:tcW w:w="3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Tradeweb Markets LLC</w:t>
            </w:r>
          </w:p>
        </w:tc>
      </w:tr>
      <w:tr>
        <w:trPr>
          <w:trHeight w:val="166"/>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140" w:type="dxa"/>
            <w:vAlign w:val="bottom"/>
          </w:tcPr>
          <w:p>
            <w:pPr>
              <w:jc w:val="center"/>
              <w:ind w:left="178"/>
              <w:spacing w:after="0"/>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   December 31,</w:t>
            </w:r>
          </w:p>
        </w:tc>
        <w:tc>
          <w:tcPr>
            <w:tcW w:w="10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center"/>
              <w:ind w:left="198"/>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Pr>
          <w:p>
            <w:pPr>
              <w:jc w:val="center"/>
              <w:ind w:left="357"/>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3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jc w:val="center"/>
              <w:ind w:left="198"/>
              <w:spacing w:after="0"/>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Average Daily Volumes: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7"/>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Rates</w:t>
            </w:r>
          </w:p>
        </w:tc>
        <w:tc>
          <w:tcPr>
            <w:tcW w:w="8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$219,475</w:t>
            </w:r>
          </w:p>
        </w:tc>
      </w:tr>
      <w:tr>
        <w:trPr>
          <w:trHeight w:val="257"/>
        </w:trPr>
        <w:tc>
          <w:tcPr>
            <w:tcW w:w="3820" w:type="dxa"/>
            <w:vAlign w:val="bottom"/>
          </w:tcPr>
          <w:p>
            <w:pPr>
              <w:ind w:left="180"/>
              <w:spacing w:after="0"/>
              <w:rPr>
                <w:sz w:val="20"/>
                <w:szCs w:val="20"/>
                <w:color w:val="auto"/>
              </w:rPr>
            </w:pPr>
            <w:r>
              <w:rPr>
                <w:rFonts w:ascii="Arial" w:cs="Arial" w:eastAsia="Arial" w:hAnsi="Arial"/>
                <w:sz w:val="18"/>
                <w:szCs w:val="18"/>
                <w:color w:val="auto"/>
              </w:rPr>
              <w:t>Credit</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12,658</w:t>
            </w:r>
          </w:p>
        </w:tc>
        <w:tc>
          <w:tcPr>
            <w:tcW w:w="1140" w:type="dxa"/>
            <w:vAlign w:val="bottom"/>
          </w:tcPr>
          <w:p>
            <w:pPr>
              <w:jc w:val="right"/>
              <w:spacing w:after="0"/>
              <w:rPr>
                <w:sz w:val="20"/>
                <w:szCs w:val="20"/>
                <w:color w:val="auto"/>
              </w:rPr>
            </w:pPr>
            <w:r>
              <w:rPr>
                <w:rFonts w:ascii="Arial" w:cs="Arial" w:eastAsia="Arial" w:hAnsi="Arial"/>
                <w:sz w:val="18"/>
                <w:szCs w:val="18"/>
                <w:color w:val="auto"/>
              </w:rPr>
              <w:t>7,554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5,954</w:t>
            </w:r>
          </w:p>
        </w:tc>
      </w:tr>
      <w:tr>
        <w:trPr>
          <w:trHeight w:val="257"/>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Equities</w:t>
            </w:r>
          </w:p>
        </w:tc>
        <w:tc>
          <w:tcPr>
            <w:tcW w:w="8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4,523</w:t>
            </w: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Money markets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173,743</w:t>
            </w:r>
          </w:p>
        </w:tc>
        <w:tc>
          <w:tcPr>
            <w:tcW w:w="1140" w:type="dxa"/>
            <w:vAlign w:val="bottom"/>
          </w:tcPr>
          <w:p>
            <w:pPr>
              <w:jc w:val="right"/>
              <w:spacing w:after="0"/>
              <w:rPr>
                <w:sz w:val="20"/>
                <w:szCs w:val="20"/>
                <w:color w:val="auto"/>
              </w:rPr>
            </w:pPr>
            <w:r>
              <w:rPr>
                <w:rFonts w:ascii="Arial" w:cs="Arial" w:eastAsia="Arial" w:hAnsi="Arial"/>
                <w:sz w:val="18"/>
                <w:szCs w:val="18"/>
                <w:color w:val="auto"/>
              </w:rPr>
              <w:t>132,105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94,324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-2692400</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-2692400</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-2692400</wp:posOffset>
            </wp:positionV>
            <wp:extent cx="1289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-1097280</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-1097280</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163195</wp:posOffset>
            </wp:positionV>
            <wp:extent cx="12350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620" w:right="759" w:hanging="352"/>
        <w:spacing w:after="0" w:line="264"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Subscription fees for the 2018 Successor Period, the 2018 Predecessor Period and the years ended December 31, 2017 and 2016 include $13.5 million, $36.9 million, $50.1 million and $50.6 million, respectively, of Refinitiv (formerly Thomson Reuters) market data fees.</w:t>
      </w:r>
    </w:p>
    <w:p>
      <w:pPr>
        <w:spacing w:after="0" w:line="140" w:lineRule="exact"/>
        <w:rPr>
          <w:rFonts w:ascii="Arial" w:cs="Arial" w:eastAsia="Arial" w:hAnsi="Arial"/>
          <w:sz w:val="18"/>
          <w:szCs w:val="18"/>
          <w:color w:val="auto"/>
        </w:rPr>
      </w:pPr>
    </w:p>
    <w:p>
      <w:pPr>
        <w:ind w:left="1620" w:right="899" w:hanging="352"/>
        <w:spacing w:after="0" w:line="257"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revenues for the periods presented.</w:t>
      </w:r>
    </w:p>
    <w:p>
      <w:pPr>
        <w:spacing w:after="0" w:line="147" w:lineRule="exact"/>
        <w:rPr>
          <w:rFonts w:ascii="Arial" w:cs="Arial" w:eastAsia="Arial" w:hAnsi="Arial"/>
          <w:sz w:val="18"/>
          <w:szCs w:val="18"/>
          <w:color w:val="auto"/>
        </w:rPr>
      </w:pPr>
    </w:p>
    <w:p>
      <w:pPr>
        <w:ind w:left="1620" w:right="1099" w:hanging="352"/>
        <w:spacing w:after="0" w:line="312" w:lineRule="auto"/>
        <w:tabs>
          <w:tab w:leader="none" w:pos="1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106" w:lineRule="exact"/>
        <w:rPr>
          <w:rFonts w:ascii="Arial" w:cs="Arial" w:eastAsia="Arial" w:hAnsi="Arial"/>
          <w:sz w:val="16"/>
          <w:szCs w:val="16"/>
          <w:color w:val="auto"/>
        </w:rPr>
      </w:pPr>
    </w:p>
    <w:p>
      <w:pPr>
        <w:ind w:left="1620" w:right="919" w:hanging="352"/>
        <w:spacing w:after="0" w:line="286" w:lineRule="auto"/>
        <w:tabs>
          <w:tab w:leader="none" w:pos="1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Distributions in the year preceding an initial public offering are deemed to be in contemplation of the offering with the intention of repayment out of offering proceeds to the extent that the distributions exceed earnings during such period. The supplemental pro forma information has been computed to give effect to the number of shares whose proceeds would be necessary to pay (i) the Special Distribution and (ii) the</w:t>
      </w:r>
    </w:p>
    <w:p>
      <w:pPr>
        <w:spacing w:after="0" w:line="1" w:lineRule="exact"/>
        <w:rPr>
          <w:rFonts w:ascii="Arial" w:cs="Arial" w:eastAsia="Arial" w:hAnsi="Arial"/>
          <w:sz w:val="16"/>
          <w:szCs w:val="16"/>
          <w:color w:val="auto"/>
        </w:rPr>
      </w:pPr>
    </w:p>
    <w:p>
      <w:pPr>
        <w:ind w:left="1620" w:right="759"/>
        <w:spacing w:after="0" w:line="268" w:lineRule="auto"/>
        <w:rPr>
          <w:rFonts w:ascii="Arial" w:cs="Arial" w:eastAsia="Arial" w:hAnsi="Arial"/>
          <w:sz w:val="16"/>
          <w:szCs w:val="16"/>
          <w:color w:val="auto"/>
        </w:rPr>
      </w:pPr>
      <w:r>
        <w:rPr>
          <w:rFonts w:ascii="Arial" w:cs="Arial" w:eastAsia="Arial" w:hAnsi="Arial"/>
          <w:sz w:val="17"/>
          <w:szCs w:val="17"/>
          <w:color w:val="auto"/>
        </w:rPr>
        <w:t>2018 and 2019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 Class A and Class B common stock are based on historical Tradeweb Markets LLC financial information, which as a limited liability company did not have any shares of Class A or Class B common stock outstanding during the year ended December 31, 2018. The supplemental pro forma weighted average shares of Class A and Class B common stock outstanding during the year ended December 31, 2018 only include 6,783,444 shares to pay such distributions.</w:t>
      </w:r>
    </w:p>
    <w:p>
      <w:pPr>
        <w:spacing w:after="0" w:line="25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620" w:right="899" w:hanging="352"/>
        <w:spacing w:after="0" w:line="264"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and cash equivalents and total members’ capital do not reflect the $100.0 million special distribution expected to be paid to the Original LLC Owners prior to the consummation of this offering. See “Dividend Policy.”</w:t>
      </w:r>
    </w:p>
    <w:p>
      <w:pPr>
        <w:spacing w:after="0" w:line="32" w:lineRule="exact"/>
        <w:rPr>
          <w:rFonts w:ascii="Arial" w:cs="Arial" w:eastAsia="Arial" w:hAnsi="Arial"/>
          <w:sz w:val="18"/>
          <w:szCs w:val="18"/>
          <w:color w:val="auto"/>
        </w:rPr>
      </w:pPr>
    </w:p>
    <w:p>
      <w:pPr>
        <w:ind w:left="1620" w:right="1059" w:hanging="352"/>
        <w:spacing w:after="0" w:line="259"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83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759"/>
        <w:spacing w:after="0" w:line="254" w:lineRule="auto"/>
        <w:rPr>
          <w:rFonts w:ascii="Arial" w:cs="Arial" w:eastAsia="Arial" w:hAnsi="Arial"/>
          <w:sz w:val="18"/>
          <w:szCs w:val="18"/>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4" w:lineRule="exact"/>
        <w:rPr>
          <w:rFonts w:ascii="Arial" w:cs="Arial" w:eastAsia="Arial" w:hAnsi="Arial"/>
          <w:sz w:val="18"/>
          <w:szCs w:val="18"/>
          <w:color w:val="auto"/>
        </w:rPr>
      </w:pPr>
    </w:p>
    <w:p>
      <w:pPr>
        <w:jc w:val="both"/>
        <w:ind w:left="1620" w:right="959"/>
        <w:spacing w:after="0" w:line="264" w:lineRule="auto"/>
        <w:rPr>
          <w:rFonts w:ascii="Arial" w:cs="Arial" w:eastAsia="Arial" w:hAnsi="Arial"/>
          <w:sz w:val="18"/>
          <w:szCs w:val="18"/>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9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5"/>
                <w:szCs w:val="15"/>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90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900" w:type="dxa"/>
            <w:vAlign w:val="bottom"/>
            <w:gridSpan w:val="2"/>
          </w:tcPr>
          <w:p>
            <w:pPr>
              <w:jc w:val="center"/>
              <w:ind w:left="13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112,556</w:t>
            </w:r>
          </w:p>
        </w:tc>
        <w:tc>
          <w:tcPr>
            <w:tcW w:w="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$164,828</w:t>
            </w: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$ 224,580</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left="138"/>
              <w:spacing w:after="0"/>
              <w:rPr>
                <w:sz w:val="20"/>
                <w:szCs w:val="20"/>
                <w:color w:val="auto"/>
              </w:rPr>
            </w:pPr>
            <w:r>
              <w:rPr>
                <w:rFonts w:ascii="Arial" w:cs="Arial" w:eastAsia="Arial" w:hAnsi="Arial"/>
                <w:sz w:val="18"/>
                <w:szCs w:val="18"/>
                <w:color w:val="auto"/>
                <w:w w:val="84"/>
              </w:rPr>
              <w:t>$ 171,845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(7,156)</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(19,523)</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(27,157)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(25,351)</w:t>
            </w:r>
          </w:p>
        </w:tc>
        <w:tc>
          <w:tcPr>
            <w:tcW w:w="40" w:type="dxa"/>
            <w:vAlign w:val="bottom"/>
          </w:tcPr>
          <w:p>
            <w:pPr>
              <w:spacing w:after="0"/>
              <w:rPr>
                <w:sz w:val="20"/>
                <w:szCs w:val="20"/>
                <w:color w:val="auto"/>
              </w:rPr>
            </w:pPr>
          </w:p>
        </w:tc>
      </w:tr>
      <w:tr>
        <w:trPr>
          <w:trHeight w:val="23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8"/>
              </w:rPr>
              <w:t>Less: Purchases of furniture, equipment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leasehold improvements</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(6,327)</w:t>
            </w: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(13,461)</w:t>
            </w: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(9,998)</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18"/>
                <w:szCs w:val="18"/>
                <w:color w:val="auto"/>
              </w:rPr>
              <w:t>Free Cash Flow</w:t>
            </w:r>
          </w:p>
        </w:tc>
        <w:tc>
          <w:tcPr>
            <w:tcW w:w="28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96,310</w:t>
            </w:r>
          </w:p>
        </w:tc>
        <w:tc>
          <w:tcPr>
            <w:tcW w:w="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138,978</w:t>
            </w: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183,962</w:t>
            </w:r>
          </w:p>
        </w:tc>
        <w:tc>
          <w:tcPr>
            <w:tcW w:w="180" w:type="dxa"/>
            <w:vAlign w:val="bottom"/>
          </w:tcPr>
          <w:p>
            <w:pPr>
              <w:spacing w:after="0"/>
              <w:rPr>
                <w:sz w:val="21"/>
                <w:szCs w:val="21"/>
                <w:color w:val="auto"/>
              </w:rPr>
            </w:pPr>
          </w:p>
        </w:tc>
        <w:tc>
          <w:tcPr>
            <w:tcW w:w="900" w:type="dxa"/>
            <w:vAlign w:val="bottom"/>
            <w:gridSpan w:val="2"/>
          </w:tcPr>
          <w:p>
            <w:pPr>
              <w:jc w:val="center"/>
              <w:ind w:left="138"/>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136,496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
        </w:trPr>
        <w:tc>
          <w:tcPr>
            <w:tcW w:w="3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-1148715</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-1148715</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-1148715</wp:posOffset>
            </wp:positionV>
            <wp:extent cx="1289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74" w:lineRule="exact"/>
        <w:rPr>
          <w:sz w:val="20"/>
          <w:szCs w:val="20"/>
          <w:color w:val="auto"/>
        </w:rPr>
      </w:pPr>
    </w:p>
    <w:p>
      <w:pPr>
        <w:ind w:left="1620" w:right="899" w:hanging="352"/>
        <w:spacing w:after="0" w:line="308"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20" w:right="73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ectPr>
          <w:pgSz w:w="11900" w:h="16838" w:orient="portrait"/>
          <w:cols w:equalWidth="0" w:num="1">
            <w:col w:w="10219"/>
          </w:cols>
          <w:pgMar w:left="240" w:top="131" w:right="1440" w:bottom="1440" w:gutter="0" w:footer="0" w:header="0"/>
        </w:sectPr>
      </w:pP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128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620" w:right="1700"/>
        <w:spacing w:after="0" w:line="277" w:lineRule="auto"/>
        <w:rPr>
          <w:sz w:val="20"/>
          <w:szCs w:val="20"/>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2" w:lineRule="exact"/>
        <w:rPr>
          <w:sz w:val="20"/>
          <w:szCs w:val="20"/>
          <w:color w:val="auto"/>
        </w:rPr>
      </w:pPr>
    </w:p>
    <w:p>
      <w:pPr>
        <w:ind w:left="1620" w:right="1360"/>
        <w:spacing w:after="0" w:line="286"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7" w:lineRule="exact"/>
        <w:rPr>
          <w:sz w:val="20"/>
          <w:szCs w:val="20"/>
          <w:color w:val="auto"/>
        </w:rPr>
      </w:pPr>
    </w:p>
    <w:p>
      <w:pPr>
        <w:ind w:left="1620" w:right="1260"/>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January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5"/>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40" w:type="dxa"/>
            <w:vAlign w:val="bottom"/>
            <w:gridSpan w:val="2"/>
          </w:tcPr>
          <w:p>
            <w:pPr>
              <w:ind w:left="2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$ 29,307</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26,830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(1,726)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33,020</w:t>
            </w:r>
          </w:p>
        </w:tc>
        <w:tc>
          <w:tcPr>
            <w:tcW w:w="1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48,808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80,859</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Unrealized foreign exchange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gains/losses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$ 65,218</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215,012</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215,863</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-814070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-814070</wp:posOffset>
            </wp:positionV>
            <wp:extent cx="240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-814070</wp:posOffset>
            </wp:positionV>
            <wp:extent cx="2489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-814070</wp:posOffset>
            </wp:positionV>
            <wp:extent cx="28816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-2005965</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-2005965</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-2005965</wp:posOffset>
            </wp:positionV>
            <wp:extent cx="1289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91" w:name="page92"/>
    <w:bookmarkEnd w:id="9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set forth below presents a reconciliation of net income to Adjusted Net Income for the 2018</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66"/>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January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4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69"/>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43"/>
        </w:trPr>
        <w:tc>
          <w:tcPr>
            <w:tcW w:w="36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$ 29,307</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26,830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2"/>
        </w:trPr>
        <w:tc>
          <w:tcPr>
            <w:tcW w:w="360" w:type="dxa"/>
            <w:vAlign w:val="bottom"/>
          </w:tcPr>
          <w:p>
            <w:pPr>
              <w:spacing w:after="0"/>
              <w:rPr>
                <w:sz w:val="16"/>
                <w:szCs w:val="16"/>
                <w:color w:val="auto"/>
              </w:rPr>
            </w:pPr>
          </w:p>
        </w:tc>
        <w:tc>
          <w:tcPr>
            <w:tcW w:w="33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Acquisition and Refinitiv Transaction</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81"/>
        </w:trPr>
        <w:tc>
          <w:tcPr>
            <w:tcW w:w="360" w:type="dxa"/>
            <w:vAlign w:val="bottom"/>
          </w:tcPr>
          <w:p>
            <w:pPr>
              <w:spacing w:after="0"/>
              <w:rPr>
                <w:sz w:val="24"/>
                <w:szCs w:val="24"/>
                <w:color w:val="auto"/>
              </w:rPr>
            </w:pPr>
          </w:p>
        </w:tc>
        <w:tc>
          <w:tcPr>
            <w:tcW w:w="338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w w:val="99"/>
              </w:rPr>
              <w:t>related depreciation and amortization</w:t>
            </w:r>
            <w:r>
              <w:rPr>
                <w:rFonts w:ascii="Arial" w:cs="Arial" w:eastAsia="Arial" w:hAnsi="Arial"/>
                <w:sz w:val="27"/>
                <w:szCs w:val="27"/>
                <w:color w:val="auto"/>
                <w:w w:val="99"/>
                <w:vertAlign w:val="superscript"/>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22,413</w:t>
            </w:r>
          </w:p>
        </w:tc>
        <w:tc>
          <w:tcPr>
            <w:tcW w:w="1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19,576</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31,236</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29"/>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Unrealized foreign exchange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360" w:type="dxa"/>
            <w:vAlign w:val="bottom"/>
          </w:tcPr>
          <w:p>
            <w:pPr>
              <w:spacing w:after="0"/>
              <w:rPr>
                <w:sz w:val="20"/>
                <w:szCs w:val="20"/>
                <w:color w:val="auto"/>
              </w:rPr>
            </w:pPr>
          </w:p>
        </w:tc>
        <w:tc>
          <w:tcPr>
            <w:tcW w:w="3380" w:type="dxa"/>
            <w:vAlign w:val="bottom"/>
            <w:gridSpan w:val="2"/>
          </w:tcPr>
          <w:p>
            <w:pPr>
              <w:ind w:left="180"/>
              <w:spacing w:after="0"/>
              <w:rPr>
                <w:sz w:val="20"/>
                <w:szCs w:val="20"/>
                <w:color w:val="auto"/>
              </w:rPr>
            </w:pPr>
            <w:r>
              <w:rPr>
                <w:rFonts w:ascii="Arial" w:cs="Arial" w:eastAsia="Arial" w:hAnsi="Arial"/>
                <w:sz w:val="18"/>
                <w:szCs w:val="18"/>
                <w:color w:val="auto"/>
              </w:rPr>
              <w:t>gains/losses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43"/>
        </w:trPr>
        <w:tc>
          <w:tcPr>
            <w:tcW w:w="36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$ 51,983</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175,606</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173,040</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75"/>
        </w:trPr>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-393700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-393700</wp:posOffset>
            </wp:positionV>
            <wp:extent cx="2400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-393700</wp:posOffset>
            </wp:positionV>
            <wp:extent cx="2489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-393700</wp:posOffset>
            </wp:positionV>
            <wp:extent cx="28816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-1423035</wp:posOffset>
            </wp:positionV>
            <wp:extent cx="1371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-1423035</wp:posOffset>
            </wp:positionV>
            <wp:extent cx="137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-1423035</wp:posOffset>
            </wp:positionV>
            <wp:extent cx="1289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312" w:lineRule="auto"/>
        <w:tabs>
          <w:tab w:leader="none" w:pos="1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2" w:name="page93"/>
    <w:bookmarkEnd w:id="9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8"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The following unaudited pro forma consolidated statement of operations for the year ended December 31, 2018 gives effect to the Transactions, including this offering, as if the same had occurred on January 1, 2018. The unaudited pro forma consolidated statement of financial condition as of December 31, 2018 gives effect to the Transactions, including this offering, as if the same had occurred on December 31, 2018.</w:t>
      </w:r>
    </w:p>
    <w:p>
      <w:pPr>
        <w:spacing w:after="0" w:line="63"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We have derived the unaudited pro forma consolidated financial information as of and for the year ended December 31, 2018 from the consolidated financial statements of Tradeweb Markets LLC and its subsidiaries included elsewhere in this prospectus. The pro forma adjustments are based on available information and certain assumptions that management believes are reasonable under the circumstances. The assumptions underlying the pro forma adjustments are described in the accompanying notes, which should be read in conjunction with these unaudited pro forma combined financial statements. The pro forma financial information is qualified in its entirety by reference to, and should be read in conjunction with, “Basis of Presentation,” “Management’s Discussion and Analysis of Financial Condition and Results of Operations” and our consolidated financial statements and the related notes included elsewhere in this prospectus.</w:t>
      </w:r>
    </w:p>
    <w:p>
      <w:pPr>
        <w:spacing w:after="0" w:line="7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The pro forma adjustments related to the Refinitiv Transaction, which we refer to as the “Refinitiv Adjustments,” are described in the notes to the unaudited pro forma consolidated financial information, and principally include the consummation of the Refinitiv Transaction and the application of pushdown accounting. As a result of the Refinitiv Transaction, we revalued our assets and liabilities based on their fair values as of the closing date of the Refinitiv Transaction in accordance with the acquisition method of accounting. The unaudited pro forma consolidated financial information presented, and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market for the asset or liability. In determining the fair value of the assets acquired and liabilities assumed, we considered the report of a third-party valuation expert. Our management is responsible for these internal and third-party valuations and appraisals and they are continuing to review the amounts and allocations to finalize these amounts. Although our review is substantially complete, we have one year from the closing date of the Refinitiv Transaction to finalize these amounts and are therefore continuing to review. Any final adjustments will change the allocation of purchase price, which could affect the fair value assigned to our assets and liabilities and could result in a change to the unaudited pro forma consolidated financial information, including a change to goodwill.</w:t>
      </w:r>
    </w:p>
    <w:p>
      <w:pPr>
        <w:spacing w:after="0" w:line="85" w:lineRule="exact"/>
        <w:rPr>
          <w:sz w:val="20"/>
          <w:szCs w:val="20"/>
          <w:color w:val="auto"/>
        </w:rPr>
      </w:pPr>
    </w:p>
    <w:p>
      <w:pPr>
        <w:ind w:left="1260" w:right="1359" w:firstLine="360"/>
        <w:spacing w:after="0" w:line="342" w:lineRule="auto"/>
        <w:rPr>
          <w:sz w:val="20"/>
          <w:szCs w:val="20"/>
          <w:color w:val="auto"/>
        </w:rPr>
      </w:pPr>
      <w:r>
        <w:rPr>
          <w:rFonts w:ascii="Arial" w:cs="Arial" w:eastAsia="Arial" w:hAnsi="Arial"/>
          <w:sz w:val="16"/>
          <w:szCs w:val="16"/>
          <w:color w:val="auto"/>
        </w:rPr>
        <w:t>The pro forma adjustments related to the Special Distribution, which we refer to as the “Distribution Adjustments,” are described in the notes to the unaudited pro forma consolidated financial information.</w:t>
      </w:r>
    </w:p>
    <w:p>
      <w:pPr>
        <w:spacing w:after="0" w:line="16"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pro forma adjustments related to the Reorganization Transactions other than this offering, which we refer to as the “Reorganization Adjustments,” are described in the notes to the unaudited pro forma consolidated financial information, and principally include the following:</w:t>
      </w:r>
    </w:p>
    <w:p>
      <w:pPr>
        <w:spacing w:after="0" w:line="154" w:lineRule="exact"/>
        <w:rPr>
          <w:sz w:val="20"/>
          <w:szCs w:val="20"/>
          <w:color w:val="auto"/>
        </w:rPr>
      </w:pPr>
    </w:p>
    <w:p>
      <w:pPr>
        <w:ind w:left="1980" w:right="999" w:hanging="352"/>
        <w:spacing w:after="0" w:line="274"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amendment and restatement of the TWM LLC Agreement to, among other things, (i) provide for LLC Interests that will be the single class of common membership interests in TWM LLC,</w:t>
      </w:r>
    </w:p>
    <w:p>
      <w:pPr>
        <w:ind w:left="1980" w:right="1079" w:firstLine="8"/>
        <w:spacing w:after="0" w:line="261" w:lineRule="auto"/>
        <w:tabs>
          <w:tab w:leader="none" w:pos="2245"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exchange all of the Original LLC Owners existing membership interests in TWM LLC for LLC Interests and (iii) appoint Tradeweb as the sole manager of TWM LLC;</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4" w:lineRule="exact"/>
        <w:rPr>
          <w:rFonts w:ascii="Arial" w:cs="Arial" w:eastAsia="Arial" w:hAnsi="Arial"/>
          <w:sz w:val="17"/>
          <w:szCs w:val="17"/>
          <w:color w:val="auto"/>
        </w:rPr>
      </w:pPr>
    </w:p>
    <w:p>
      <w:pPr>
        <w:jc w:val="both"/>
        <w:ind w:left="1980" w:right="1099" w:firstLine="8"/>
        <w:spacing w:after="0" w:line="302" w:lineRule="auto"/>
        <w:tabs>
          <w:tab w:leader="none" w:pos="2195" w:val="left"/>
        </w:tabs>
        <w:numPr>
          <w:ilvl w:val="1"/>
          <w:numId w:val="58"/>
        </w:numPr>
        <w:rPr>
          <w:rFonts w:ascii="Arial" w:cs="Arial" w:eastAsia="Arial" w:hAnsi="Arial"/>
          <w:sz w:val="16"/>
          <w:szCs w:val="16"/>
          <w:color w:val="auto"/>
        </w:rPr>
      </w:pPr>
      <w:r>
        <w:rPr>
          <w:rFonts w:ascii="Arial" w:cs="Arial" w:eastAsia="Arial" w:hAnsi="Arial"/>
          <w:sz w:val="16"/>
          <w:szCs w:val="16"/>
          <w:color w:val="auto"/>
        </w:rPr>
        <w:t>provide for Class A common stock, Class B common stock, Class C common stock and Class D common stock and (ii) issue shares of Class D common stock to the Continuing LLC Owners, on a one-to-one basis with the number of LLC Interests they own, for nominal consideration;</w:t>
      </w:r>
    </w:p>
    <w:p>
      <w:pPr>
        <w:spacing w:after="0" w:line="60" w:lineRule="exact"/>
        <w:rPr>
          <w:rFonts w:ascii="Arial" w:cs="Arial" w:eastAsia="Arial" w:hAnsi="Arial"/>
          <w:sz w:val="16"/>
          <w:szCs w:val="16"/>
          <w:color w:val="auto"/>
        </w:rPr>
      </w:pPr>
    </w:p>
    <w:p>
      <w:pPr>
        <w:ind w:left="1980" w:right="1519" w:hanging="352"/>
        <w:spacing w:after="0" w:line="308" w:lineRule="auto"/>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receipt of 96,933,192 shares of Class B common stock by the Refinitiv Direct Owner and 96,933,192 LLC Interests by Tradeweb as a result of the Refinitiv Contribution; and</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80" w:right="859" w:hanging="352"/>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provision for federal and state income taxes of Tradeweb as a taxable corporation at an effective rate of 14.0% for the year ended December 31, 2018.</w:t>
      </w:r>
    </w:p>
    <w:p>
      <w:pPr>
        <w:spacing w:after="0" w:line="62"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41" w:lineRule="exact"/>
        <w:rPr>
          <w:sz w:val="20"/>
          <w:szCs w:val="20"/>
          <w:color w:val="auto"/>
        </w:rPr>
      </w:pPr>
    </w:p>
    <w:p>
      <w:pPr>
        <w:ind w:left="1980" w:right="939" w:hanging="352"/>
        <w:spacing w:after="0" w:line="264"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issuance of shares of our Class A common stock to the purchasers in this offering in exchange for net proceeds of approximately $1,009.8 million, after deducting underwriting discounts and commissions but before deducting offering expenses;</w:t>
      </w:r>
    </w:p>
    <w:p>
      <w:pPr>
        <w:spacing w:after="0" w:line="140" w:lineRule="exact"/>
        <w:rPr>
          <w:rFonts w:ascii="Arial" w:cs="Arial" w:eastAsia="Arial" w:hAnsi="Arial"/>
          <w:sz w:val="18"/>
          <w:szCs w:val="18"/>
          <w:color w:val="auto"/>
        </w:rPr>
      </w:pPr>
    </w:p>
    <w:p>
      <w:pPr>
        <w:ind w:left="1980" w:right="1079" w:hanging="352"/>
        <w:spacing w:after="0" w:line="259" w:lineRule="auto"/>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application of all of the net proceeds from this offering to purchase issued and outstanding LLC Interests from certain of the Bank Stockholders at a purchase price per interest equal to the initial public offering price of Class A common stock, less the underwriting discounts and commissions payable thereon;</w:t>
      </w:r>
    </w:p>
    <w:p>
      <w:pPr>
        <w:spacing w:after="0" w:line="159" w:lineRule="exact"/>
        <w:rPr>
          <w:rFonts w:ascii="Arial" w:cs="Arial" w:eastAsia="Arial" w:hAnsi="Arial"/>
          <w:sz w:val="18"/>
          <w:szCs w:val="18"/>
          <w:color w:val="auto"/>
        </w:rPr>
      </w:pPr>
    </w:p>
    <w:p>
      <w:pPr>
        <w:ind w:left="1980" w:right="759" w:hanging="352"/>
        <w:spacing w:after="0" w:line="270" w:lineRule="auto"/>
        <w:tabs>
          <w:tab w:leader="none" w:pos="1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effects of the Tax Receivable Agreement to be entered into with TWM LLC and the Continuing LLC Owners that will provide for the payment by Tradeweb to a Continuing LLC Owner of 50% of the amount of U.S. federal, state and local income or franchise tax savings, if any, that Tradeweb actually realizes (or in some circumstances is deemed to realize) as a result of (i) 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and (ii) certain other tax benefits related to our making payments under the Tax Receivable Agreement; and</w:t>
      </w:r>
    </w:p>
    <w:p>
      <w:pPr>
        <w:spacing w:after="0" w:line="141" w:lineRule="exact"/>
        <w:rPr>
          <w:rFonts w:ascii="Arial" w:cs="Arial" w:eastAsia="Arial" w:hAnsi="Arial"/>
          <w:sz w:val="17"/>
          <w:szCs w:val="17"/>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pacing w:after="0" w:line="117" w:lineRule="exact"/>
        <w:rPr>
          <w:sz w:val="20"/>
          <w:szCs w:val="20"/>
          <w:color w:val="auto"/>
        </w:rPr>
      </w:pPr>
    </w:p>
    <w:p>
      <w:pPr>
        <w:ind w:left="1260" w:right="899" w:firstLine="360"/>
        <w:spacing w:after="0" w:line="342" w:lineRule="auto"/>
        <w:rPr>
          <w:sz w:val="20"/>
          <w:szCs w:val="20"/>
          <w:color w:val="auto"/>
        </w:rPr>
      </w:pPr>
      <w:r>
        <w:rPr>
          <w:rFonts w:ascii="Arial" w:cs="Arial" w:eastAsia="Arial" w:hAnsi="Arial"/>
          <w:sz w:val="16"/>
          <w:szCs w:val="16"/>
          <w:color w:val="auto"/>
        </w:rPr>
        <w:t>Except as otherwise indicated, the unaudited pro forma consolidated financial information presented assumes no exercise by the underwriters of their option to purchase additional shares of Class A common stock.</w:t>
      </w:r>
    </w:p>
    <w:p>
      <w:pPr>
        <w:spacing w:after="0" w:line="16" w:lineRule="exact"/>
        <w:rPr>
          <w:sz w:val="20"/>
          <w:szCs w:val="20"/>
          <w:color w:val="auto"/>
        </w:rPr>
      </w:pPr>
    </w:p>
    <w:p>
      <w:pPr>
        <w:ind w:left="1260" w:right="1499" w:firstLine="360"/>
        <w:spacing w:after="0" w:line="308" w:lineRule="auto"/>
        <w:rPr>
          <w:sz w:val="20"/>
          <w:szCs w:val="20"/>
          <w:color w:val="auto"/>
        </w:rPr>
      </w:pPr>
      <w:r>
        <w:rPr>
          <w:rFonts w:ascii="Arial" w:cs="Arial" w:eastAsia="Arial" w:hAnsi="Arial"/>
          <w:sz w:val="17"/>
          <w:szCs w:val="17"/>
          <w:color w:val="auto"/>
        </w:rPr>
        <w:t>We refer to the transactions related to the Refinitiv Adjustments, the Distribution Adjustments, the Reorganization Adjustments and the Offering Adjustments collectively as the “Transactions.”</w:t>
      </w:r>
    </w:p>
    <w:p>
      <w:pPr>
        <w:spacing w:after="0" w:line="38"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8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“Basis of Presentation,” “Management’s Discussion and Analysis of Financial Condition and Results of Operations” and the historical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 Pro Forma Consolidated Statement of Financial Condition as of December 31, 2018</w:t>
      </w:r>
    </w:p>
    <w:p>
      <w:pPr>
        <w:spacing w:after="0" w:line="319"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Historical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7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Tradeweb</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As Adjusted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Pro Forma</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Markets</w:t>
            </w:r>
          </w:p>
        </w:tc>
        <w:tc>
          <w:tcPr>
            <w:tcW w:w="900" w:type="dxa"/>
            <w:vAlign w:val="bottom"/>
            <w:gridSpan w:val="4"/>
          </w:tcPr>
          <w:p>
            <w:pPr>
              <w:jc w:val="right"/>
              <w:ind w:right="180"/>
              <w:spacing w:after="0" w:line="135" w:lineRule="exact"/>
              <w:rPr>
                <w:sz w:val="20"/>
                <w:szCs w:val="20"/>
                <w:color w:val="auto"/>
              </w:rPr>
            </w:pPr>
            <w:r>
              <w:rPr>
                <w:rFonts w:ascii="Arial" w:cs="Arial" w:eastAsia="Arial" w:hAnsi="Arial"/>
                <w:sz w:val="13"/>
                <w:szCs w:val="13"/>
                <w:b w:val="1"/>
                <w:bCs w:val="1"/>
                <w:color w:val="auto"/>
                <w:w w:val="95"/>
              </w:rPr>
              <w:t>Distribution</w:t>
            </w: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Pro Forma</w:t>
            </w:r>
          </w:p>
        </w:tc>
        <w:tc>
          <w:tcPr>
            <w:tcW w:w="1200" w:type="dxa"/>
            <w:vAlign w:val="bottom"/>
            <w:gridSpan w:val="4"/>
          </w:tcPr>
          <w:p>
            <w:pPr>
              <w:jc w:val="right"/>
              <w:ind w:right="320"/>
              <w:spacing w:after="0" w:line="135" w:lineRule="exact"/>
              <w:rPr>
                <w:sz w:val="20"/>
                <w:szCs w:val="20"/>
                <w:color w:val="auto"/>
              </w:rPr>
            </w:pPr>
            <w:r>
              <w:rPr>
                <w:rFonts w:ascii="Arial" w:cs="Arial" w:eastAsia="Arial" w:hAnsi="Arial"/>
                <w:sz w:val="13"/>
                <w:szCs w:val="13"/>
                <w:b w:val="1"/>
                <w:bCs w:val="1"/>
                <w:color w:val="auto"/>
                <w:w w:val="91"/>
              </w:rPr>
              <w:t>Reorganization</w:t>
            </w:r>
          </w:p>
        </w:tc>
        <w:tc>
          <w:tcPr>
            <w:tcW w:w="8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Before this</w:t>
            </w:r>
          </w:p>
        </w:tc>
        <w:tc>
          <w:tcPr>
            <w:tcW w:w="100" w:type="dxa"/>
            <w:vAlign w:val="bottom"/>
          </w:tcPr>
          <w:p>
            <w:pPr>
              <w:spacing w:after="0"/>
              <w:rPr>
                <w:sz w:val="11"/>
                <w:szCs w:val="11"/>
                <w:color w:val="auto"/>
              </w:rPr>
            </w:pPr>
          </w:p>
        </w:tc>
        <w:tc>
          <w:tcPr>
            <w:tcW w:w="820" w:type="dxa"/>
            <w:vAlign w:val="bottom"/>
            <w:gridSpan w:val="3"/>
          </w:tcPr>
          <w:p>
            <w:pPr>
              <w:jc w:val="right"/>
              <w:ind w:right="320"/>
              <w:spacing w:after="0" w:line="135" w:lineRule="exact"/>
              <w:rPr>
                <w:sz w:val="20"/>
                <w:szCs w:val="20"/>
                <w:color w:val="auto"/>
              </w:rPr>
            </w:pPr>
            <w:r>
              <w:rPr>
                <w:rFonts w:ascii="Arial" w:cs="Arial" w:eastAsia="Arial" w:hAnsi="Arial"/>
                <w:sz w:val="13"/>
                <w:szCs w:val="13"/>
                <w:b w:val="1"/>
                <w:bCs w:val="1"/>
                <w:color w:val="auto"/>
                <w:w w:val="94"/>
              </w:rPr>
              <w:t>Offering</w:t>
            </w:r>
          </w:p>
        </w:tc>
        <w:tc>
          <w:tcPr>
            <w:tcW w:w="7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Tradeweb</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LLC</w:t>
            </w:r>
          </w:p>
        </w:tc>
        <w:tc>
          <w:tcPr>
            <w:tcW w:w="90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1"/>
              </w:rPr>
              <w:t>Adjustments</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TWM LLC</w:t>
            </w:r>
          </w:p>
        </w:tc>
        <w:tc>
          <w:tcPr>
            <w:tcW w:w="100" w:type="dxa"/>
            <w:vAlign w:val="bottom"/>
          </w:tcPr>
          <w:p>
            <w:pPr>
              <w:spacing w:after="0"/>
              <w:rPr>
                <w:sz w:val="14"/>
                <w:szCs w:val="1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Offering</w:t>
            </w:r>
          </w:p>
        </w:tc>
        <w:tc>
          <w:tcPr>
            <w:tcW w:w="9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1"/>
              </w:rPr>
              <w:t>Adjustments</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0"/>
              </w:rPr>
              <w:t>Markets Inc.</w:t>
            </w: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240"/>
              <w:spacing w:after="0" w:line="130" w:lineRule="exact"/>
              <w:rPr>
                <w:sz w:val="20"/>
                <w:szCs w:val="20"/>
                <w:color w:val="auto"/>
              </w:rPr>
            </w:pPr>
            <w:r>
              <w:rPr>
                <w:rFonts w:ascii="Arial" w:cs="Arial" w:eastAsia="Arial" w:hAnsi="Arial"/>
                <w:sz w:val="13"/>
                <w:szCs w:val="13"/>
                <w:b w:val="1"/>
                <w:bCs w:val="1"/>
                <w:color w:val="auto"/>
                <w:w w:val="84"/>
              </w:rPr>
              <w:t>(in thousands)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410,104</w:t>
            </w:r>
          </w:p>
        </w:tc>
        <w:tc>
          <w:tcPr>
            <w:tcW w:w="1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76" w:lineRule="exact"/>
              <w:rPr>
                <w:sz w:val="20"/>
                <w:szCs w:val="20"/>
                <w:color w:val="auto"/>
              </w:rPr>
            </w:pPr>
            <w:r>
              <w:rPr>
                <w:rFonts w:ascii="Arial" w:cs="Arial" w:eastAsia="Arial" w:hAnsi="Arial"/>
                <w:sz w:val="14"/>
                <w:szCs w:val="14"/>
                <w:color w:val="auto"/>
                <w:w w:val="89"/>
              </w:rPr>
              <w:t>(100,000)</w:t>
            </w:r>
            <w:r>
              <w:rPr>
                <w:rFonts w:ascii="Arial" w:cs="Arial" w:eastAsia="Arial" w:hAnsi="Arial"/>
                <w:sz w:val="20"/>
                <w:szCs w:val="20"/>
                <w:color w:val="auto"/>
                <w:w w:val="89"/>
                <w:vertAlign w:val="superscript"/>
              </w:rPr>
              <w:t>(1)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310,104</w:t>
            </w:r>
          </w:p>
        </w:tc>
        <w:tc>
          <w:tcPr>
            <w:tcW w:w="1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310,104</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76" w:lineRule="exact"/>
              <w:rPr>
                <w:sz w:val="20"/>
                <w:szCs w:val="20"/>
                <w:color w:val="auto"/>
              </w:rPr>
            </w:pPr>
            <w:r>
              <w:rPr>
                <w:rFonts w:ascii="Arial" w:cs="Arial" w:eastAsia="Arial" w:hAnsi="Arial"/>
                <w:sz w:val="14"/>
                <w:szCs w:val="14"/>
                <w:color w:val="auto"/>
              </w:rPr>
              <w:t>(5,679)</w:t>
            </w:r>
            <w:r>
              <w:rPr>
                <w:rFonts w:ascii="Arial" w:cs="Arial" w:eastAsia="Arial" w:hAnsi="Arial"/>
                <w:sz w:val="20"/>
                <w:szCs w:val="20"/>
                <w:color w:val="auto"/>
                <w:vertAlign w:val="superscript"/>
              </w:rPr>
              <w:t>(7)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304,425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Arial" w:cs="Arial" w:eastAsia="Arial" w:hAnsi="Arial"/>
                <w:sz w:val="14"/>
                <w:szCs w:val="14"/>
                <w:color w:val="auto"/>
              </w:rPr>
              <w:t>Restricted cash</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720" w:type="dxa"/>
            <w:vAlign w:val="bottom"/>
            <w:tcBorders>
              <w:right w:val="single" w:sz="8" w:color="CCEEFF"/>
            </w:tcBorders>
            <w:shd w:val="clear" w:color="auto" w:fill="CCEEFF"/>
          </w:tcPr>
          <w:p>
            <w:pPr>
              <w:spacing w:after="0" w:line="157" w:lineRule="exact"/>
              <w:rPr>
                <w:sz w:val="20"/>
                <w:szCs w:val="20"/>
                <w:color w:val="auto"/>
              </w:rPr>
            </w:pPr>
            <w:r>
              <w:rPr>
                <w:rFonts w:ascii="Arial" w:cs="Arial" w:eastAsia="Arial" w:hAnsi="Arial"/>
                <w:sz w:val="14"/>
                <w:szCs w:val="14"/>
                <w:color w:val="auto"/>
              </w:rPr>
              <w:t>Receivable from brokers and dealers and clearing</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organizations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Arial" w:cs="Arial" w:eastAsia="Arial" w:hAnsi="Arial"/>
                <w:sz w:val="14"/>
                <w:szCs w:val="14"/>
                <w:color w:val="auto"/>
              </w:rPr>
              <w:t>Deposits with clearing organizations</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87,192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720" w:type="dxa"/>
            <w:vAlign w:val="bottom"/>
          </w:tcPr>
          <w:p>
            <w:pPr>
              <w:spacing w:after="0" w:line="157" w:lineRule="exact"/>
              <w:rPr>
                <w:sz w:val="20"/>
                <w:szCs w:val="20"/>
                <w:color w:val="auto"/>
              </w:rPr>
            </w:pPr>
            <w:r>
              <w:rPr>
                <w:rFonts w:ascii="Arial" w:cs="Arial" w:eastAsia="Arial" w:hAnsi="Arial"/>
                <w:sz w:val="14"/>
                <w:szCs w:val="14"/>
                <w:color w:val="auto"/>
              </w:rPr>
              <w:t>Furniture, equipment, purchased software and leasehold</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180"/>
              <w:spacing w:after="0"/>
              <w:rPr>
                <w:sz w:val="20"/>
                <w:szCs w:val="20"/>
                <w:color w:val="auto"/>
              </w:rPr>
            </w:pPr>
            <w:r>
              <w:rPr>
                <w:rFonts w:ascii="Arial" w:cs="Arial" w:eastAsia="Arial" w:hAnsi="Arial"/>
                <w:sz w:val="14"/>
                <w:szCs w:val="14"/>
                <w:color w:val="auto"/>
              </w:rPr>
              <w:t>improvements, net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38,128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38,128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Software development costs, net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170,582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Arial" w:cs="Arial" w:eastAsia="Arial" w:hAnsi="Arial"/>
                <w:sz w:val="14"/>
                <w:szCs w:val="14"/>
                <w:color w:val="auto"/>
              </w:rPr>
              <w:t>Intangible assets, net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1,380,848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1,380,848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1,380,848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1,380,848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2,694,797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2,694,797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2,694,797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2,694,797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Arial" w:cs="Arial" w:eastAsia="Arial" w:hAnsi="Arial"/>
                <w:sz w:val="14"/>
                <w:szCs w:val="14"/>
                <w:color w:val="auto"/>
              </w:rPr>
              <w:t>Receivable from affiliates</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4"/>
                <w:szCs w:val="14"/>
                <w:color w:val="auto"/>
              </w:rPr>
              <w:t>(6,463)</w:t>
            </w:r>
            <w:r>
              <w:rPr>
                <w:rFonts w:ascii="Arial" w:cs="Arial" w:eastAsia="Arial" w:hAnsi="Arial"/>
                <w:sz w:val="20"/>
                <w:szCs w:val="20"/>
                <w:color w:val="auto"/>
                <w:vertAlign w:val="superscript"/>
              </w:rPr>
              <w:t>(7)</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Deferred tax asset</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25,041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25,041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4,997,139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(100,000)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4,897,139</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4,897,139</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12,899</w:t>
            </w:r>
          </w:p>
        </w:tc>
        <w:tc>
          <w:tcPr>
            <w:tcW w:w="2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4,910,038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Members’ Capital/Stockholders’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20" w:type="dxa"/>
            <w:vAlign w:val="bottom"/>
          </w:tcPr>
          <w:p>
            <w:pPr>
              <w:spacing w:after="0" w:line="157" w:lineRule="exact"/>
              <w:rPr>
                <w:sz w:val="20"/>
                <w:szCs w:val="20"/>
                <w:color w:val="auto"/>
              </w:rPr>
            </w:pPr>
            <w:r>
              <w:rPr>
                <w:rFonts w:ascii="Arial" w:cs="Arial" w:eastAsia="Arial" w:hAnsi="Arial"/>
                <w:sz w:val="14"/>
                <w:szCs w:val="14"/>
                <w:color w:val="auto"/>
              </w:rPr>
              <w:t>Payable to brokers and dealers and clearing</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180"/>
              <w:spacing w:after="0"/>
              <w:rPr>
                <w:sz w:val="20"/>
                <w:szCs w:val="20"/>
                <w:color w:val="auto"/>
              </w:rPr>
            </w:pPr>
            <w:r>
              <w:rPr>
                <w:rFonts w:ascii="Arial" w:cs="Arial" w:eastAsia="Arial" w:hAnsi="Arial"/>
                <w:sz w:val="14"/>
                <w:szCs w:val="14"/>
                <w:color w:val="auto"/>
              </w:rPr>
              <w:t>organizations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171,214</w:t>
            </w:r>
          </w:p>
        </w:tc>
        <w:tc>
          <w:tcPr>
            <w:tcW w:w="1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171,214</w:t>
            </w:r>
          </w:p>
        </w:tc>
        <w:tc>
          <w:tcPr>
            <w:tcW w:w="1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171,214</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171,214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Accrued compensation</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Arial" w:cs="Arial" w:eastAsia="Arial" w:hAnsi="Arial"/>
                <w:sz w:val="14"/>
                <w:szCs w:val="14"/>
                <w:color w:val="auto"/>
              </w:rPr>
              <w:t>Deferred revenue</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27,883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27,883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27,883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27,883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720" w:type="dxa"/>
            <w:vAlign w:val="bottom"/>
            <w:tcBorders>
              <w:right w:val="single" w:sz="8" w:color="CCEEFF"/>
            </w:tcBorders>
            <w:shd w:val="clear" w:color="auto" w:fill="CCEEFF"/>
          </w:tcPr>
          <w:p>
            <w:pPr>
              <w:spacing w:after="0" w:line="157" w:lineRule="exact"/>
              <w:rPr>
                <w:sz w:val="20"/>
                <w:szCs w:val="20"/>
                <w:color w:val="auto"/>
              </w:rPr>
            </w:pPr>
            <w:r>
              <w:rPr>
                <w:rFonts w:ascii="Arial" w:cs="Arial" w:eastAsia="Arial" w:hAnsi="Arial"/>
                <w:sz w:val="14"/>
                <w:szCs w:val="14"/>
                <w:color w:val="auto"/>
              </w:rPr>
              <w:t>Accounts payable, accrued expenses and other</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91"/>
              </w:rPr>
              <w:t>140,492</w:t>
            </w:r>
            <w:r>
              <w:rPr>
                <w:rFonts w:ascii="Arial" w:cs="Arial" w:eastAsia="Arial" w:hAnsi="Arial"/>
                <w:sz w:val="21"/>
                <w:szCs w:val="21"/>
                <w:color w:val="auto"/>
                <w:w w:val="91"/>
                <w:vertAlign w:val="superscript"/>
              </w:rPr>
              <w:t>(2)</w:t>
            </w: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liabilities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183,040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Arial" w:cs="Arial" w:eastAsia="Arial" w:hAnsi="Arial"/>
                <w:sz w:val="14"/>
                <w:szCs w:val="14"/>
                <w:color w:val="auto"/>
              </w:rPr>
              <w:t>Employee equity compensation payable</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24,187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24,187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24,187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24,187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Payable to affiliates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Deferred tax liability</w:t>
            </w: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19,627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19,627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4"/>
                <w:szCs w:val="14"/>
                <w:color w:val="auto"/>
              </w:rPr>
              <w:t>170,658</w:t>
            </w:r>
            <w:r>
              <w:rPr>
                <w:rFonts w:ascii="Arial" w:cs="Arial" w:eastAsia="Arial" w:hAnsi="Arial"/>
                <w:sz w:val="21"/>
                <w:szCs w:val="21"/>
                <w:color w:val="auto"/>
                <w:vertAlign w:val="superscript"/>
              </w:rPr>
              <w:t>(2)</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190,285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4"/>
                <w:szCs w:val="14"/>
                <w:color w:val="auto"/>
                <w:w w:val="85"/>
              </w:rPr>
              <w:t>(170,658)</w:t>
            </w:r>
            <w:r>
              <w:rPr>
                <w:rFonts w:ascii="Arial" w:cs="Arial" w:eastAsia="Arial" w:hAnsi="Arial"/>
                <w:sz w:val="21"/>
                <w:szCs w:val="21"/>
                <w:color w:val="auto"/>
                <w:w w:val="85"/>
                <w:vertAlign w:val="superscript"/>
              </w:rPr>
              <w:t>(2)</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19,627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CCEEFF"/>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410,626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410,626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170,658</w:t>
            </w:r>
          </w:p>
        </w:tc>
        <w:tc>
          <w:tcPr>
            <w:tcW w:w="3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581,284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(30,166)</w:t>
            </w:r>
          </w:p>
        </w:tc>
        <w:tc>
          <w:tcPr>
            <w:tcW w:w="2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551,118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4"/>
                <w:szCs w:val="14"/>
                <w:b w:val="1"/>
                <w:bCs w:val="1"/>
                <w:color w:val="auto"/>
              </w:rPr>
              <w:t>Mezzanine Capital</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Class C Shares and Class P(C) Shares</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80"/>
              <w:spacing w:after="0" w:line="203" w:lineRule="exact"/>
              <w:rPr>
                <w:sz w:val="20"/>
                <w:szCs w:val="20"/>
                <w:color w:val="auto"/>
              </w:rPr>
            </w:pPr>
            <w:r>
              <w:rPr>
                <w:rFonts w:ascii="Arial" w:cs="Arial" w:eastAsia="Arial" w:hAnsi="Arial"/>
                <w:sz w:val="14"/>
                <w:szCs w:val="14"/>
                <w:color w:val="auto"/>
              </w:rPr>
              <w:t>(14,179)</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7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Members’ Capital/Stockholders’ Equity</w:t>
            </w:r>
          </w:p>
        </w:tc>
        <w:tc>
          <w:tcPr>
            <w:tcW w:w="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Members’ capital</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4,573,200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4"/>
                <w:szCs w:val="14"/>
                <w:color w:val="auto"/>
                <w:w w:val="88"/>
              </w:rPr>
              <w:t>(100,000)</w:t>
            </w:r>
            <w:r>
              <w:rPr>
                <w:rFonts w:ascii="Arial" w:cs="Arial" w:eastAsia="Arial" w:hAnsi="Arial"/>
                <w:sz w:val="21"/>
                <w:szCs w:val="21"/>
                <w:color w:val="auto"/>
                <w:w w:val="88"/>
                <w:vertAlign w:val="superscript"/>
              </w:rPr>
              <w:t>(1)</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4,473,200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180"/>
              <w:spacing w:after="0" w:line="189" w:lineRule="exact"/>
              <w:rPr>
                <w:sz w:val="20"/>
                <w:szCs w:val="20"/>
                <w:color w:val="auto"/>
              </w:rPr>
            </w:pPr>
            <w:r>
              <w:rPr>
                <w:rFonts w:ascii="Arial" w:cs="Arial" w:eastAsia="Arial" w:hAnsi="Arial"/>
                <w:sz w:val="14"/>
                <w:szCs w:val="14"/>
                <w:color w:val="auto"/>
                <w:w w:val="92"/>
              </w:rPr>
              <w:t>(4,473,200)</w:t>
            </w:r>
            <w:r>
              <w:rPr>
                <w:rFonts w:ascii="Arial" w:cs="Arial" w:eastAsia="Arial" w:hAnsi="Arial"/>
                <w:sz w:val="21"/>
                <w:szCs w:val="21"/>
                <w:color w:val="auto"/>
                <w:w w:val="92"/>
                <w:vertAlign w:val="superscript"/>
              </w:rPr>
              <w:t>(3)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Class A common stock</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(7)</w:t>
            </w:r>
          </w:p>
        </w:tc>
        <w:tc>
          <w:tcPr>
            <w:tcW w:w="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Class B common stock</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21"/>
                <w:szCs w:val="21"/>
                <w:color w:val="auto"/>
                <w:vertAlign w:val="subscript"/>
              </w:rPr>
              <w:t>1</w:t>
            </w:r>
            <w:r>
              <w:rPr>
                <w:rFonts w:ascii="Arial" w:cs="Arial" w:eastAsia="Arial" w:hAnsi="Arial"/>
                <w:sz w:val="9"/>
                <w:szCs w:val="9"/>
                <w:color w:val="auto"/>
              </w:rPr>
              <w:t>(5)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Class C common stock</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(4)</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(4)</w:t>
            </w:r>
          </w:p>
        </w:tc>
        <w:tc>
          <w:tcPr>
            <w:tcW w:w="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Class D common stock</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21"/>
                <w:szCs w:val="21"/>
                <w:color w:val="auto"/>
                <w:vertAlign w:val="subscript"/>
              </w:rPr>
              <w:t>1</w:t>
            </w:r>
            <w:r>
              <w:rPr>
                <w:rFonts w:ascii="Arial" w:cs="Arial" w:eastAsia="Arial" w:hAnsi="Arial"/>
                <w:sz w:val="9"/>
                <w:szCs w:val="9"/>
                <w:color w:val="auto"/>
              </w:rPr>
              <w:t>(4)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(7)</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Additional paid in capital</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4"/>
                <w:szCs w:val="14"/>
                <w:color w:val="auto"/>
                <w:w w:val="93"/>
              </w:rPr>
              <w:t>1,883,437</w:t>
            </w:r>
            <w:r>
              <w:rPr>
                <w:rFonts w:ascii="Arial" w:cs="Arial" w:eastAsia="Arial" w:hAnsi="Arial"/>
                <w:sz w:val="21"/>
                <w:szCs w:val="21"/>
                <w:color w:val="auto"/>
                <w:w w:val="93"/>
                <w:vertAlign w:val="superscript"/>
              </w:rPr>
              <w:t>(3)(5)</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1,883,437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4"/>
                <w:szCs w:val="14"/>
                <w:color w:val="auto"/>
                <w:w w:val="91"/>
              </w:rPr>
              <w:t>822,083</w:t>
            </w:r>
            <w:r>
              <w:rPr>
                <w:rFonts w:ascii="Arial" w:cs="Arial" w:eastAsia="Arial" w:hAnsi="Arial"/>
                <w:sz w:val="21"/>
                <w:szCs w:val="21"/>
                <w:color w:val="auto"/>
                <w:w w:val="91"/>
                <w:vertAlign w:val="superscript"/>
              </w:rPr>
              <w:t>(8)</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2,705,520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Retained earnings</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4"/>
                <w:szCs w:val="14"/>
                <w:color w:val="auto"/>
                <w:w w:val="95"/>
              </w:rPr>
              <w:t>(18,692)</w:t>
            </w:r>
            <w:r>
              <w:rPr>
                <w:rFonts w:ascii="Arial" w:cs="Arial" w:eastAsia="Arial" w:hAnsi="Arial"/>
                <w:sz w:val="21"/>
                <w:szCs w:val="21"/>
                <w:color w:val="auto"/>
                <w:w w:val="95"/>
                <w:vertAlign w:val="superscript"/>
              </w:rPr>
              <w:t>(9)</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64"/>
        </w:trPr>
        <w:tc>
          <w:tcPr>
            <w:tcW w:w="3720" w:type="dxa"/>
            <w:vAlign w:val="bottom"/>
            <w:tcBorders>
              <w:top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members’ capital/stockholders’ equity attributable</w:t>
            </w:r>
          </w:p>
        </w:tc>
        <w:tc>
          <w:tcPr>
            <w:tcW w:w="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 Tradeweb Markets Inc.</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4,572,334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(100,000)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4,472,334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7"/>
              </w:rPr>
              <w:t>(2,589,761)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1,882,573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803,391</w:t>
            </w: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2,685,964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180"/>
              <w:spacing w:after="0"/>
              <w:rPr>
                <w:sz w:val="20"/>
                <w:szCs w:val="20"/>
                <w:color w:val="auto"/>
              </w:rPr>
            </w:pPr>
            <w:r>
              <w:rPr>
                <w:rFonts w:ascii="Arial" w:cs="Arial" w:eastAsia="Arial" w:hAnsi="Arial"/>
                <w:sz w:val="14"/>
                <w:szCs w:val="14"/>
                <w:color w:val="auto"/>
              </w:rPr>
              <w:t>Non-controlling interest</w:t>
            </w:r>
          </w:p>
        </w:tc>
        <w:tc>
          <w:tcPr>
            <w:tcW w:w="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line="203" w:lineRule="exact"/>
              <w:rPr>
                <w:sz w:val="20"/>
                <w:szCs w:val="20"/>
                <w:color w:val="auto"/>
              </w:rPr>
            </w:pPr>
            <w:r>
              <w:rPr>
                <w:rFonts w:ascii="Arial" w:cs="Arial" w:eastAsia="Arial" w:hAnsi="Arial"/>
                <w:sz w:val="14"/>
                <w:szCs w:val="14"/>
                <w:color w:val="auto"/>
                <w:w w:val="93"/>
              </w:rPr>
              <w:t>2,433,282</w:t>
            </w:r>
            <w:r>
              <w:rPr>
                <w:rFonts w:ascii="Arial" w:cs="Arial" w:eastAsia="Arial" w:hAnsi="Arial"/>
                <w:sz w:val="21"/>
                <w:szCs w:val="21"/>
                <w:color w:val="auto"/>
                <w:w w:val="93"/>
                <w:vertAlign w:val="superscript"/>
              </w:rPr>
              <w:t>(3)(6)</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2,433,282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85"/>
              </w:rPr>
              <w:t>(760,326)</w:t>
            </w:r>
            <w:r>
              <w:rPr>
                <w:rFonts w:ascii="Arial" w:cs="Arial" w:eastAsia="Arial" w:hAnsi="Arial"/>
                <w:sz w:val="21"/>
                <w:szCs w:val="21"/>
                <w:color w:val="auto"/>
                <w:w w:val="85"/>
                <w:vertAlign w:val="superscript"/>
              </w:rPr>
              <w:t>(6)</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1,672,956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Total liabilities and members’ capital/stockholders’ equity</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4,997,139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(100,000)</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4,897,139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4,897,139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12,899</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4,910,038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-170815</wp:posOffset>
            </wp:positionV>
            <wp:extent cx="171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-170815</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-170815</wp:posOffset>
            </wp:positionV>
            <wp:extent cx="1289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-170815</wp:posOffset>
            </wp:positionV>
            <wp:extent cx="2228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-170815</wp:posOffset>
            </wp:positionV>
            <wp:extent cx="137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-170815</wp:posOffset>
            </wp:positionV>
            <wp:extent cx="1289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-170815</wp:posOffset>
            </wp:positionV>
            <wp:extent cx="28898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-530860</wp:posOffset>
            </wp:positionV>
            <wp:extent cx="171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-530860</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-530860</wp:posOffset>
            </wp:positionV>
            <wp:extent cx="1289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-530860</wp:posOffset>
            </wp:positionV>
            <wp:extent cx="2228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-530860</wp:posOffset>
            </wp:positionV>
            <wp:extent cx="137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-530860</wp:posOffset>
            </wp:positionV>
            <wp:extent cx="1289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-530860</wp:posOffset>
            </wp:positionV>
            <wp:extent cx="28898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-2143125</wp:posOffset>
            </wp:positionV>
            <wp:extent cx="171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-2143125</wp:posOffset>
            </wp:positionV>
            <wp:extent cx="137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-2143125</wp:posOffset>
            </wp:positionV>
            <wp:extent cx="1289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-2143125</wp:posOffset>
            </wp:positionV>
            <wp:extent cx="2228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-2143125</wp:posOffset>
            </wp:positionV>
            <wp:extent cx="137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-2143125</wp:posOffset>
            </wp:positionV>
            <wp:extent cx="1289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-2143125</wp:posOffset>
            </wp:positionV>
            <wp:extent cx="28898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-3695700</wp:posOffset>
            </wp:positionV>
            <wp:extent cx="171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-3695700</wp:posOffset>
            </wp:positionV>
            <wp:extent cx="137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-3695700</wp:posOffset>
            </wp:positionV>
            <wp:extent cx="1289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-3695700</wp:posOffset>
            </wp:positionV>
            <wp:extent cx="2228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-3695700</wp:posOffset>
            </wp:positionV>
            <wp:extent cx="137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-3695700</wp:posOffset>
            </wp:positionV>
            <wp:extent cx="1289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-3695700</wp:posOffset>
            </wp:positionV>
            <wp:extent cx="28898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-5582285</wp:posOffset>
            </wp:positionV>
            <wp:extent cx="1028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-5582285</wp:posOffset>
            </wp:positionV>
            <wp:extent cx="1028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-5582285</wp:posOffset>
            </wp:positionV>
            <wp:extent cx="1714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-5582285</wp:posOffset>
            </wp:positionV>
            <wp:extent cx="1028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-5582285</wp:posOffset>
            </wp:positionV>
            <wp:extent cx="946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-5582285</wp:posOffset>
            </wp:positionV>
            <wp:extent cx="946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See accompanying Notes to Unaudited Pro Forma Consolidated Statement of Financial Condition.</w:t>
      </w:r>
    </w:p>
    <w:p>
      <w:pPr>
        <w:spacing w:after="0" w:line="10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60"/>
          </w:cols>
          <w:pgMar w:left="240" w:top="132" w:right="1399" w:bottom="1440" w:gutter="0" w:footer="0" w:header="0"/>
        </w:sectPr>
      </w:pPr>
    </w:p>
    <w:bookmarkStart w:id="95" w:name="page96"/>
    <w:bookmarkEnd w:id="9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Unaudited Pro Forma Consolidated Statement of Financial Condition</w:t>
      </w:r>
    </w:p>
    <w:p>
      <w:pPr>
        <w:spacing w:after="0" w:line="94" w:lineRule="exact"/>
        <w:rPr>
          <w:sz w:val="20"/>
          <w:szCs w:val="20"/>
          <w:color w:val="auto"/>
        </w:rPr>
      </w:pPr>
    </w:p>
    <w:p>
      <w:pPr>
        <w:ind w:left="1620" w:right="779" w:hanging="352"/>
        <w:spacing w:after="0" w:line="264"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TWM LLC anticipates paying a cash distribution of $100.0 million to the Original LLC Owners prior to the consummation of this offering. The anticipated cash distribution to the Original LLC Owners, which is contingent on the pricing of this offering, is expected to be funded from cash on hand.</w:t>
      </w:r>
    </w:p>
    <w:p>
      <w:pPr>
        <w:spacing w:after="0" w:line="73" w:lineRule="exact"/>
        <w:rPr>
          <w:rFonts w:ascii="Arial" w:cs="Arial" w:eastAsia="Arial" w:hAnsi="Arial"/>
          <w:sz w:val="18"/>
          <w:szCs w:val="18"/>
          <w:color w:val="auto"/>
        </w:rPr>
      </w:pPr>
    </w:p>
    <w:p>
      <w:pPr>
        <w:ind w:left="1620" w:right="839" w:hanging="352"/>
        <w:spacing w:after="0" w:line="342" w:lineRule="auto"/>
        <w:tabs>
          <w:tab w:leader="none" w:pos="1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Reflects the effects of the Tax Receivable Agreement on our unaudited pro forma consolidated statement of financial condition as a result of our purchase of LLC Interests from certain of the Bank Stockholders.</w:t>
      </w:r>
    </w:p>
    <w:p>
      <w:pPr>
        <w:spacing w:after="0" w:line="15" w:lineRule="exact"/>
        <w:rPr>
          <w:rFonts w:ascii="Arial" w:cs="Arial" w:eastAsia="Arial" w:hAnsi="Arial"/>
          <w:sz w:val="16"/>
          <w:szCs w:val="16"/>
          <w:color w:val="auto"/>
        </w:rPr>
      </w:pPr>
    </w:p>
    <w:p>
      <w:pPr>
        <w:ind w:left="1620" w:right="819"/>
        <w:spacing w:after="0" w:line="286" w:lineRule="auto"/>
        <w:rPr>
          <w:rFonts w:ascii="Arial" w:cs="Arial" w:eastAsia="Arial" w:hAnsi="Arial"/>
          <w:sz w:val="16"/>
          <w:szCs w:val="16"/>
          <w:color w:val="auto"/>
        </w:rPr>
      </w:pPr>
      <w:r>
        <w:rPr>
          <w:rFonts w:ascii="Arial" w:cs="Arial" w:eastAsia="Arial" w:hAnsi="Arial"/>
          <w:sz w:val="16"/>
          <w:szCs w:val="16"/>
          <w:color w:val="auto"/>
        </w:rPr>
        <w:t>Tradeweb Markets Inc. is subject to U.S. federal and state income taxes and will file income tax returns for U.S. federal and certain state jurisdictions. We expect to obtain an increase in our share of the tax basis of the assets of TWM LLC when LLC Interests are redeemed or exchanged by the Continuing LLC Owners (including exchanges of LLC Interests for the net proceeds of this offering) and in connection with certain other qualifying transactions. This increase in tax basis may have the effect of reducing the amounts that we would otherwise pay in the future to various tax authorities. We will enter into the Tax Receivable Agreement with TWM LLC and the Continuing LLC Owners. Pursuant to the Tax Receivable Agreement, we will be required to make cash payments to the Continuing LLC Owners equal to 50% of the amount of U.S. federal, state and local income or franchise tax savings, if any, that we actually realize (or in some circumstances are deemed to realize) as a result of certain future tax benefits to which we may become entitled. We expect to benefit from the remaining 50% of tax benefits, if any, that we may actually realize. See “Certain Relationships and Related Party Transactions — Related Party Transactions Entered Into in Connection With This Transaction — Tax Receivable Agreement.”</w:t>
      </w:r>
    </w:p>
    <w:p>
      <w:pPr>
        <w:spacing w:after="0" w:line="66" w:lineRule="exact"/>
        <w:rPr>
          <w:rFonts w:ascii="Arial" w:cs="Arial" w:eastAsia="Arial" w:hAnsi="Arial"/>
          <w:sz w:val="16"/>
          <w:szCs w:val="16"/>
          <w:color w:val="auto"/>
        </w:rPr>
      </w:pPr>
    </w:p>
    <w:p>
      <w:pPr>
        <w:ind w:left="1620" w:right="739"/>
        <w:spacing w:after="0" w:line="289" w:lineRule="auto"/>
        <w:rPr>
          <w:rFonts w:ascii="Arial" w:cs="Arial" w:eastAsia="Arial" w:hAnsi="Arial"/>
          <w:sz w:val="16"/>
          <w:szCs w:val="16"/>
          <w:color w:val="auto"/>
        </w:rPr>
      </w:pPr>
      <w:r>
        <w:rPr>
          <w:rFonts w:ascii="Arial" w:cs="Arial" w:eastAsia="Arial" w:hAnsi="Arial"/>
          <w:sz w:val="16"/>
          <w:szCs w:val="16"/>
          <w:color w:val="auto"/>
        </w:rPr>
        <w:t>The tax benefit expected to be realized in connection with this offering of $1,006.8 million of amortizable tax basis will be amortized primarily over 15 years pursuant to Section 197 of the Internal Revenue Code, and other applicable depreciation rules. The tax basis has been recognized as a deferred tax asset in other assets in our unaudited pro forma consolidated statement of financial condition. The associated obligation to pay 50% of the tax savings (or $140.5 million) as the tax reduction is realized by us has been recognized as a liability in accounts payable, accrued expenses and other liabilities in our unaudited pro forma condensed consolidated statement of financial condition. Cash and cash equivalents in the unaudited pro forma consolidated statement of financial condition have not been adjusted to reflect the impact of any potential future Tax Receivable Agreement payments or any remaining benefits that may be realized by us.</w:t>
      </w:r>
    </w:p>
    <w:p>
      <w:pPr>
        <w:spacing w:after="0" w:line="58" w:lineRule="exact"/>
        <w:rPr>
          <w:rFonts w:ascii="Arial" w:cs="Arial" w:eastAsia="Arial" w:hAnsi="Arial"/>
          <w:sz w:val="16"/>
          <w:szCs w:val="16"/>
          <w:color w:val="auto"/>
        </w:rPr>
      </w:pPr>
    </w:p>
    <w:p>
      <w:pPr>
        <w:ind w:left="1620" w:right="759"/>
        <w:spacing w:after="0" w:line="257" w:lineRule="auto"/>
        <w:rPr>
          <w:rFonts w:ascii="Arial" w:cs="Arial" w:eastAsia="Arial" w:hAnsi="Arial"/>
          <w:sz w:val="16"/>
          <w:szCs w:val="16"/>
          <w:color w:val="auto"/>
        </w:rPr>
      </w:pPr>
      <w:r>
        <w:rPr>
          <w:rFonts w:ascii="Arial" w:cs="Arial" w:eastAsia="Arial" w:hAnsi="Arial"/>
          <w:sz w:val="18"/>
          <w:szCs w:val="18"/>
          <w:color w:val="auto"/>
        </w:rPr>
        <w:t>The deferred tax asset adjustment and the associated liability adjustment related to the Tax Receivable Agreement assume: (1) only exchanges associated with this offering and the use of proceeds therefrom, (2) a share price based on the initial public offering price of $27.00 per share, (3) a constant federal income tax rate of 21.0%, (4) no material changes in tax law, (5) the ability to utilize tax attributes and (6) future Tax Receivable Agreement payments.</w:t>
      </w:r>
    </w:p>
    <w:p>
      <w:pPr>
        <w:spacing w:after="0" w:line="80" w:lineRule="exact"/>
        <w:rPr>
          <w:rFonts w:ascii="Arial" w:cs="Arial" w:eastAsia="Arial" w:hAnsi="Arial"/>
          <w:sz w:val="16"/>
          <w:szCs w:val="16"/>
          <w:color w:val="auto"/>
        </w:rPr>
      </w:pPr>
    </w:p>
    <w:p>
      <w:pPr>
        <w:ind w:left="1620" w:right="739"/>
        <w:spacing w:after="0" w:line="293" w:lineRule="auto"/>
        <w:rPr>
          <w:rFonts w:ascii="Arial" w:cs="Arial" w:eastAsia="Arial" w:hAnsi="Arial"/>
          <w:sz w:val="16"/>
          <w:szCs w:val="16"/>
          <w:color w:val="auto"/>
        </w:rPr>
      </w:pPr>
      <w:r>
        <w:rPr>
          <w:rFonts w:ascii="Arial" w:cs="Arial" w:eastAsia="Arial" w:hAnsi="Arial"/>
          <w:sz w:val="16"/>
          <w:szCs w:val="16"/>
          <w:color w:val="auto"/>
        </w:rPr>
        <w:t>We anticipate that we will account for the income tax effects resulting from future taxable exchanges of LLC Interests by Continuing LLC Owners for shares of our Class A common stock or Class B common stock or cash by recognizing an increase in our deferred tax assets, based on enacted tax rates at the date of each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56" w:lineRule="exact"/>
        <w:rPr>
          <w:rFonts w:ascii="Arial" w:cs="Arial" w:eastAsia="Arial" w:hAnsi="Arial"/>
          <w:sz w:val="16"/>
          <w:szCs w:val="16"/>
          <w:color w:val="auto"/>
        </w:rPr>
      </w:pPr>
    </w:p>
    <w:p>
      <w:pPr>
        <w:ind w:left="1620" w:right="819"/>
        <w:spacing w:after="0" w:line="257" w:lineRule="auto"/>
        <w:rPr>
          <w:rFonts w:ascii="Arial" w:cs="Arial" w:eastAsia="Arial" w:hAnsi="Arial"/>
          <w:sz w:val="16"/>
          <w:szCs w:val="16"/>
          <w:color w:val="auto"/>
        </w:rPr>
      </w:pPr>
      <w:r>
        <w:rPr>
          <w:rFonts w:ascii="Arial" w:cs="Arial" w:eastAsia="Arial" w:hAnsi="Arial"/>
          <w:sz w:val="18"/>
          <w:szCs w:val="18"/>
          <w:color w:val="auto"/>
        </w:rPr>
        <w:t>The amounts to be recorded for both the deferred tax assets and the liability for our obligations under the Tax Receivable Agreement have been estimated. All of the effects of changes to both the deferred tax assets and our obligations under the Tax Receivable Agreement after the date of the purchase will be included in net income. Similarly, the effect of subsequent changes in the enacted tax rates will be included in net income.</w:t>
      </w:r>
    </w:p>
    <w:p>
      <w:pPr>
        <w:spacing w:after="0" w:line="80" w:lineRule="exact"/>
        <w:rPr>
          <w:rFonts w:ascii="Arial" w:cs="Arial" w:eastAsia="Arial" w:hAnsi="Arial"/>
          <w:sz w:val="16"/>
          <w:szCs w:val="16"/>
          <w:color w:val="auto"/>
        </w:rPr>
      </w:pPr>
    </w:p>
    <w:p>
      <w:pPr>
        <w:ind w:left="1620" w:right="1099" w:hanging="352"/>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expect to present our equity differently upon becoming a C corporation. To reflect the C corporation structure of our equity, we will separately present the value of our common stock,</w:t>
      </w:r>
    </w:p>
    <w:p>
      <w:pPr>
        <w:spacing w:after="0" w:line="3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959"/>
        <w:spacing w:after="0" w:line="259" w:lineRule="auto"/>
        <w:rPr>
          <w:sz w:val="20"/>
          <w:szCs w:val="20"/>
          <w:color w:val="auto"/>
        </w:rPr>
      </w:pPr>
      <w:r>
        <w:rPr>
          <w:rFonts w:ascii="Arial" w:cs="Arial" w:eastAsia="Arial" w:hAnsi="Arial"/>
          <w:sz w:val="18"/>
          <w:szCs w:val="18"/>
          <w:color w:val="auto"/>
        </w:rPr>
        <w:t>additional paid-in capital and retained earnings. $14.2 million of the reclassification of mezzanine capital and $4,473.2 million of the reclassification of members’ capital have been allocated to non-controlling interest. The remaining portion of the reclassification of members’ capital has been allocated to additional paid-in capital.</w:t>
      </w:r>
    </w:p>
    <w:p>
      <w:pPr>
        <w:spacing w:after="0" w:line="133" w:lineRule="exact"/>
        <w:rPr>
          <w:sz w:val="20"/>
          <w:szCs w:val="20"/>
          <w:color w:val="auto"/>
        </w:rPr>
      </w:pPr>
    </w:p>
    <w:p>
      <w:pPr>
        <w:ind w:left="1620" w:right="799" w:hanging="352"/>
        <w:spacing w:after="0" w:line="293"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Reflects the issuance of an aggregate of 125,289,031 shares of Class C common stock and Class D common stock to the Continuing LLC Owners on a one-to-one basis with the number of LLC Interests they own, for nominal consideration. Each share of Class C common stock will entitle its holder to one vote on all matters presented to our stockholders generally. Each share of Class D common stock will entitle its holder to ten votes on all matters presented to our stockholders generally. Holders of Class D common stock will not be entitled to receive any distributions from or participate in any dividends declared by our board of directors.</w:t>
      </w:r>
    </w:p>
    <w:p>
      <w:pPr>
        <w:spacing w:after="0" w:line="110" w:lineRule="exact"/>
        <w:rPr>
          <w:rFonts w:ascii="Arial" w:cs="Arial" w:eastAsia="Arial" w:hAnsi="Arial"/>
          <w:sz w:val="16"/>
          <w:szCs w:val="16"/>
          <w:color w:val="auto"/>
        </w:rPr>
      </w:pPr>
    </w:p>
    <w:p>
      <w:pPr>
        <w:jc w:val="both"/>
        <w:ind w:left="1620" w:right="1179" w:hanging="352"/>
        <w:spacing w:after="0" w:line="312"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Reflects the receipt of 96,933,192 shares of Class B common stock by the Refinitiv Direct Owner and 96,933,192 LLC Interests by Tradeweb as a result of the Refinitiv Contribution. Each share of Class B common stock will entitle its holder to ten votes on all matters presented to our stockholders generally.</w:t>
      </w:r>
    </w:p>
    <w:p>
      <w:pPr>
        <w:spacing w:after="0" w:line="92" w:lineRule="exact"/>
        <w:rPr>
          <w:rFonts w:ascii="Arial" w:cs="Arial" w:eastAsia="Arial" w:hAnsi="Arial"/>
          <w:sz w:val="16"/>
          <w:szCs w:val="16"/>
          <w:color w:val="auto"/>
        </w:rPr>
      </w:pPr>
    </w:p>
    <w:p>
      <w:pPr>
        <w:ind w:left="1620" w:right="799" w:hanging="352"/>
        <w:spacing w:after="0" w:line="273" w:lineRule="auto"/>
        <w:tabs>
          <w:tab w:leader="none" w:pos="1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the financial results of TWM LLC and will report a non-controlling interest related to the LLC Interests held by the Continuing LLC Owners on our unaudited pro forma consolidated statement of financial condition.</w:t>
      </w:r>
    </w:p>
    <w:p>
      <w:pPr>
        <w:spacing w:after="0" w:line="70"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Following the Reorganization Transactions and prior to the completion of this offering, we will</w:t>
      </w:r>
    </w:p>
    <w:p>
      <w:pPr>
        <w:spacing w:after="0" w:line="23" w:lineRule="exact"/>
        <w:rPr>
          <w:rFonts w:ascii="Arial" w:cs="Arial" w:eastAsia="Arial" w:hAnsi="Arial"/>
          <w:sz w:val="17"/>
          <w:szCs w:val="17"/>
          <w:color w:val="auto"/>
        </w:rPr>
      </w:pPr>
    </w:p>
    <w:p>
      <w:pPr>
        <w:ind w:left="1620" w:right="1199"/>
        <w:spacing w:after="0" w:line="323" w:lineRule="auto"/>
        <w:rPr>
          <w:rFonts w:ascii="Arial" w:cs="Arial" w:eastAsia="Arial" w:hAnsi="Arial"/>
          <w:sz w:val="17"/>
          <w:szCs w:val="17"/>
          <w:color w:val="auto"/>
        </w:rPr>
      </w:pPr>
      <w:r>
        <w:rPr>
          <w:rFonts w:ascii="Arial" w:cs="Arial" w:eastAsia="Arial" w:hAnsi="Arial"/>
          <w:sz w:val="16"/>
          <w:szCs w:val="16"/>
          <w:color w:val="auto"/>
        </w:rPr>
        <w:t>hold 96,933,192 LLC Interests, and the Continuing LLC Owners will hold 125,289,031 LLC Interests, representing 43.6% and 56.4%, respectively, of the outstanding LLC Interests of TWM LLC.</w:t>
      </w:r>
    </w:p>
    <w:p>
      <w:pPr>
        <w:spacing w:after="0" w:line="30" w:lineRule="exact"/>
        <w:rPr>
          <w:rFonts w:ascii="Arial" w:cs="Arial" w:eastAsia="Arial" w:hAnsi="Arial"/>
          <w:sz w:val="17"/>
          <w:szCs w:val="17"/>
          <w:color w:val="auto"/>
        </w:rPr>
      </w:pPr>
    </w:p>
    <w:p>
      <w:pPr>
        <w:ind w:left="1620" w:right="879"/>
        <w:spacing w:after="0" w:line="257" w:lineRule="auto"/>
        <w:rPr>
          <w:rFonts w:ascii="Arial" w:cs="Arial" w:eastAsia="Arial" w:hAnsi="Arial"/>
          <w:sz w:val="17"/>
          <w:szCs w:val="17"/>
          <w:color w:val="auto"/>
        </w:rPr>
      </w:pPr>
      <w:r>
        <w:rPr>
          <w:rFonts w:ascii="Arial" w:cs="Arial" w:eastAsia="Arial" w:hAnsi="Arial"/>
          <w:sz w:val="18"/>
          <w:szCs w:val="18"/>
          <w:color w:val="auto"/>
        </w:rPr>
        <w:t>Following the Reorganization Transactions, this offering and the application of all of the net proceeds from this offering to purchase issued and outstanding LLC Interests (and cancel the corresponding shares of common stock) from certain of the Bank Stockholders, we will hold 136,933,192 LLC Interests, and the Continuing LLC Owners will hold 85,289,031 LLC Interests, representing 61.6% and 38.4%, respectively, of the outstanding LLC Interests of TWM LLC.</w:t>
      </w:r>
    </w:p>
    <w:p>
      <w:pPr>
        <w:spacing w:after="0" w:line="80" w:lineRule="exact"/>
        <w:rPr>
          <w:rFonts w:ascii="Arial" w:cs="Arial" w:eastAsia="Arial" w:hAnsi="Arial"/>
          <w:sz w:val="17"/>
          <w:szCs w:val="17"/>
          <w:color w:val="auto"/>
        </w:rPr>
      </w:pPr>
    </w:p>
    <w:p>
      <w:pPr>
        <w:ind w:left="1620" w:right="799"/>
        <w:spacing w:after="0" w:line="272" w:lineRule="auto"/>
        <w:rPr>
          <w:rFonts w:ascii="Arial" w:cs="Arial" w:eastAsia="Arial" w:hAnsi="Arial"/>
          <w:sz w:val="17"/>
          <w:szCs w:val="17"/>
          <w:color w:val="auto"/>
        </w:rPr>
      </w:pPr>
      <w:r>
        <w:rPr>
          <w:rFonts w:ascii="Arial" w:cs="Arial" w:eastAsia="Arial" w:hAnsi="Arial"/>
          <w:sz w:val="17"/>
          <w:szCs w:val="17"/>
          <w:color w:val="auto"/>
        </w:rPr>
        <w:t>Following the completion of this offering, the LLC Interests held by the Continuing LLC Owners, representing the non-controlling interest, will be redeemable at the election of the members, for shares of Class A common stock or Class B common stock, as the case may be, on a one-for-one basis or, at our option, a cash payment in accordance with the terms of the TWM LLC Agreement. See “Certain Relationships and Related Party Transactions — Certain Transactions Entered Into in Connection With This Offering—TWM LLC Agreement” for additional information regarding redemption rights of holders of LLC Interests and exchange rights of holders of Class D common stock.</w:t>
      </w:r>
    </w:p>
    <w:p>
      <w:pPr>
        <w:spacing w:after="0" w:line="123" w:lineRule="exact"/>
        <w:rPr>
          <w:rFonts w:ascii="Arial" w:cs="Arial" w:eastAsia="Arial" w:hAnsi="Arial"/>
          <w:sz w:val="17"/>
          <w:szCs w:val="17"/>
          <w:color w:val="auto"/>
        </w:rPr>
      </w:pPr>
    </w:p>
    <w:p>
      <w:pPr>
        <w:ind w:left="1620" w:right="899" w:hanging="352"/>
        <w:spacing w:after="0" w:line="308" w:lineRule="auto"/>
        <w:tabs>
          <w:tab w:leader="none" w:pos="1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following sets forth the estimated sources and uses of funds in connection with this offering, assuming the issuance of 40,000,000 shares of Class A common stock at a price of $27.00 per share:</w:t>
      </w:r>
    </w:p>
    <w:p>
      <w:pPr>
        <w:spacing w:after="0" w:line="38"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i w:val="1"/>
          <w:iCs w:val="1"/>
          <w:color w:val="auto"/>
        </w:rPr>
        <w:t>Sources</w:t>
      </w:r>
      <w:r>
        <w:rPr>
          <w:rFonts w:ascii="Arial" w:cs="Arial" w:eastAsia="Arial" w:hAnsi="Arial"/>
          <w:sz w:val="18"/>
          <w:szCs w:val="18"/>
          <w:color w:val="auto"/>
        </w:rPr>
        <w:t>:</w:t>
      </w:r>
    </w:p>
    <w:p>
      <w:pPr>
        <w:spacing w:after="0" w:line="198" w:lineRule="exact"/>
        <w:rPr>
          <w:rFonts w:ascii="Arial" w:cs="Arial" w:eastAsia="Arial" w:hAnsi="Arial"/>
          <w:sz w:val="17"/>
          <w:szCs w:val="17"/>
          <w:color w:val="auto"/>
        </w:rPr>
      </w:pPr>
    </w:p>
    <w:p>
      <w:pPr>
        <w:ind w:left="2340" w:hanging="351"/>
        <w:spacing w:after="0"/>
        <w:tabs>
          <w:tab w:leader="none" w:pos="23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$1,080.0 million of gross cash proceeds to us from the offering of Class A common stock; and</w:t>
      </w:r>
    </w:p>
    <w:p>
      <w:pPr>
        <w:spacing w:after="0" w:line="196" w:lineRule="exact"/>
        <w:rPr>
          <w:rFonts w:ascii="Arial" w:cs="Arial" w:eastAsia="Arial" w:hAnsi="Arial"/>
          <w:sz w:val="17"/>
          <w:szCs w:val="17"/>
          <w:color w:val="auto"/>
        </w:rPr>
      </w:pPr>
    </w:p>
    <w:p>
      <w:pPr>
        <w:ind w:left="2340" w:hanging="351"/>
        <w:spacing w:after="0"/>
        <w:tabs>
          <w:tab w:leader="none" w:pos="23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$5.7 million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Uses:</w:t>
      </w:r>
    </w:p>
    <w:p>
      <w:pPr>
        <w:spacing w:after="0" w:line="198" w:lineRule="exact"/>
        <w:rPr>
          <w:sz w:val="20"/>
          <w:szCs w:val="20"/>
          <w:color w:val="auto"/>
        </w:rPr>
      </w:pPr>
    </w:p>
    <w:p>
      <w:pPr>
        <w:ind w:left="2340" w:hanging="351"/>
        <w:spacing w:after="0"/>
        <w:tabs>
          <w:tab w:leader="none" w:pos="23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we will use $70.2 million to pay underwriting discounts and commissions;</w:t>
      </w:r>
    </w:p>
    <w:p>
      <w:pPr>
        <w:spacing w:after="0" w:line="184" w:lineRule="exact"/>
        <w:rPr>
          <w:rFonts w:ascii="Arial" w:cs="Arial" w:eastAsia="Arial" w:hAnsi="Arial"/>
          <w:sz w:val="18"/>
          <w:szCs w:val="18"/>
          <w:color w:val="auto"/>
        </w:rPr>
      </w:pPr>
    </w:p>
    <w:p>
      <w:pPr>
        <w:ind w:left="2340" w:right="759" w:hanging="351"/>
        <w:spacing w:after="0" w:line="279" w:lineRule="auto"/>
        <w:tabs>
          <w:tab w:leader="none" w:pos="23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we will use $1,009.8 million to purchase issued and outstanding LLC Interests (and cancel the corresponding shares of common stock) from certain of the Bank Stockholders, at a purchase price per interest equal to the initial public offering price per share of Class A common stock, less the underwriting discounts and commissions payable thereon; and</w:t>
      </w:r>
    </w:p>
    <w:p>
      <w:pPr>
        <w:spacing w:after="0" w:line="130" w:lineRule="exact"/>
        <w:rPr>
          <w:rFonts w:ascii="Arial" w:cs="Arial" w:eastAsia="Arial" w:hAnsi="Arial"/>
          <w:sz w:val="17"/>
          <w:szCs w:val="17"/>
          <w:color w:val="auto"/>
        </w:rPr>
      </w:pPr>
    </w:p>
    <w:p>
      <w:pPr>
        <w:ind w:left="2340" w:right="779" w:hanging="351"/>
        <w:spacing w:after="0" w:line="276" w:lineRule="auto"/>
        <w:tabs>
          <w:tab w:leader="none" w:pos="23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we will cause TWM LLC to use $5.7 million of cash on hand to pay a portion of estimated offering expenses. We are deferring certain costs in our historical financial statements directly associated with this offering, including certain legal, accounting and other related expenses, which have been recorded in other assets on our unaudited pro forma consolidated statement of financial condition. The total amount of estimated offering expenses is $12.1 million.</w:t>
      </w:r>
    </w:p>
    <w:p>
      <w:pPr>
        <w:spacing w:after="0" w:line="118" w:lineRule="exact"/>
        <w:rPr>
          <w:rFonts w:ascii="Arial" w:cs="Arial" w:eastAsia="Arial" w:hAnsi="Arial"/>
          <w:sz w:val="17"/>
          <w:szCs w:val="17"/>
          <w:color w:val="auto"/>
        </w:rPr>
      </w:pPr>
    </w:p>
    <w:p>
      <w:pPr>
        <w:ind w:left="1620" w:hanging="352"/>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Reflects the effects on additional paid-in capital relating to the following (in thousands):</w:t>
      </w:r>
    </w:p>
    <w:p>
      <w:pPr>
        <w:spacing w:after="0" w:line="154"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offering of Class A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1,080,000</w:t>
            </w:r>
          </w:p>
        </w:tc>
        <w:tc>
          <w:tcPr>
            <w:tcW w:w="60" w:type="dxa"/>
            <w:vAlign w:val="bottom"/>
          </w:tcPr>
          <w:p>
            <w:pPr>
              <w:spacing w:after="0"/>
              <w:rPr>
                <w:sz w:val="17"/>
                <w:szCs w:val="17"/>
                <w:color w:val="auto"/>
              </w:rPr>
            </w:pPr>
          </w:p>
        </w:tc>
      </w:tr>
      <w:tr>
        <w:trPr>
          <w:trHeight w:val="257"/>
        </w:trPr>
        <w:tc>
          <w:tcPr>
            <w:tcW w:w="5900" w:type="dxa"/>
            <w:vAlign w:val="bottom"/>
            <w:gridSpan w:val="2"/>
          </w:tcPr>
          <w:p>
            <w:pPr>
              <w:spacing w:after="0"/>
              <w:rPr>
                <w:sz w:val="20"/>
                <w:szCs w:val="20"/>
                <w:color w:val="auto"/>
              </w:rPr>
            </w:pPr>
            <w:r>
              <w:rPr>
                <w:rFonts w:ascii="Arial" w:cs="Arial" w:eastAsia="Arial" w:hAnsi="Arial"/>
                <w:sz w:val="18"/>
                <w:szCs w:val="18"/>
                <w:color w:val="auto"/>
              </w:rPr>
              <w:t>Payment of underwriting discounts and commissions</w:t>
            </w: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(70,200)</w:t>
            </w:r>
          </w:p>
        </w:tc>
      </w:tr>
      <w:tr>
        <w:trPr>
          <w:trHeight w:val="229"/>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9"/>
              </w:rPr>
              <w:t>Purchase of LLC Interests (and cancellation of shares of Class C common</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stock or Class D common stock, as the case may be) from certain of the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Stockholders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(1,009,800)</w:t>
            </w:r>
          </w:p>
        </w:tc>
        <w:tc>
          <w:tcPr>
            <w:tcW w:w="60" w:type="dxa"/>
            <w:vAlign w:val="bottom"/>
          </w:tcPr>
          <w:p>
            <w:pPr>
              <w:spacing w:after="0"/>
              <w:rPr>
                <w:sz w:val="21"/>
                <w:szCs w:val="21"/>
                <w:color w:val="auto"/>
              </w:rPr>
            </w:pP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w w:val="99"/>
              </w:rPr>
              <w:t>Payment of estimated offering costs other than underwriting discounts and</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(5,679)</w:t>
            </w:r>
          </w:p>
        </w:tc>
      </w:tr>
      <w:tr>
        <w:trPr>
          <w:trHeight w:val="236"/>
        </w:trPr>
        <w:tc>
          <w:tcPr>
            <w:tcW w:w="2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costs incurred in this offering from other assets to</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 (see note 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60" w:type="dxa"/>
            <w:vAlign w:val="bottom"/>
          </w:tcPr>
          <w:p>
            <w:pPr>
              <w:spacing w:after="0"/>
              <w:rPr>
                <w:sz w:val="21"/>
                <w:szCs w:val="21"/>
                <w:color w:val="auto"/>
              </w:rPr>
            </w:pP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w w:val="94"/>
              </w:rPr>
              <w:t>Difference between the deferred tax asset recognized and the Tax Receivable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Agreement liability (see note 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55,207</w:t>
            </w:r>
          </w:p>
        </w:tc>
        <w:tc>
          <w:tcPr>
            <w:tcW w:w="6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Vesting of certain tranches of the Special Option Award (see note 9)</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60" w:type="dxa"/>
            <w:vAlign w:val="bottom"/>
          </w:tcPr>
          <w:p>
            <w:pPr>
              <w:spacing w:after="0"/>
              <w:rPr>
                <w:sz w:val="22"/>
                <w:szCs w:val="22"/>
                <w:color w:val="auto"/>
              </w:rPr>
            </w:pPr>
          </w:p>
        </w:tc>
      </w:tr>
      <w:tr>
        <w:trPr>
          <w:trHeight w:val="264"/>
        </w:trPr>
        <w:tc>
          <w:tcPr>
            <w:tcW w:w="5900" w:type="dxa"/>
            <w:vAlign w:val="bottom"/>
            <w:gridSpan w:val="2"/>
          </w:tcPr>
          <w:p>
            <w:pPr>
              <w:spacing w:after="0"/>
              <w:rPr>
                <w:sz w:val="20"/>
                <w:szCs w:val="20"/>
                <w:color w:val="auto"/>
              </w:rPr>
            </w:pPr>
            <w:r>
              <w:rPr>
                <w:rFonts w:ascii="Arial" w:cs="Arial" w:eastAsia="Arial" w:hAnsi="Arial"/>
                <w:sz w:val="18"/>
                <w:szCs w:val="18"/>
                <w:color w:val="auto"/>
              </w:rPr>
              <w:t>Portion allocated to non-controlling interest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760,326</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8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822,083</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-196850</wp:posOffset>
            </wp:positionV>
            <wp:extent cx="37388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195" w:lineRule="exact"/>
        <w:rPr>
          <w:sz w:val="20"/>
          <w:szCs w:val="20"/>
          <w:color w:val="auto"/>
        </w:rPr>
      </w:pPr>
    </w:p>
    <w:p>
      <w:pPr>
        <w:ind w:left="1620" w:right="779" w:hanging="352"/>
        <w:spacing w:after="0" w:line="287" w:lineRule="auto"/>
        <w:tabs>
          <w:tab w:leader="none" w:pos="1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adjustment represents the compensation expense we expect to incur concurrently with the completion of this offering related to the Special Option Award, pursuant to which we granted 18,137,082 options under the Option Plan with tranches vesting between January 1, 2019 and January 1, 2022. See “Management’s Discussion &amp; Analysis of Financial Condition and Results of Operations — Critical Accounting Policies and Estimates — Stock-Based Compensation” for additional information. Some of the tranches have accelerated vesting in the event of an 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As discussed in the notes to the unaudited pro forma consolidated statement of operations, additional compensation expense for the Special Option Award will be recorded in periods following this offering in accordance with the vesting provisions of the applicable underlying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Pro Forma Consolidated Statement of Operation for the Year Ended December 31, 2018</w:t>
      </w:r>
    </w:p>
    <w:p>
      <w:pPr>
        <w:spacing w:after="0" w:line="333"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Historical Tradeweb</w:t>
      </w:r>
    </w:p>
    <w:p>
      <w:pPr>
        <w:ind w:left="3960"/>
        <w:spacing w:after="0"/>
        <w:rPr>
          <w:sz w:val="20"/>
          <w:szCs w:val="20"/>
          <w:color w:val="auto"/>
        </w:rPr>
      </w:pPr>
      <w:r>
        <w:rPr>
          <w:rFonts w:ascii="Arial" w:cs="Arial" w:eastAsia="Arial" w:hAnsi="Arial"/>
          <w:sz w:val="13"/>
          <w:szCs w:val="13"/>
          <w:b w:val="1"/>
          <w:bCs w:val="1"/>
          <w:color w:val="auto"/>
        </w:rPr>
        <w:t>Markets LLC</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79"/>
              </w:rPr>
              <w:t>Successor</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center"/>
              <w:ind w:right="9"/>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right w:val="single" w:sz="8" w:color="auto"/>
            </w:tcBorders>
            <w:gridSpan w:val="4"/>
          </w:tcPr>
          <w:p>
            <w:pPr>
              <w:ind w:left="80"/>
              <w:spacing w:after="0" w:line="131" w:lineRule="exact"/>
              <w:rPr>
                <w:sz w:val="20"/>
                <w:szCs w:val="20"/>
                <w:color w:val="auto"/>
              </w:rPr>
            </w:pPr>
            <w:r>
              <w:rPr>
                <w:rFonts w:ascii="Arial" w:cs="Arial" w:eastAsia="Arial" w:hAnsi="Arial"/>
                <w:sz w:val="13"/>
                <w:szCs w:val="13"/>
                <w:b w:val="1"/>
                <w:bCs w:val="1"/>
                <w:color w:val="auto"/>
              </w:rPr>
              <w:t>October 1,</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89"/>
              <w:spacing w:after="0" w:line="131" w:lineRule="exact"/>
              <w:rPr>
                <w:sz w:val="20"/>
                <w:szCs w:val="20"/>
                <w:color w:val="auto"/>
              </w:rPr>
            </w:pPr>
            <w:r>
              <w:rPr>
                <w:rFonts w:ascii="Arial" w:cs="Arial" w:eastAsia="Arial" w:hAnsi="Arial"/>
                <w:sz w:val="13"/>
                <w:szCs w:val="13"/>
                <w:b w:val="1"/>
                <w:bCs w:val="1"/>
                <w:color w:val="auto"/>
                <w:w w:val="87"/>
              </w:rPr>
              <w:t>January 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2018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89"/>
              <w:spacing w:after="0" w:line="135" w:lineRule="exact"/>
              <w:rPr>
                <w:sz w:val="20"/>
                <w:szCs w:val="20"/>
                <w:color w:val="auto"/>
              </w:rPr>
            </w:pPr>
            <w:r>
              <w:rPr>
                <w:rFonts w:ascii="Arial" w:cs="Arial" w:eastAsia="Arial" w:hAnsi="Arial"/>
                <w:sz w:val="13"/>
                <w:szCs w:val="13"/>
                <w:b w:val="1"/>
                <w:bCs w:val="1"/>
                <w:color w:val="auto"/>
                <w:w w:val="89"/>
              </w:rPr>
              <w:t>2018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As Adjusted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Pro Forma</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0" w:type="dxa"/>
            <w:vAlign w:val="bottom"/>
          </w:tcPr>
          <w:p>
            <w:pPr>
              <w:spacing w:after="0"/>
              <w:rPr>
                <w:sz w:val="11"/>
                <w:szCs w:val="11"/>
                <w:color w:val="auto"/>
              </w:rPr>
            </w:pPr>
          </w:p>
        </w:tc>
        <w:tc>
          <w:tcPr>
            <w:tcW w:w="840" w:type="dxa"/>
            <w:vAlign w:val="bottom"/>
            <w:gridSpan w:val="2"/>
          </w:tcPr>
          <w:p>
            <w:pPr>
              <w:jc w:val="center"/>
              <w:ind w:right="29"/>
              <w:spacing w:after="0" w:line="135" w:lineRule="exact"/>
              <w:rPr>
                <w:sz w:val="20"/>
                <w:szCs w:val="20"/>
                <w:color w:val="auto"/>
              </w:rPr>
            </w:pPr>
            <w:r>
              <w:rPr>
                <w:rFonts w:ascii="Arial" w:cs="Arial" w:eastAsia="Arial" w:hAnsi="Arial"/>
                <w:sz w:val="13"/>
                <w:szCs w:val="13"/>
                <w:b w:val="1"/>
                <w:bCs w:val="1"/>
                <w:color w:val="auto"/>
                <w:w w:val="83"/>
              </w:rPr>
              <w:t>September 30,</w:t>
            </w:r>
          </w:p>
        </w:tc>
        <w:tc>
          <w:tcPr>
            <w:tcW w:w="1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Refinitiv</w:t>
            </w:r>
          </w:p>
        </w:tc>
        <w:tc>
          <w:tcPr>
            <w:tcW w:w="6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Pro Forma</w:t>
            </w:r>
          </w:p>
        </w:tc>
        <w:tc>
          <w:tcPr>
            <w:tcW w:w="980" w:type="dxa"/>
            <w:vAlign w:val="bottom"/>
            <w:gridSpan w:val="4"/>
          </w:tcPr>
          <w:p>
            <w:pPr>
              <w:jc w:val="right"/>
              <w:ind w:right="100"/>
              <w:spacing w:after="0" w:line="135" w:lineRule="exact"/>
              <w:rPr>
                <w:sz w:val="20"/>
                <w:szCs w:val="20"/>
                <w:color w:val="auto"/>
              </w:rPr>
            </w:pPr>
            <w:r>
              <w:rPr>
                <w:rFonts w:ascii="Arial" w:cs="Arial" w:eastAsia="Arial" w:hAnsi="Arial"/>
                <w:sz w:val="13"/>
                <w:szCs w:val="13"/>
                <w:b w:val="1"/>
                <w:bCs w:val="1"/>
                <w:color w:val="auto"/>
                <w:w w:val="91"/>
              </w:rPr>
              <w:t>Reorganization</w:t>
            </w:r>
          </w:p>
        </w:tc>
        <w:tc>
          <w:tcPr>
            <w:tcW w:w="80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Before this</w:t>
            </w:r>
          </w:p>
        </w:tc>
        <w:tc>
          <w:tcPr>
            <w:tcW w:w="140" w:type="dxa"/>
            <w:vAlign w:val="bottom"/>
          </w:tcPr>
          <w:p>
            <w:pPr>
              <w:spacing w:after="0"/>
              <w:rPr>
                <w:sz w:val="11"/>
                <w:szCs w:val="11"/>
                <w:color w:val="auto"/>
              </w:rPr>
            </w:pPr>
          </w:p>
        </w:tc>
        <w:tc>
          <w:tcPr>
            <w:tcW w:w="760" w:type="dxa"/>
            <w:vAlign w:val="bottom"/>
            <w:gridSpan w:val="3"/>
          </w:tcPr>
          <w:p>
            <w:pPr>
              <w:jc w:val="right"/>
              <w:ind w:right="280"/>
              <w:spacing w:after="0" w:line="135" w:lineRule="exact"/>
              <w:rPr>
                <w:sz w:val="20"/>
                <w:szCs w:val="20"/>
                <w:color w:val="auto"/>
              </w:rPr>
            </w:pPr>
            <w:r>
              <w:rPr>
                <w:rFonts w:ascii="Arial" w:cs="Arial" w:eastAsia="Arial" w:hAnsi="Arial"/>
                <w:sz w:val="13"/>
                <w:szCs w:val="13"/>
                <w:b w:val="1"/>
                <w:bCs w:val="1"/>
                <w:color w:val="auto"/>
                <w:w w:val="90"/>
              </w:rPr>
              <w:t>Offering</w:t>
            </w: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Tradeweb</w:t>
            </w:r>
          </w:p>
        </w:tc>
        <w:tc>
          <w:tcPr>
            <w:tcW w:w="0" w:type="dxa"/>
            <w:vAlign w:val="bottom"/>
          </w:tcPr>
          <w:p>
            <w:pPr>
              <w:spacing w:after="0"/>
              <w:rPr>
                <w:sz w:val="1"/>
                <w:szCs w:val="1"/>
                <w:color w:val="auto"/>
              </w:rPr>
            </w:pPr>
          </w:p>
        </w:tc>
      </w:tr>
      <w:tr>
        <w:trPr>
          <w:trHeight w:val="174"/>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9"/>
              <w:spacing w:after="0"/>
              <w:rPr>
                <w:sz w:val="20"/>
                <w:szCs w:val="20"/>
                <w:color w:val="auto"/>
              </w:rPr>
            </w:pPr>
            <w:r>
              <w:rPr>
                <w:rFonts w:ascii="Arial" w:cs="Arial" w:eastAsia="Arial" w:hAnsi="Arial"/>
                <w:sz w:val="13"/>
                <w:szCs w:val="13"/>
                <w:b w:val="1"/>
                <w:bCs w:val="1"/>
                <w:color w:val="auto"/>
                <w:w w:val="82"/>
              </w:rPr>
              <w:t>2018</w:t>
            </w:r>
          </w:p>
        </w:tc>
        <w:tc>
          <w:tcPr>
            <w:tcW w:w="1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w w:val="82"/>
              </w:rPr>
              <w:t>2018</w:t>
            </w:r>
          </w:p>
        </w:tc>
        <w:tc>
          <w:tcPr>
            <w:tcW w:w="90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1"/>
              </w:rPr>
              <w:t>Adjustments</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TWM LLC</w:t>
            </w:r>
          </w:p>
        </w:tc>
        <w:tc>
          <w:tcPr>
            <w:tcW w:w="9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5"/>
                <w:szCs w:val="15"/>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Offering</w:t>
            </w:r>
          </w:p>
        </w:tc>
        <w:tc>
          <w:tcPr>
            <w:tcW w:w="90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3"/>
              </w:rPr>
              <w:t>Adjustments</w:t>
            </w:r>
          </w:p>
        </w:tc>
        <w:tc>
          <w:tcPr>
            <w:tcW w:w="8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3"/>
              </w:rPr>
              <w:t>Markets Inc.</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11"/>
          </w:tcPr>
          <w:p>
            <w:pPr>
              <w:jc w:val="right"/>
              <w:ind w:right="17"/>
              <w:spacing w:after="0"/>
              <w:rPr>
                <w:sz w:val="20"/>
                <w:szCs w:val="20"/>
                <w:color w:val="auto"/>
              </w:rPr>
            </w:pPr>
            <w:r>
              <w:rPr>
                <w:rFonts w:ascii="Arial" w:cs="Arial" w:eastAsia="Arial" w:hAnsi="Arial"/>
                <w:sz w:val="13"/>
                <w:szCs w:val="13"/>
                <w:b w:val="1"/>
                <w:bCs w:val="1"/>
                <w:color w:val="auto"/>
              </w:rPr>
              <w:t>(in thousands, except per share data)</w:t>
            </w:r>
          </w:p>
        </w:tc>
        <w:tc>
          <w:tcPr>
            <w:tcW w:w="4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20"/>
                <w:szCs w:val="20"/>
                <w:color w:val="auto"/>
              </w:rPr>
            </w:pPr>
            <w:r>
              <w:rPr>
                <w:rFonts w:ascii="Arial" w:cs="Arial" w:eastAsia="Arial" w:hAnsi="Arial"/>
                <w:sz w:val="14"/>
                <w:szCs w:val="14"/>
                <w:color w:val="auto"/>
              </w:rPr>
              <w:t>Transaction fees</w:t>
            </w:r>
          </w:p>
        </w:tc>
        <w:tc>
          <w:tcPr>
            <w:tcW w:w="260" w:type="dxa"/>
            <w:vAlign w:val="bottom"/>
            <w:gridSpan w:val="3"/>
          </w:tcPr>
          <w:p>
            <w:pPr>
              <w:ind w:left="20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97,130</w:t>
            </w:r>
          </w:p>
        </w:tc>
        <w:tc>
          <w:tcPr>
            <w:tcW w:w="160" w:type="dxa"/>
            <w:vAlign w:val="bottom"/>
            <w:tcBorders>
              <w:right w:val="single" w:sz="8" w:color="auto"/>
            </w:tcBorders>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273,751</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370,881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370,881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370,881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Subscription fees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33,052</w:t>
            </w:r>
          </w:p>
        </w:tc>
        <w:tc>
          <w:tcPr>
            <w:tcW w:w="160" w:type="dxa"/>
            <w:vAlign w:val="bottom"/>
            <w:tcBorders>
              <w:right w:val="single" w:sz="8" w:color="auto"/>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107,130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140,182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140,182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20"/>
                <w:szCs w:val="20"/>
                <w:color w:val="auto"/>
              </w:rPr>
            </w:pPr>
            <w:r>
              <w:rPr>
                <w:rFonts w:ascii="Arial" w:cs="Arial" w:eastAsia="Arial" w:hAnsi="Arial"/>
                <w:sz w:val="14"/>
                <w:szCs w:val="14"/>
                <w:color w:val="auto"/>
              </w:rPr>
              <w:t>Commissions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32,840</w:t>
            </w:r>
          </w:p>
        </w:tc>
        <w:tc>
          <w:tcPr>
            <w:tcW w:w="1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79,830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112,670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112,670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112,670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Refinitiv market data fees (Thomson Reuters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market data fees in the Predecessor period)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13,467</w:t>
            </w: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36,851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16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8,209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revenue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178,637</w:t>
            </w: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505,771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684,408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684,408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684,408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4"/>
                <w:szCs w:val="14"/>
                <w:color w:val="auto"/>
              </w:rPr>
              <w:t>Contingent consideration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(26,830)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(26,830)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5"/>
              </w:rPr>
              <w:t>(26,830)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(26,830)</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revenue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178,637</w:t>
            </w:r>
          </w:p>
        </w:tc>
        <w:tc>
          <w:tcPr>
            <w:tcW w:w="1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478,941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657,578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657,578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9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Employee compensation and benefits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80,436</w:t>
            </w:r>
          </w:p>
        </w:tc>
        <w:tc>
          <w:tcPr>
            <w:tcW w:w="16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209,053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289,489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289,489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4"/>
                <w:szCs w:val="14"/>
                <w:color w:val="auto"/>
              </w:rPr>
              <w:t>6,874</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33,020</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48,808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line="203" w:lineRule="exact"/>
              <w:rPr>
                <w:sz w:val="20"/>
                <w:szCs w:val="20"/>
                <w:color w:val="auto"/>
              </w:rPr>
            </w:pPr>
            <w:r>
              <w:rPr>
                <w:rFonts w:ascii="Arial" w:cs="Arial" w:eastAsia="Arial" w:hAnsi="Arial"/>
                <w:sz w:val="14"/>
                <w:szCs w:val="14"/>
                <w:color w:val="auto"/>
                <w:w w:val="93"/>
              </w:rPr>
              <w:t>47,571</w:t>
            </w:r>
            <w:r>
              <w:rPr>
                <w:rFonts w:ascii="Arial" w:cs="Arial" w:eastAsia="Arial" w:hAnsi="Arial"/>
                <w:sz w:val="21"/>
                <w:szCs w:val="21"/>
                <w:color w:val="auto"/>
                <w:w w:val="93"/>
                <w:vertAlign w:val="superscript"/>
              </w:rPr>
              <w:t>(1)</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129,399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129,399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11,837</w:t>
            </w:r>
          </w:p>
        </w:tc>
        <w:tc>
          <w:tcPr>
            <w:tcW w:w="16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23,056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4"/>
                <w:szCs w:val="14"/>
                <w:color w:val="auto"/>
              </w:rPr>
              <w:t>Technology and communications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9,907</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26,598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36,505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36,505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16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20,360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4"/>
                <w:szCs w:val="14"/>
                <w:color w:val="auto"/>
              </w:rPr>
              <w:t>Occupancy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3,308</w:t>
            </w: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10,732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line="230" w:lineRule="exact"/>
              <w:rPr>
                <w:sz w:val="20"/>
                <w:szCs w:val="20"/>
                <w:color w:val="auto"/>
              </w:rPr>
            </w:pPr>
            <w:r>
              <w:rPr>
                <w:rFonts w:ascii="Arial" w:cs="Arial" w:eastAsia="Arial" w:hAnsi="Arial"/>
                <w:sz w:val="14"/>
                <w:szCs w:val="14"/>
                <w:color w:val="auto"/>
              </w:rPr>
              <w:t>(301)</w:t>
            </w:r>
            <w:r>
              <w:rPr>
                <w:rFonts w:ascii="Arial" w:cs="Arial" w:eastAsia="Arial" w:hAnsi="Arial"/>
                <w:sz w:val="21"/>
                <w:szCs w:val="21"/>
                <w:color w:val="auto"/>
                <w:vertAlign w:val="superscript"/>
              </w:rPr>
              <w:t>(1)</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13,739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expenses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146,702</w:t>
            </w:r>
          </w:p>
        </w:tc>
        <w:tc>
          <w:tcPr>
            <w:tcW w:w="1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338,607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47,270</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532,579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532,579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31,935</w:t>
            </w: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140,334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(47,270)</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124,999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124,999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(6,874)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118,125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00" w:type="dxa"/>
            <w:vAlign w:val="bottom"/>
          </w:tcPr>
          <w:p>
            <w:pPr>
              <w:ind w:left="180"/>
              <w:spacing w:after="0"/>
              <w:rPr>
                <w:sz w:val="20"/>
                <w:szCs w:val="20"/>
                <w:color w:val="auto"/>
              </w:rPr>
            </w:pPr>
            <w:r>
              <w:rPr>
                <w:rFonts w:ascii="Arial" w:cs="Arial" w:eastAsia="Arial" w:hAnsi="Arial"/>
                <w:sz w:val="14"/>
                <w:szCs w:val="14"/>
                <w:color w:val="auto"/>
              </w:rPr>
              <w:t>Income before taxes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32,722</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142,060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(47,270)</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127,512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127,512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(6,874)</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(3,415)</w:t>
            </w: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(15,315)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line="230" w:lineRule="exact"/>
              <w:rPr>
                <w:sz w:val="20"/>
                <w:szCs w:val="20"/>
                <w:color w:val="auto"/>
              </w:rPr>
            </w:pPr>
            <w:r>
              <w:rPr>
                <w:rFonts w:ascii="Arial" w:cs="Arial" w:eastAsia="Arial" w:hAnsi="Arial"/>
                <w:sz w:val="14"/>
                <w:szCs w:val="14"/>
                <w:color w:val="auto"/>
                <w:w w:val="97"/>
              </w:rPr>
              <w:t>(2,537)</w:t>
            </w:r>
            <w:r>
              <w:rPr>
                <w:rFonts w:ascii="Arial" w:cs="Arial" w:eastAsia="Arial" w:hAnsi="Arial"/>
                <w:sz w:val="21"/>
                <w:szCs w:val="21"/>
                <w:color w:val="auto"/>
                <w:w w:val="97"/>
                <w:vertAlign w:val="superscript"/>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5"/>
              </w:rPr>
              <w:t>(17,852)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line="230" w:lineRule="exact"/>
              <w:rPr>
                <w:sz w:val="20"/>
                <w:szCs w:val="20"/>
                <w:color w:val="auto"/>
              </w:rPr>
            </w:pPr>
            <w:r>
              <w:rPr>
                <w:rFonts w:ascii="Arial" w:cs="Arial" w:eastAsia="Arial" w:hAnsi="Arial"/>
                <w:sz w:val="14"/>
                <w:szCs w:val="14"/>
                <w:color w:val="auto"/>
                <w:w w:val="97"/>
              </w:rPr>
              <w:t>(3,863)</w:t>
            </w:r>
            <w:r>
              <w:rPr>
                <w:rFonts w:ascii="Arial" w:cs="Arial" w:eastAsia="Arial" w:hAnsi="Arial"/>
                <w:sz w:val="21"/>
                <w:szCs w:val="21"/>
                <w:color w:val="auto"/>
                <w:w w:val="97"/>
                <w:vertAlign w:val="superscript"/>
              </w:rPr>
              <w:t>(2)</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80" w:type="dxa"/>
            <w:vAlign w:val="bottom"/>
            <w:gridSpan w:val="2"/>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29,307</w:t>
            </w: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130,160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(47,270)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112,197</w:t>
            </w:r>
          </w:p>
        </w:tc>
        <w:tc>
          <w:tcPr>
            <w:tcW w:w="1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(2,537)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109,660</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(10,737)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98,923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vMerge w:val="restart"/>
            <w:shd w:val="clear" w:color="auto" w:fill="CCEEFF"/>
          </w:tcPr>
          <w:p>
            <w:pPr>
              <w:spacing w:after="0" w:line="150" w:lineRule="exact"/>
              <w:rPr>
                <w:sz w:val="20"/>
                <w:szCs w:val="20"/>
                <w:color w:val="auto"/>
              </w:rPr>
            </w:pPr>
            <w:r>
              <w:rPr>
                <w:rFonts w:ascii="Arial" w:cs="Arial" w:eastAsia="Arial" w:hAnsi="Arial"/>
                <w:sz w:val="14"/>
                <w:szCs w:val="14"/>
                <w:color w:val="auto"/>
              </w:rPr>
              <w:t>Net income attributable to non-controlling</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00" w:type="dxa"/>
            <w:vAlign w:val="bottom"/>
            <w:vMerge w:val="continue"/>
            <w:shd w:val="clear" w:color="auto" w:fill="CCEEFF"/>
          </w:tcPr>
          <w:p>
            <w:pPr>
              <w:spacing w:after="0"/>
              <w:rPr>
                <w:sz w:val="11"/>
                <w:szCs w:val="11"/>
                <w:color w:val="auto"/>
              </w:rPr>
            </w:pPr>
          </w:p>
        </w:tc>
        <w:tc>
          <w:tcPr>
            <w:tcW w:w="180" w:type="dxa"/>
            <w:vAlign w:val="bottom"/>
            <w:gridSpan w:val="2"/>
            <w:vMerge w:val="restart"/>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vMerge w:val="restart"/>
            <w:shd w:val="clear" w:color="auto" w:fill="CCEEFF"/>
          </w:tcPr>
          <w:p>
            <w:pPr>
              <w:spacing w:after="0"/>
              <w:rPr>
                <w:sz w:val="11"/>
                <w:szCs w:val="11"/>
                <w:color w:val="auto"/>
              </w:rPr>
            </w:pPr>
          </w:p>
        </w:tc>
        <w:tc>
          <w:tcPr>
            <w:tcW w:w="80" w:type="dxa"/>
            <w:vAlign w:val="bottom"/>
            <w:tcBorders>
              <w:right w:val="single" w:sz="8" w:color="CCEEFF"/>
            </w:tcBorders>
            <w:vMerge w:val="restart"/>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93"/>
              </w:rPr>
              <w:t>63,279</w:t>
            </w:r>
            <w:r>
              <w:rPr>
                <w:rFonts w:ascii="Arial" w:cs="Arial" w:eastAsia="Arial" w:hAnsi="Arial"/>
                <w:sz w:val="21"/>
                <w:szCs w:val="21"/>
                <w:color w:val="auto"/>
                <w:w w:val="93"/>
                <w:vertAlign w:val="superscript"/>
              </w:rPr>
              <w:t>(3)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63,279</w:t>
            </w:r>
          </w:p>
        </w:tc>
        <w:tc>
          <w:tcPr>
            <w:tcW w:w="12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86"/>
              </w:rPr>
              <w:t>(22,856)</w:t>
            </w:r>
            <w:r>
              <w:rPr>
                <w:rFonts w:ascii="Arial" w:cs="Arial" w:eastAsia="Arial" w:hAnsi="Arial"/>
                <w:sz w:val="21"/>
                <w:szCs w:val="21"/>
                <w:color w:val="auto"/>
                <w:w w:val="86"/>
                <w:vertAlign w:val="superscript"/>
              </w:rPr>
              <w:t>(3)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40,423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18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tcBorders>
              <w:right w:val="single" w:sz="8" w:color="auto"/>
            </w:tcBorders>
            <w:vMerge w:val="continue"/>
            <w:shd w:val="clear" w:color="auto" w:fill="CCEEFF"/>
          </w:tcPr>
          <w:p>
            <w:pPr>
              <w:spacing w:after="0"/>
              <w:rPr>
                <w:sz w:val="15"/>
                <w:szCs w:val="15"/>
                <w:color w:val="auto"/>
              </w:rPr>
            </w:pPr>
          </w:p>
        </w:tc>
        <w:tc>
          <w:tcPr>
            <w:tcW w:w="8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00" w:type="dxa"/>
            <w:vAlign w:val="bottom"/>
            <w:tcBorders>
              <w:right w:val="single" w:sz="8" w:color="CCEEFF"/>
            </w:tcBorders>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4"/>
                <w:szCs w:val="14"/>
                <w:color w:val="auto"/>
                <w:w w:val="94"/>
              </w:rPr>
              <w:t>Net income attributable to Tradeweb Markets Inc.</w:t>
            </w:r>
          </w:p>
        </w:tc>
        <w:tc>
          <w:tcPr>
            <w:tcW w:w="260" w:type="dxa"/>
            <w:vAlign w:val="bottom"/>
            <w:gridSpan w:val="3"/>
          </w:tcPr>
          <w:p>
            <w:pPr>
              <w:ind w:left="200"/>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(47,270)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112,197</w:t>
            </w:r>
          </w:p>
        </w:tc>
        <w:tc>
          <w:tcPr>
            <w:tcW w:w="10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(65,816)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46,381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12,119</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58,500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Pro forma net income per share data</w:t>
            </w:r>
            <w:r>
              <w:rPr>
                <w:rFonts w:ascii="Arial" w:cs="Arial" w:eastAsia="Arial" w:hAnsi="Arial"/>
                <w:sz w:val="21"/>
                <w:szCs w:val="21"/>
                <w:b w:val="1"/>
                <w:bCs w:val="1"/>
                <w:color w:val="auto"/>
                <w:vertAlign w:val="superscript"/>
              </w:rPr>
              <w:t>(5)</w:t>
            </w:r>
          </w:p>
        </w:tc>
        <w:tc>
          <w:tcPr>
            <w:tcW w:w="1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right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Arial" w:cs="Arial" w:eastAsia="Arial" w:hAnsi="Arial"/>
                <w:sz w:val="14"/>
                <w:szCs w:val="14"/>
                <w:color w:val="auto"/>
                <w:w w:val="93"/>
              </w:rPr>
              <w:t>Weighted-average shares of Class A and Class 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tcPr>
          <w:p>
            <w:pPr>
              <w:ind w:left="180"/>
              <w:spacing w:after="0"/>
              <w:rPr>
                <w:sz w:val="20"/>
                <w:szCs w:val="20"/>
                <w:color w:val="auto"/>
              </w:rPr>
            </w:pPr>
            <w:r>
              <w:rPr>
                <w:rFonts w:ascii="Arial" w:cs="Arial" w:eastAsia="Arial" w:hAnsi="Arial"/>
                <w:sz w:val="14"/>
                <w:szCs w:val="14"/>
                <w:color w:val="auto"/>
              </w:rPr>
              <w:t>common stock outstanding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136,933,192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224,790,379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Net income available to Class A and Class B</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per share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-2143125</wp:posOffset>
            </wp:positionV>
            <wp:extent cx="137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-2143125</wp:posOffset>
            </wp:positionV>
            <wp:extent cx="1631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-2143125</wp:posOffset>
            </wp:positionV>
            <wp:extent cx="2057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-2143125</wp:posOffset>
            </wp:positionV>
            <wp:extent cx="1885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-2143125</wp:posOffset>
            </wp:positionV>
            <wp:extent cx="14605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-2143125</wp:posOffset>
            </wp:positionV>
            <wp:extent cx="137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-2143125</wp:posOffset>
            </wp:positionV>
            <wp:extent cx="24612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-2451735</wp:posOffset>
            </wp:positionV>
            <wp:extent cx="137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-2451735</wp:posOffset>
            </wp:positionV>
            <wp:extent cx="1631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-2451735</wp:posOffset>
            </wp:positionV>
            <wp:extent cx="2057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-2451735</wp:posOffset>
            </wp:positionV>
            <wp:extent cx="1885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-2451735</wp:posOffset>
            </wp:positionV>
            <wp:extent cx="14605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-2451735</wp:posOffset>
            </wp:positionV>
            <wp:extent cx="137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-2451735</wp:posOffset>
            </wp:positionV>
            <wp:extent cx="24612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-3601085</wp:posOffset>
            </wp:positionV>
            <wp:extent cx="137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-3601085</wp:posOffset>
            </wp:positionV>
            <wp:extent cx="1631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-3601085</wp:posOffset>
            </wp:positionV>
            <wp:extent cx="2057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-3601085</wp:posOffset>
            </wp:positionV>
            <wp:extent cx="1885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-3601085</wp:posOffset>
            </wp:positionV>
            <wp:extent cx="1460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-3601085</wp:posOffset>
            </wp:positionV>
            <wp:extent cx="137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-3601085</wp:posOffset>
            </wp:positionV>
            <wp:extent cx="24612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-3867150</wp:posOffset>
            </wp:positionV>
            <wp:extent cx="137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-3867150</wp:posOffset>
            </wp:positionV>
            <wp:extent cx="1631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-3867150</wp:posOffset>
            </wp:positionV>
            <wp:extent cx="2057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-3867150</wp:posOffset>
            </wp:positionV>
            <wp:extent cx="1885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-3867150</wp:posOffset>
            </wp:positionV>
            <wp:extent cx="1460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-3867150</wp:posOffset>
            </wp:positionV>
            <wp:extent cx="1371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-3867150</wp:posOffset>
            </wp:positionV>
            <wp:extent cx="24612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-4819015</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-4819015</wp:posOffset>
            </wp:positionV>
            <wp:extent cx="774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-4819015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-4819015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-4819015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-4819015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-4819015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Unaudited Pro Forma Consolidated Statement of Operations.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9" w:name="page100"/>
    <w:bookmarkEnd w:id="9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Unaudited Pro Forma Consolidated Statement of Operations</w:t>
      </w:r>
    </w:p>
    <w:p>
      <w:pPr>
        <w:spacing w:after="0" w:line="108" w:lineRule="exact"/>
        <w:rPr>
          <w:sz w:val="20"/>
          <w:szCs w:val="20"/>
          <w:color w:val="auto"/>
        </w:rPr>
      </w:pPr>
    </w:p>
    <w:p>
      <w:pPr>
        <w:ind w:left="1620" w:right="779" w:hanging="352"/>
        <w:spacing w:after="0" w:line="287" w:lineRule="auto"/>
        <w:tabs>
          <w:tab w:leader="none" w:pos="1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 a result of pushdown accounting, the depreciation and amortization of tangible and intangible assets will be different due to changes in the depreciable and amortizable value and the depreciation and amortization period of the depreciating and amortizing assets. In addition, a leasehold interests liability was established, which is recognized as a reduction of occupancy expense over the remaining term of the related leases. For the 2018 Successor Period and the 2018 Predecessor Period, depreciation and amortization of tangible and intangible assets of $33.0 million and $48.8 million, respectively, and occupancy expense of $3.3 million and $10.7 million, respectively, were expensed in our audited consolidated statement of operations. If the different depreciable and amortizable values and depreciation and amortization periods and the leasehold interests liability from pushdown accounting were applied to the 2018 Predecessor Period, depreciation and amortization costs of tangible and intangible assets and occupancy expense for the year ended December 31, 2018 would have been $129.4 million and $13.7 million, respectively.</w:t>
      </w:r>
    </w:p>
    <w:p>
      <w:pPr>
        <w:spacing w:after="0" w:line="78" w:lineRule="exact"/>
        <w:rPr>
          <w:rFonts w:ascii="Arial" w:cs="Arial" w:eastAsia="Arial" w:hAnsi="Arial"/>
          <w:sz w:val="16"/>
          <w:szCs w:val="16"/>
          <w:color w:val="auto"/>
        </w:rPr>
      </w:pPr>
    </w:p>
    <w:p>
      <w:pPr>
        <w:ind w:left="1620" w:right="859" w:hanging="352"/>
        <w:spacing w:after="0" w:line="270" w:lineRule="auto"/>
        <w:tabs>
          <w:tab w:leader="none" w:pos="1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TWM LLC has been, and will continue to be, treated as a partnership for U.S. federal and state income tax purposes. As such, income generated by TWM LLC will flow through to its partners, including us, and is generally not subject to tax at the TWM LLC level. TWM LLC or some of its subsidiaries, are subject to unincorporated business taxes on income earned, or losses incurred, by conducting business in certain state and local jurisdictions and income taxes in foreign jurisdictions on certain of their operations. Additionally, some subsidiaries are treated as a C corporation for U.S. federal and state income tax purposes and are therefore subject to income taxes on their income earned or losses incurred. As a result, the unaudited pro forma consolidated statement of operations reflect adjustments to our income tax expense based on the following effective tax rate calculated as follows:</w:t>
      </w:r>
    </w:p>
    <w:p>
      <w:pPr>
        <w:spacing w:after="0" w:line="92"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gridSpan w:val="5"/>
          </w:tcPr>
          <w:p>
            <w:pPr>
              <w:jc w:val="center"/>
              <w:ind w:left="94"/>
              <w:spacing w:after="0"/>
              <w:rPr>
                <w:sz w:val="20"/>
                <w:szCs w:val="20"/>
                <w:color w:val="auto"/>
              </w:rPr>
            </w:pPr>
            <w:r>
              <w:rPr>
                <w:rFonts w:ascii="Arial" w:cs="Arial" w:eastAsia="Arial" w:hAnsi="Arial"/>
                <w:sz w:val="14"/>
                <w:szCs w:val="14"/>
                <w:b w:val="1"/>
                <w:bCs w:val="1"/>
                <w:color w:val="auto"/>
                <w:w w:val="92"/>
              </w:rPr>
              <w:t>Reorganization</w:t>
            </w:r>
          </w:p>
        </w:tc>
        <w:tc>
          <w:tcPr>
            <w:tcW w:w="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Adjustments</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Adjustments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Tradeweb ownership percentage</w:t>
            </w:r>
          </w:p>
        </w:tc>
        <w:tc>
          <w:tcPr>
            <w:tcW w:w="4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43.6%</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324"/>
        </w:trPr>
        <w:tc>
          <w:tcPr>
            <w:tcW w:w="4380" w:type="dxa"/>
            <w:vAlign w:val="bottom"/>
            <w:gridSpan w:val="2"/>
          </w:tcPr>
          <w:p>
            <w:pPr>
              <w:spacing w:after="0"/>
              <w:rPr>
                <w:sz w:val="20"/>
                <w:szCs w:val="20"/>
                <w:color w:val="auto"/>
              </w:rPr>
            </w:pPr>
            <w:r>
              <w:rPr>
                <w:rFonts w:ascii="Arial" w:cs="Arial" w:eastAsia="Arial" w:hAnsi="Arial"/>
                <w:sz w:val="18"/>
                <w:szCs w:val="18"/>
                <w:color w:val="auto"/>
              </w:rPr>
              <w:t>U.S federal income tax rate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rate attributable to non-controlling interest</w:t>
            </w:r>
          </w:p>
        </w:tc>
        <w:tc>
          <w:tcPr>
            <w:tcW w:w="14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State, local and foreign taxes, net of federal tax benefit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w:t>
            </w:r>
            <w:r>
              <w:rPr>
                <w:rFonts w:ascii="Arial" w:cs="Arial" w:eastAsia="Arial" w:hAnsi="Arial"/>
                <w:sz w:val="18"/>
                <w:szCs w:val="18"/>
                <w:u w:val="single" w:color="auto"/>
                <w:color w:val="auto"/>
                <w:w w:val="91"/>
              </w:rPr>
              <w:t>0</w:t>
            </w:r>
          </w:p>
        </w:tc>
        <w:tc>
          <w:tcPr>
            <w:tcW w:w="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-179705</wp:posOffset>
            </wp:positionV>
            <wp:extent cx="429641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9641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-805180</wp:posOffset>
            </wp:positionV>
            <wp:extent cx="37903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9" w:lineRule="exact"/>
        <w:rPr>
          <w:sz w:val="20"/>
          <w:szCs w:val="20"/>
          <w:color w:val="auto"/>
        </w:rPr>
      </w:pPr>
    </w:p>
    <w:p>
      <w:pPr>
        <w:ind w:left="1620" w:right="799" w:hanging="352"/>
        <w:spacing w:after="0" w:line="25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the financial results of TWM LLC and will report a non-controlling interest related to the LLC Interests held by the Continuing LLC Owners. Following the Reorganization Transactions and prior to the completion of this offering, we will own 43.6% of the economic interest of TWM LLC and the Continuing LLC Owners will own 56.4% economic ownership of TWM LLC, and as such, 56.4% of TWM LLC’s net income will be attributable to the non-controlling interests.</w:t>
      </w:r>
    </w:p>
    <w:p>
      <w:pPr>
        <w:spacing w:after="0" w:line="89" w:lineRule="exact"/>
        <w:rPr>
          <w:rFonts w:ascii="Arial" w:cs="Arial" w:eastAsia="Arial" w:hAnsi="Arial"/>
          <w:sz w:val="18"/>
          <w:szCs w:val="18"/>
          <w:color w:val="auto"/>
        </w:rPr>
      </w:pPr>
    </w:p>
    <w:p>
      <w:pPr>
        <w:ind w:left="1620" w:right="879"/>
        <w:spacing w:after="0" w:line="273" w:lineRule="auto"/>
        <w:rPr>
          <w:rFonts w:ascii="Arial" w:cs="Arial" w:eastAsia="Arial" w:hAnsi="Arial"/>
          <w:sz w:val="18"/>
          <w:szCs w:val="18"/>
          <w:color w:val="auto"/>
        </w:rPr>
      </w:pPr>
      <w:r>
        <w:rPr>
          <w:rFonts w:ascii="Arial" w:cs="Arial" w:eastAsia="Arial" w:hAnsi="Arial"/>
          <w:sz w:val="17"/>
          <w:szCs w:val="17"/>
          <w:color w:val="auto"/>
        </w:rPr>
        <w:t>Following the Reorganization Transactions, this offering and the application of all of the net proceeds from this offering to purchase issued and outstanding LLC Interests (and cancel the corresponding shares of common stock) from certain of the Bank Stockholders, we will own 61.6% of the economic interest of TWM LLC and will report a non-controlling interest related to the LLC Interests held by the Continuing LLC Owners, representing 38.4% economic ownership of TWM LLC, and as such, 38.4% of TWM LLC’s net income will be attributable to the non-controlling interests.</w:t>
      </w:r>
    </w:p>
    <w:p>
      <w:pPr>
        <w:spacing w:after="0" w:line="83" w:lineRule="exact"/>
        <w:rPr>
          <w:rFonts w:ascii="Arial" w:cs="Arial" w:eastAsia="Arial" w:hAnsi="Arial"/>
          <w:sz w:val="18"/>
          <w:szCs w:val="18"/>
          <w:color w:val="auto"/>
        </w:rPr>
      </w:pPr>
    </w:p>
    <w:p>
      <w:pPr>
        <w:ind w:left="1620" w:right="919" w:hanging="352"/>
        <w:spacing w:after="0" w:line="293" w:lineRule="auto"/>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adjustment represents the increase in compensation expense we expect to incur following the completion of this offering related to the Special Option Award, based on 2019 annualized expense after giving effect to the completion of this offering (excluding the expense incurred as an immediate result of this offering, which is reflected in the unaudited pro forma consolidated statement of financial condition). We have granted 18,137,082 options under the Option Plan with tranches vesting between January 1, 2019 and January 1, 2022. Some of the tranches have accelerated vesting in the event of an</w:t>
      </w:r>
    </w:p>
    <w:p>
      <w:pPr>
        <w:spacing w:after="0" w:line="3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1340"/>
        <w:spacing w:after="0" w:line="276" w:lineRule="auto"/>
        <w:rPr>
          <w:sz w:val="20"/>
          <w:szCs w:val="20"/>
          <w:color w:val="auto"/>
        </w:rPr>
      </w:pPr>
      <w:r>
        <w:rPr>
          <w:rFonts w:ascii="Arial" w:cs="Arial" w:eastAsia="Arial" w:hAnsi="Arial"/>
          <w:sz w:val="17"/>
          <w:szCs w:val="17"/>
          <w:color w:val="auto"/>
        </w:rPr>
        <w:t>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The annualized expense is based on the fair value calculation of the options using the Black-Scholes model. The assumptions applied to the model for the multiple tranches are as follows:</w:t>
      </w:r>
    </w:p>
    <w:p>
      <w:pPr>
        <w:spacing w:after="0" w:line="88"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33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2.92 – 2.99%</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Annualized volatility</w:t>
            </w:r>
          </w:p>
        </w:tc>
        <w:tc>
          <w:tcPr>
            <w:tcW w:w="3340" w:type="dxa"/>
            <w:vAlign w:val="bottom"/>
          </w:tcPr>
          <w:p>
            <w:pPr>
              <w:ind w:left="1800"/>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Annual dividend yield</w:t>
            </w:r>
          </w:p>
        </w:tc>
        <w:tc>
          <w:tcPr>
            <w:tcW w:w="33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4.02%</w:t>
            </w:r>
          </w:p>
        </w:tc>
      </w:tr>
      <w:tr>
        <w:trPr>
          <w:trHeight w:val="257"/>
        </w:trPr>
        <w:tc>
          <w:tcPr>
            <w:tcW w:w="3440" w:type="dxa"/>
            <w:vAlign w:val="bottom"/>
            <w:gridSpan w:val="2"/>
          </w:tcPr>
          <w:p>
            <w:pPr>
              <w:spacing w:after="0"/>
              <w:rPr>
                <w:sz w:val="20"/>
                <w:szCs w:val="20"/>
                <w:color w:val="auto"/>
              </w:rPr>
            </w:pPr>
            <w:r>
              <w:rPr>
                <w:rFonts w:ascii="Arial" w:cs="Arial" w:eastAsia="Arial" w:hAnsi="Arial"/>
                <w:sz w:val="18"/>
                <w:szCs w:val="18"/>
                <w:color w:val="auto"/>
              </w:rPr>
              <w:t>Term</w:t>
            </w:r>
          </w:p>
        </w:tc>
        <w:tc>
          <w:tcPr>
            <w:tcW w:w="3340" w:type="dxa"/>
            <w:vAlign w:val="bottom"/>
          </w:tcPr>
          <w:p>
            <w:pPr>
              <w:ind w:left="1800"/>
              <w:spacing w:after="0"/>
              <w:rPr>
                <w:sz w:val="20"/>
                <w:szCs w:val="20"/>
                <w:color w:val="auto"/>
              </w:rPr>
            </w:pPr>
            <w:r>
              <w:rPr>
                <w:rFonts w:ascii="Arial" w:cs="Arial" w:eastAsia="Arial" w:hAnsi="Arial"/>
                <w:sz w:val="18"/>
                <w:szCs w:val="18"/>
                <w:color w:val="auto"/>
                <w:w w:val="90"/>
              </w:rPr>
              <w:t>5.3 years – 6.7 years</w:t>
            </w:r>
          </w:p>
        </w:tc>
      </w:tr>
    </w:tbl>
    <w:p>
      <w:pPr>
        <w:spacing w:after="0" w:line="229" w:lineRule="exact"/>
        <w:rPr>
          <w:sz w:val="20"/>
          <w:szCs w:val="20"/>
          <w:color w:val="auto"/>
        </w:rPr>
      </w:pPr>
    </w:p>
    <w:p>
      <w:pPr>
        <w:ind w:left="1620" w:right="1280" w:hanging="352"/>
        <w:spacing w:after="0" w:line="285" w:lineRule="auto"/>
        <w:tabs>
          <w:tab w:leader="none" w:pos="1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 forma basic net income per share is computed by dividing the net income available to Class A and Class B common stockholders by the weighted average shares of Class A and Class B common stock outstanding during the period. Pro forma diluted net income per share is computed by adjusting the net income available to Class A and Class B common stockholders and the weighted average shares of Class A and Class B common stock outstanding to give effect to potentially dilutive securities, including LLC Interests held by the Continuing LLC Owners and certain shares of Class A common stock underlying the Special Option Award and modified PRSU awards. On December 31, 2018, most of the outstanding awards granted under the PRSU Plan were modified so they would no longer be settled in cash but instead would be settled in interests of TWM LLC. Following the completion of this offering, the PRSU Plan will be sponsored by Tradeweb Markets Inc. Shares of Class C common stock and Class D common stock are not entitled to receive any distributions or dividends and are therefore not included in the computation of pro forma basic or diluted net income per share. The weighted average share calculation assumes the LLC Interests were exchanged for shares of Class A or Class B common stock at the beginning of the period. This adjustment is made for purposes of calculating pro forma diluted net income per share only and does not necessarily reflect the amount of exchanges that may occur subsequent to this offering. The weighted average share calculation also assumes that certain awards included in the Special Option Award were issued and outstanding at the beginning of the period and modified PRSU awards were issued and outstanding on the last day of the period. The following table sets forth a reconciliation of the numerators and denominators used to compute pro forma basic and diluted net income per share.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Pro Forma</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Tradeweb Markets Inc.</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Year ended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40" w:type="dxa"/>
            <w:vAlign w:val="bottom"/>
            <w:gridSpan w:val="2"/>
          </w:tcPr>
          <w:p>
            <w:pPr>
              <w:ind w:left="1620"/>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98,923</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attributable to non-controlling interest</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(40,423)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tcPr>
          <w:p>
            <w:pPr>
              <w:ind w:left="540"/>
              <w:spacing w:after="0"/>
              <w:rPr>
                <w:sz w:val="20"/>
                <w:szCs w:val="20"/>
                <w:color w:val="auto"/>
              </w:rPr>
            </w:pPr>
            <w:r>
              <w:rPr>
                <w:rFonts w:ascii="Arial" w:cs="Arial" w:eastAsia="Arial" w:hAnsi="Arial"/>
                <w:sz w:val="18"/>
                <w:szCs w:val="18"/>
                <w:color w:val="auto"/>
                <w:w w:val="95"/>
              </w:rPr>
              <w:t>Net income attributable to Class A and Class B common stockholders – 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Shares of Class A common stock issued in this offering</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40,000,000</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 Class B common stock held by the Refinitiv Direct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Owner</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96,933,192</w:t>
            </w:r>
          </w:p>
        </w:tc>
        <w:tc>
          <w:tcPr>
            <w:tcW w:w="2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6420" w:type="dxa"/>
            <w:vAlign w:val="bottom"/>
          </w:tcPr>
          <w:p>
            <w:pPr>
              <w:ind w:left="540"/>
              <w:spacing w:after="0"/>
              <w:rPr>
                <w:sz w:val="20"/>
                <w:szCs w:val="20"/>
                <w:color w:val="auto"/>
              </w:rPr>
            </w:pPr>
            <w:r>
              <w:rPr>
                <w:rFonts w:ascii="Arial" w:cs="Arial" w:eastAsia="Arial" w:hAnsi="Arial"/>
                <w:sz w:val="18"/>
                <w:szCs w:val="18"/>
                <w:color w:val="auto"/>
                <w:w w:val="93"/>
              </w:rPr>
              <w:t>Weighted average shares of Class A and Class B common stock outstanding –</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64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136,933,192</w:t>
            </w:r>
          </w:p>
        </w:tc>
        <w:tc>
          <w:tcPr>
            <w:tcW w:w="220" w:type="dxa"/>
            <w:vAlign w:val="bottom"/>
            <w:tcBorders>
              <w:bottom w:val="single" w:sz="8" w:color="CCEEFF"/>
            </w:tcBorders>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20" w:lineRule="exact"/>
              <w:rPr>
                <w:sz w:val="1"/>
                <w:szCs w:val="1"/>
                <w:color w:val="auto"/>
              </w:rPr>
            </w:pPr>
          </w:p>
        </w:tc>
        <w:tc>
          <w:tcPr>
            <w:tcW w:w="6420" w:type="dxa"/>
            <w:vAlign w:val="bottom"/>
            <w:tcBorders>
              <w:top w:val="single" w:sz="8" w:color="CCEEFF"/>
              <w:bottom w:val="single" w:sz="8" w:color="CCEEFF"/>
            </w:tcBorders>
            <w:vMerge w:val="restart"/>
          </w:tcPr>
          <w:p>
            <w:pPr>
              <w:ind w:left="3660"/>
              <w:spacing w:after="0"/>
              <w:rPr>
                <w:sz w:val="20"/>
                <w:szCs w:val="20"/>
                <w:color w:val="auto"/>
              </w:rPr>
            </w:pPr>
            <w:r>
              <w:rPr>
                <w:rFonts w:ascii="Arial" w:cs="Arial" w:eastAsia="Arial" w:hAnsi="Arial"/>
                <w:sz w:val="18"/>
                <w:szCs w:val="18"/>
                <w:color w:val="auto"/>
              </w:rPr>
              <w:t>91</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1620" w:type="dxa"/>
            <w:vAlign w:val="bottom"/>
            <w:vMerge w:val="continue"/>
          </w:tcPr>
          <w:p>
            <w:pPr>
              <w:spacing w:after="0"/>
              <w:rPr>
                <w:sz w:val="24"/>
                <w:szCs w:val="24"/>
                <w:color w:val="auto"/>
              </w:rPr>
            </w:pPr>
          </w:p>
        </w:tc>
        <w:tc>
          <w:tcPr>
            <w:tcW w:w="6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-977265</wp:posOffset>
            </wp:positionV>
            <wp:extent cx="498284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-2889250</wp:posOffset>
            </wp:positionV>
            <wp:extent cx="40646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101" w:name="page102"/>
    <w:bookmarkEnd w:id="10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Tradeweb Markets Inc.</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Net income attributable to Class A and Class B common stockholders – basic</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200" w:type="dxa"/>
            <w:vAlign w:val="bottom"/>
          </w:tcPr>
          <w:p>
            <w:pPr>
              <w:ind w:left="180"/>
              <w:spacing w:after="0"/>
              <w:rPr>
                <w:sz w:val="20"/>
                <w:szCs w:val="20"/>
                <w:color w:val="auto"/>
              </w:rPr>
            </w:pPr>
            <w:r>
              <w:rPr>
                <w:rFonts w:ascii="Arial" w:cs="Arial" w:eastAsia="Arial" w:hAnsi="Arial"/>
                <w:sz w:val="18"/>
                <w:szCs w:val="18"/>
                <w:color w:val="auto"/>
                <w:w w:val="97"/>
              </w:rPr>
              <w:t>Reallocation of net income assuming conversion of LLC Interests to shares of</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Class A or Class B common stock</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40,423</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Net income attributable to Class A and Class B common stockholders – diluted</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98,923</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Weighted average shares of Class A and Class B common stock outstanding –</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136,933,192</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Weighted average effect of dilutive securities:</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Assumed conversion of LLC Interests to shares of Class A or Class B common</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85,289,031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360"/>
              <w:spacing w:after="0"/>
              <w:rPr>
                <w:sz w:val="20"/>
                <w:szCs w:val="20"/>
                <w:color w:val="auto"/>
              </w:rPr>
            </w:pPr>
            <w:r>
              <w:rPr>
                <w:rFonts w:ascii="Arial" w:cs="Arial" w:eastAsia="Arial" w:hAnsi="Arial"/>
                <w:sz w:val="18"/>
                <w:szCs w:val="18"/>
                <w:color w:val="auto"/>
              </w:rPr>
              <w:t>Special Option Award</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2,561,928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Modified PRSU awards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0" w:type="dxa"/>
            <w:vAlign w:val="bottom"/>
          </w:tcPr>
          <w:p>
            <w:pPr>
              <w:ind w:left="360"/>
              <w:spacing w:after="0"/>
              <w:rPr>
                <w:sz w:val="20"/>
                <w:szCs w:val="20"/>
                <w:color w:val="auto"/>
              </w:rPr>
            </w:pPr>
            <w:r>
              <w:rPr>
                <w:rFonts w:ascii="Arial" w:cs="Arial" w:eastAsia="Arial" w:hAnsi="Arial"/>
                <w:sz w:val="18"/>
                <w:szCs w:val="18"/>
                <w:color w:val="auto"/>
              </w:rPr>
              <w:t>Weighted average shares of Class A and Class B common stock</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outstanding – diluted</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224,790,379</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98284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-1937385</wp:posOffset>
            </wp:positionV>
            <wp:extent cx="49828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-2734945</wp:posOffset>
            </wp:positionV>
            <wp:extent cx="40646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1"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sections titled “Basis of Presentation,” “Selected Historical Consolidated Financial and Other Data” and “Unaudited Pro Forma Consolidated Financial Information” and our consolidated financial statements and related notes and other information included elsewhere in this prospectus.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prospectus.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56" w:lineRule="exact"/>
        <w:rPr>
          <w:sz w:val="20"/>
          <w:szCs w:val="20"/>
          <w:color w:val="auto"/>
        </w:rPr>
      </w:pPr>
    </w:p>
    <w:p>
      <w:pPr>
        <w:ind w:left="1260" w:right="819" w:firstLine="360"/>
        <w:spacing w:after="0" w:line="302" w:lineRule="auto"/>
        <w:rPr>
          <w:sz w:val="20"/>
          <w:szCs w:val="20"/>
          <w:color w:val="auto"/>
        </w:rPr>
      </w:pPr>
      <w:r>
        <w:rPr>
          <w:rFonts w:ascii="Arial" w:cs="Arial" w:eastAsia="Arial" w:hAnsi="Arial"/>
          <w:sz w:val="16"/>
          <w:szCs w:val="16"/>
          <w:color w:val="auto"/>
        </w:rPr>
        <w:t>Our institutional client sector serves institutional investors in 37 markets across 24 currencies, and in 62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9"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90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51"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5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63" w:lineRule="exact"/>
        <w:rPr>
          <w:sz w:val="20"/>
          <w:szCs w:val="20"/>
          <w:color w:val="auto"/>
        </w:rPr>
      </w:pPr>
    </w:p>
    <w:p>
      <w:pPr>
        <w:ind w:left="1260" w:right="1199" w:firstLine="360"/>
        <w:spacing w:after="0" w:line="342" w:lineRule="auto"/>
        <w:rPr>
          <w:sz w:val="20"/>
          <w:szCs w:val="20"/>
          <w:color w:val="auto"/>
        </w:rPr>
      </w:pPr>
      <w:r>
        <w:rPr>
          <w:rFonts w:ascii="Arial" w:cs="Arial" w:eastAsia="Arial" w:hAnsi="Arial"/>
          <w:sz w:val="16"/>
          <w:szCs w:val="16"/>
          <w:color w:val="auto"/>
        </w:rPr>
        <w:t>Our business is impacted by the overall market activity and, in particular, trading volumes and market volatility. Lower volatility is correlated to lower liquidity, which may result in lower trading volume for our</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64" w:lineRule="auto"/>
        <w:rPr>
          <w:sz w:val="20"/>
          <w:szCs w:val="20"/>
          <w:color w:val="auto"/>
        </w:rPr>
      </w:pPr>
      <w:r>
        <w:rPr>
          <w:rFonts w:ascii="Arial" w:cs="Arial" w:eastAsia="Arial" w:hAnsi="Arial"/>
          <w:sz w:val="18"/>
          <w:szCs w:val="18"/>
          <w:color w:val="auto"/>
        </w:rPr>
        <w:t>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73"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offset market volatility risk.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04"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See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which is currently scheduled to occur on April 12, 2019, if the UK parliament rejects the article 50 withdrawal agreement, and May 22, 2019, if the UK parliament approves the article 50 withdrawal agreement,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increased trading volumes as a result of, and the introduction of our new APA service in connection with, the implementation of MiFID II in January 2018.</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0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“Business — Competition” for more detail on our competitors.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04"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Our business and its success are largely impacted by the introduction of increasingly complex technology, sophisticated systems,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increase demand for our platforms and</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91" w:lineRule="auto"/>
        <w:rPr>
          <w:sz w:val="20"/>
          <w:szCs w:val="20"/>
          <w:color w:val="auto"/>
        </w:rPr>
      </w:pPr>
      <w:r>
        <w:rPr>
          <w:rFonts w:ascii="Arial" w:cs="Arial" w:eastAsia="Arial" w:hAnsi="Arial"/>
          <w:sz w:val="16"/>
          <w:szCs w:val="16"/>
          <w:color w:val="auto"/>
        </w:rPr>
        <w:t>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During the 2018 Successor Period, the 2018 Predecessor Period and the year ended December 31, 2017, approximately 28.6%, 28.6% and 24.7%, respectively, of our gross revenue and 15.1%, 17.0% and 15.6%, respectively, of our operating expenses were denominated in currencies other than the U.S. dollar, almost entirely the Euro for gross revenue and the British pound sterling for operating expenses.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 Quantitative and Qualitative Disclosures About Market Risk — Foreign Currency and Derivative Risk.”</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108"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As a result of the Refinitiv Transaction and the application of pushdown accounting, our assets and liabilities were adjusted to their estimated fair market values as of October 1, 2018, the closing date of the Refinitiv Transaction. These adjusted valuations resulted in an increase in depreciation and amortization expense, due to the increased carrying value of our assets and the related increase in depreciation of tangible assets and amortization of our intangible assets, and a decrease in occupancy expense as a result of the recognition of a leasehold interest liability. Additionally, the excess of the portion of the total purchase price of the Refinitiv Transaction attributable to the purchase of our assets and liabilities over their estimated fair value as of the closing date of the Refinitiv Transaction was allocated to goodwill. Goodwill is subject to annual impairment testing. Amounts allocated to intangible assets with definite lives are subject to amortization over the estimated useful life of the asset. See “Note 3” to our consolidated financial statements included elsewhere in this prospectus and “— Critical Accounting Policies and Estimates — Pushdown Accounting.”</w:t>
      </w:r>
    </w:p>
    <w:p>
      <w:pPr>
        <w:spacing w:after="0" w:line="65"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Due to the change in the basis of accounting resulting from the application of pushdown accounting,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are not necessarily comparable. As discussed above, the new basis of accounting primarily impacted the values of our long-lived and indefinite-lived intangible assets and resulted in increased depreciation and amortization expense and decreased occupancy expense. However, the change in basis resulting from the Refinitiv Transaction and the application of pushdown accounting did not impact revenues, employee compensation and benefits expense, general and administrative expense, technology and communications expense or professional fees, and, for these metrics, we believe combining the results for the Successor and Predecessor periods provides meaningful information. Accordingly, certain discussions below for revenues and certain expenses represent the combined results of the Successor and Predecessor periods for the full year ended December 31, 2018. Such combination was performed by mathematical addition and is not a presentation made in accordance with GAAP, although we believe it provides a meaningful method of comparison for these metrics. The combined data is being presented for informational purposes only. The combined results for these metrics for the full year ended December 31, 2018 (i) have not been prepared on a pro forma basis</w:t>
      </w: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as if the Refinitiv Transaction occurred on the first day of the period, (ii) may not reflect the actual results we would have achieved absent the Refinitiv Transaction, (iii) may not be predictive of our future results of operations and (iv) should not be viewed as a substitute for the financial results of the Successor and Predecessor periods presented in accordance with GAAP. For all other metrics, to the extent that the change in basis had a material impact on our results, we have disclosed such impact under “— Results of Operations.”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Post-Offering Taxation and Public Company Expenses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After the consummation of this offering, we will become subject to U.S. federal, state and local income taxes with respect to our allocable share of any taxable income of Tradeweb Markets LLC and will be taxed at prevailing corporate tax rates. Our actual effective tax rate will be impacted by our ownership share of Tradeweb Markets LLC, which will increase over time as the Continuing LLC Owners exchange their LLC Interests for shares of Class A common stock or Class B common stock, as applicable. In addition to tax expenses, we also will incur expenses related to our operations. Furthermore, in connection with this offering, we will enter into the Tax Receivable Agreement pursuant to which we will make payments that we expect to be significant. We intend to cause Tradeweb Markets LLC to make distributions in an amount sufficient to allow us to pay our tax obligations and operating expenses, including payments under the Tax Receivable Agreement. See “Certain Relationships and Related Party Transactions — Related Party Transactions Entered Into in Connection With This Offering — TWM LLC Agreement.”</w:t>
      </w:r>
    </w:p>
    <w:p>
      <w:pPr>
        <w:spacing w:after="0" w:line="75"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Historically, Thomson Reuters and related entities provided certain services and activities to support our business, including human resources, finance, tax and accounting services, market data services, client services, technology services, sales and customer support services and real estate and facilities support. Following this offering, we expect Refinitiv will continue to provide market data services and insurance and, at least in the near term, office space and related services. We do not anticipate that we will incur any material increased expenses if we transition away from Refinitiv for these services in the future.</w:t>
      </w:r>
    </w:p>
    <w:p>
      <w:pPr>
        <w:spacing w:after="0" w:line="7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In addition, 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Our gross revenue is derived primarily from transaction fees, subscription fees, commissions and market data fees. For the 2018 Predecessor Period and the years ended December 31, 2017 and 2016,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 Fees</w:t>
      </w:r>
    </w:p>
    <w:p>
      <w:pPr>
        <w:spacing w:after="0" w:line="104"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Subscription Fees</w:t>
      </w:r>
    </w:p>
    <w:p>
      <w:pPr>
        <w:spacing w:after="0" w:line="104"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7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customers based on customer conversion rates. Royalties may fluctuate from period to period depending on the numbers of customer conversions achieved by Refinitiv during the applicable royalty fee earning period, which is typically seven years from the date of the initial referral. See “Certain Relationships and Related Party Transactions — Transactions with Refinitiv/Thomson Reuters.”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Commissions</w:t>
      </w:r>
    </w:p>
    <w:p>
      <w:pPr>
        <w:spacing w:after="0" w:line="10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Contingent Consideration</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2018 Predecessor Period and the years ended December 31, 2017 and 2016.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Employee Compensation and Benefits</w:t>
      </w:r>
    </w:p>
    <w:p>
      <w:pPr>
        <w:spacing w:after="0" w:line="10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and stock-based compensation cost. Factors that influence employee compensation and benefits expense include revenue and earnings growth, hiring new employees, trading activity which generates broker commissions and, following this offering, the share price of our Class A common stock. As we grow our business, we expect to hire additional employees. As a result, we expect employee compensation and benefits expense to increase as we hire additional employees and as our revenues and earnings grow. As a result, employee compensation and benefits can vary from period to period.</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applied pushdown accounting as a result of the Refinitiv Transaction and therefore depreciation and amortization expense in Successor reporting periods will differ from amounts reported in Predecessor periods.</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Technology and Communications</w:t>
      </w:r>
    </w:p>
    <w:p>
      <w:pPr>
        <w:spacing w:after="0" w:line="104"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Professional Fees</w:t>
      </w:r>
    </w:p>
    <w:p>
      <w:pPr>
        <w:spacing w:after="0" w:line="104"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Accounting, tax and legal fees are expected to grow as a result of the changes in our structure and operations that we will implement in connection with becoming a publicly traded company. Factors that influence technology and software consulting expense include the growth of our client base and product offerings.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Occupancy</w:t>
      </w:r>
    </w:p>
    <w:p>
      <w:pPr>
        <w:spacing w:after="0" w:line="104"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Occupancy expense consists of operating lease rent and related costs for office space leased in the United States and the United Kingdom. Fees incurred by us under a shared services agreement with Refinitiv for office space are also included in occupancy expense. We expect occupancy expense to increase as we expand the number of our employees and grow our operations. As discussed in “— Effect of Pushdown Accounting on our Financial Statements,” we applied pushdown accounting as a result of the Refinitiv Transaction and therefore occupancy expense in Successor reporting periods will differ from amounts reported in Predecessor periods.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04"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color w:val="auto"/>
        </w:rPr>
        <w:t>Interest income consists of interest earned from our cash deposited with large commercial banks and money market funds. Interest expense consists of interest payable to Thomson Reuters under a convertible term note. Thomson Reuters converted all outstanding borrowings under this note to equity of the Company in May 2017.</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We are currently a multiple member limited liability company taxed as a partnership and accordingly we are not required to maintain an income tax provision on our earnings. Income taxes consist of unincorporated business taxes on income earned or losses incurred by conducting business in certain state and local jurisdictions. Income taxes also includes income taxes on income earned in foreign jurisdictions on certain of our operations as well as federal and state income taxes on income earned or losses incurred, both current and deferred, from subsidiaries that are taxed as corporations for U.S. tax purposes. After the consummation of this offering, we will become subject to U.S. federal, state and local income taxes with respect to our allocable share of any taxable income of Tradeweb Markets LLC and will be taxed at prevailing corporate tax rates.</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1260" w:right="859"/>
        <w:spacing w:after="0" w:line="246" w:lineRule="auto"/>
        <w:rPr>
          <w:sz w:val="20"/>
          <w:szCs w:val="20"/>
          <w:color w:val="auto"/>
        </w:rPr>
      </w:pPr>
      <w:r>
        <w:rPr>
          <w:rFonts w:ascii="Arial" w:cs="Arial" w:eastAsia="Arial" w:hAnsi="Arial"/>
          <w:sz w:val="18"/>
          <w:szCs w:val="18"/>
          <w:b w:val="1"/>
          <w:bCs w:val="1"/>
          <w:i w:val="1"/>
          <w:iCs w:val="1"/>
          <w:color w:val="auto"/>
        </w:rPr>
        <w:t>October 1, 2018 to December 31, 2018 (Successor), January 1, 2018 to September 30, 2018 (Predecessor) and the Year Ended December 31, 2017 (Predecessor)</w:t>
      </w:r>
    </w:p>
    <w:p>
      <w:pPr>
        <w:spacing w:after="0" w:line="75"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following table sets forth a summary of our statements of income for the 2018 Successor Period, the 2018 Predecessor Period and the year ended December 31, 2017:</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7"/>
            <w:vMerge w:val="restart"/>
          </w:tcPr>
          <w:p>
            <w:pPr>
              <w:ind w:left="5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178,637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$ 505,771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562,968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(58,520)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178,637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478,941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504,448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146,702</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338,607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415,356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31,935</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140,334</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89,092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32,722</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142,060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89,777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(11,900)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83,648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907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-591185</wp:posOffset>
            </wp:positionV>
            <wp:extent cx="774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-591185</wp:posOffset>
            </wp:positionV>
            <wp:extent cx="469074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-934085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-934085</wp:posOffset>
            </wp:positionV>
            <wp:extent cx="46907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-1276985</wp:posOffset>
            </wp:positionV>
            <wp:extent cx="774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-1276985</wp:posOffset>
            </wp:positionV>
            <wp:extent cx="46907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-1740535</wp:posOffset>
            </wp:positionV>
            <wp:extent cx="137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-1740535</wp:posOffset>
            </wp:positionV>
            <wp:extent cx="1289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9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Gross revenue increased by $121.4 million or 21.6% to $684.4 million for the combined year ended December 31, 2018 from $563.0 million for the year ended December 31, 2017. This increase in gross revenue was mainly due to higher trading volumes resulting in a $103.9 million increase in transaction fees and a $15.9 million increase in commissions. Net revenue increased by $153.1 million or 30.4% to $657.6 million for the combined year ended December 31, 2018 from $504.4 million for the year ended December 31, 2017. Non-cash contingent consideration decreased by $31.7 million to $26.8 million for the combined year ended December 31, 2018 from $58.5 million for the year ended December 31, 2017 as a result of changes in projected and actual revenues related to the Credit Initiative Earnout during the periods.</w:t>
      </w:r>
    </w:p>
    <w:p>
      <w:pPr>
        <w:spacing w:after="0" w:line="71" w:lineRule="exact"/>
        <w:rPr>
          <w:sz w:val="20"/>
          <w:szCs w:val="20"/>
          <w:color w:val="auto"/>
        </w:rPr>
      </w:pPr>
    </w:p>
    <w:p>
      <w:pPr>
        <w:ind w:left="1260" w:right="919" w:firstLine="360"/>
        <w:spacing w:after="0" w:line="297" w:lineRule="auto"/>
        <w:rPr>
          <w:sz w:val="20"/>
          <w:szCs w:val="20"/>
          <w:color w:val="auto"/>
        </w:rPr>
      </w:pPr>
      <w:r>
        <w:rPr>
          <w:rFonts w:ascii="Arial" w:cs="Arial" w:eastAsia="Arial" w:hAnsi="Arial"/>
          <w:sz w:val="16"/>
          <w:szCs w:val="16"/>
          <w:color w:val="auto"/>
        </w:rPr>
        <w:t>Total expenses for the 2018 Successor Period and the 2018 Predecessor Period were $146.7 million and $338.6 million, respectively. Total expenses for the year ended December 31, 2017 were $415.4 million. Total expenses for the 2018 Successor Period and the 2018 Predecessor Period were impacted by higher employee compensation and benefits expense and higher professional fees. The 2018 Successor Period was also impacted by higher depreciation and amortization expense as a result of the application of pushdown accounting.</w:t>
      </w:r>
    </w:p>
    <w:p>
      <w:pPr>
        <w:spacing w:after="0" w:line="50"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Income before taxes for the 2018 Successor Period and the 2018 Predecessor Period was $32.7 million and $142.1 million, respectively. Income before taxes for the year ended December 31, 2017 was $89.8 million. Net income for the 2018 Successor Period and the 2018 Predecessor Period was $29.3 million and $130.2 million, respectively. Net income for the year ended December 31, 2017 was $83.6 million. Income before taxes and net income for the 2018 Successor Period and the 2018 Predecessor Period were positively impacted by higher revenues partially offset by higher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119" w:firstLine="360"/>
        <w:spacing w:after="0" w:line="264" w:lineRule="auto"/>
        <w:rPr>
          <w:sz w:val="20"/>
          <w:szCs w:val="20"/>
          <w:color w:val="auto"/>
        </w:rPr>
      </w:pPr>
      <w:r>
        <w:rPr>
          <w:rFonts w:ascii="Arial" w:cs="Arial" w:eastAsia="Arial" w:hAnsi="Arial"/>
          <w:sz w:val="18"/>
          <w:szCs w:val="18"/>
          <w:color w:val="auto"/>
        </w:rPr>
        <w:t>Our revenues for the 2018 Successor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5"/>
          </w:tcPr>
          <w:p>
            <w:pPr>
              <w:jc w:val="center"/>
              <w:ind w:left="541"/>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80" w:type="dxa"/>
            <w:vAlign w:val="bottom"/>
          </w:tcPr>
          <w:p>
            <w:pPr>
              <w:spacing w:after="0"/>
              <w:rPr>
                <w:sz w:val="18"/>
                <w:szCs w:val="18"/>
                <w:color w:val="auto"/>
              </w:rPr>
            </w:pPr>
          </w:p>
        </w:tc>
        <w:tc>
          <w:tcPr>
            <w:tcW w:w="1360" w:type="dxa"/>
            <w:vAlign w:val="bottom"/>
            <w:tcBorders>
              <w:bottom w:val="single" w:sz="8" w:color="auto"/>
            </w:tcBorders>
            <w:gridSpan w:val="4"/>
          </w:tcPr>
          <w:p>
            <w:pPr>
              <w:ind w:left="260"/>
              <w:spacing w:after="0" w:line="216" w:lineRule="exact"/>
              <w:rPr>
                <w:sz w:val="20"/>
                <w:szCs w:val="20"/>
                <w:color w:val="auto"/>
              </w:rPr>
            </w:pPr>
            <w:r>
              <w:rPr>
                <w:rFonts w:ascii="Arial" w:cs="Arial" w:eastAsia="Arial" w:hAnsi="Arial"/>
                <w:sz w:val="14"/>
                <w:szCs w:val="14"/>
                <w:b w:val="1"/>
                <w:bCs w:val="1"/>
                <w:color w:val="auto"/>
              </w:rPr>
              <w:t>(Combined)</w:t>
            </w:r>
            <w:r>
              <w:rPr>
                <w:rFonts w:ascii="Arial" w:cs="Arial" w:eastAsia="Arial" w:hAnsi="Arial"/>
                <w:sz w:val="21"/>
                <w:szCs w:val="21"/>
                <w:b w:val="1"/>
                <w:bCs w:val="1"/>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9"/>
              </w:rPr>
              <w:t>(Predecessor)</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right w:val="single" w:sz="8" w:color="auto"/>
            </w:tcBorders>
            <w:gridSpan w:val="4"/>
          </w:tcPr>
          <w:p>
            <w:pPr>
              <w:jc w:val="center"/>
              <w:ind w:right="20"/>
              <w:spacing w:after="0" w:line="160" w:lineRule="exact"/>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95"/>
              </w:rPr>
              <w:t>January 1,</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 of 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 of Gross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Revenue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7"/>
          </w:tcPr>
          <w:p>
            <w:pPr>
              <w:ind w:left="28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Transaction fees</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97,130</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$ 273,751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6"/>
              </w:rPr>
              <w:t>$370,881</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54.2%</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$267,020</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47.4%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$103,861</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38.9%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46,519</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143,981</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190,500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194,534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Commissions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32,840</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79,830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112,670</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16.5%</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96,745</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15,925</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2,148</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8,209</w:t>
            </w:r>
          </w:p>
        </w:tc>
        <w:tc>
          <w:tcPr>
            <w:tcW w:w="1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4,669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5,688</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60" w:type="dxa"/>
            <w:vAlign w:val="bottom"/>
          </w:tcPr>
          <w:p>
            <w:pPr>
              <w:spacing w:after="0"/>
              <w:rPr>
                <w:sz w:val="20"/>
                <w:szCs w:val="20"/>
                <w:color w:val="auto"/>
              </w:rPr>
            </w:pPr>
            <w:r>
              <w:rPr>
                <w:rFonts w:ascii="Arial" w:cs="Arial" w:eastAsia="Arial" w:hAnsi="Arial"/>
                <w:sz w:val="16"/>
                <w:szCs w:val="16"/>
                <w:color w:val="auto"/>
              </w:rPr>
              <w:t>Gross revenue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178,637</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505,771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684,408</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100.0%</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562,968</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121,440</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(26,830)</w:t>
            </w:r>
          </w:p>
        </w:tc>
        <w:tc>
          <w:tcPr>
            <w:tcW w:w="1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(58,520)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31,690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860" w:type="dxa"/>
            <w:vAlign w:val="bottom"/>
          </w:tcPr>
          <w:p>
            <w:pPr>
              <w:spacing w:after="0"/>
              <w:rPr>
                <w:sz w:val="20"/>
                <w:szCs w:val="20"/>
                <w:color w:val="auto"/>
              </w:rPr>
            </w:pPr>
            <w:r>
              <w:rPr>
                <w:rFonts w:ascii="Arial" w:cs="Arial" w:eastAsia="Arial" w:hAnsi="Arial"/>
                <w:sz w:val="16"/>
                <w:szCs w:val="16"/>
                <w:color w:val="auto"/>
              </w:rPr>
              <w:t>Net revenue</w:t>
            </w:r>
          </w:p>
        </w:tc>
        <w:tc>
          <w:tcPr>
            <w:tcW w:w="160" w:type="dxa"/>
            <w:vAlign w:val="bottom"/>
            <w:gridSpan w:val="2"/>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178,637</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$ 478,941</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657,578</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504,448</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153,130</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30.4%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186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color w:val="auto"/>
              </w:rPr>
              <w:t>Components of gross</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66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 growth:</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180"/>
              <w:spacing w:after="0"/>
              <w:rPr>
                <w:sz w:val="20"/>
                <w:szCs w:val="20"/>
                <w:color w:val="auto"/>
              </w:rPr>
            </w:pPr>
            <w:r>
              <w:rPr>
                <w:rFonts w:ascii="Arial" w:cs="Arial" w:eastAsia="Arial" w:hAnsi="Arial"/>
                <w:sz w:val="16"/>
                <w:szCs w:val="16"/>
                <w:color w:val="auto"/>
              </w:rPr>
              <w:t>Constant currency</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360"/>
              <w:spacing w:after="0" w:line="202" w:lineRule="exact"/>
              <w:rPr>
                <w:sz w:val="20"/>
                <w:szCs w:val="20"/>
                <w:color w:val="auto"/>
              </w:rPr>
            </w:pPr>
            <w:r>
              <w:rPr>
                <w:rFonts w:ascii="Arial" w:cs="Arial" w:eastAsia="Arial" w:hAnsi="Arial"/>
                <w:sz w:val="15"/>
                <w:szCs w:val="15"/>
                <w:color w:val="auto"/>
              </w:rPr>
              <w:t>growth</w:t>
            </w:r>
            <w:r>
              <w:rPr>
                <w:rFonts w:ascii="Arial" w:cs="Arial" w:eastAsia="Arial" w:hAnsi="Arial"/>
                <w:sz w:val="23"/>
                <w:szCs w:val="23"/>
                <w:color w:val="auto"/>
                <w:vertAlign w:val="superscript"/>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Foreign currency impact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60" w:type="dxa"/>
            <w:vAlign w:val="bottom"/>
          </w:tcPr>
          <w:p>
            <w:pPr>
              <w:ind w:left="180"/>
              <w:spacing w:after="0"/>
              <w:rPr>
                <w:sz w:val="20"/>
                <w:szCs w:val="20"/>
                <w:color w:val="auto"/>
              </w:rPr>
            </w:pPr>
            <w:r>
              <w:rPr>
                <w:rFonts w:ascii="Arial" w:cs="Arial" w:eastAsia="Arial" w:hAnsi="Arial"/>
                <w:sz w:val="16"/>
                <w:szCs w:val="16"/>
                <w:color w:val="auto"/>
              </w:rPr>
              <w:t>Total gross revenue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360"/>
              <w:spacing w:after="0"/>
              <w:rPr>
                <w:sz w:val="20"/>
                <w:szCs w:val="20"/>
                <w:color w:val="auto"/>
              </w:rPr>
            </w:pPr>
            <w:r>
              <w:rPr>
                <w:rFonts w:ascii="Arial" w:cs="Arial" w:eastAsia="Arial" w:hAnsi="Arial"/>
                <w:sz w:val="16"/>
                <w:szCs w:val="16"/>
                <w:color w:val="auto"/>
              </w:rPr>
              <w:t>growth</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-2096770</wp:posOffset>
            </wp:positionV>
            <wp:extent cx="514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-2096770</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-2096770</wp:posOffset>
            </wp:positionV>
            <wp:extent cx="51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-2096770</wp:posOffset>
            </wp:positionV>
            <wp:extent cx="342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-2096770</wp:posOffset>
            </wp:positionV>
            <wp:extent cx="342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-2096770</wp:posOffset>
            </wp:positionV>
            <wp:extent cx="431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-2791460</wp:posOffset>
            </wp:positionV>
            <wp:extent cx="24612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140970</wp:posOffset>
            </wp:positionV>
            <wp:extent cx="12350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20" w:right="819" w:hanging="352"/>
        <w:spacing w:after="0" w:line="297" w:lineRule="auto"/>
        <w:tabs>
          <w:tab w:leader="none" w:pos="1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31" w:lineRule="exact"/>
        <w:rPr>
          <w:rFonts w:ascii="Arial" w:cs="Arial" w:eastAsia="Arial" w:hAnsi="Arial"/>
          <w:sz w:val="16"/>
          <w:szCs w:val="16"/>
          <w:color w:val="auto"/>
        </w:rPr>
      </w:pPr>
    </w:p>
    <w:p>
      <w:pPr>
        <w:ind w:left="1620" w:right="839" w:hanging="352"/>
        <w:spacing w:after="0" w:line="264"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Subscription fees for the combined year ended December 31, 2018 and the year ended December 31, 2017 include $50.3 million and $50.1 million, respectively, of Refinitiv (formerly Thomson Reuters) market data fees.</w:t>
      </w:r>
    </w:p>
    <w:p>
      <w:pPr>
        <w:spacing w:after="0" w:line="140" w:lineRule="exact"/>
        <w:rPr>
          <w:rFonts w:ascii="Arial" w:cs="Arial" w:eastAsia="Arial" w:hAnsi="Arial"/>
          <w:sz w:val="18"/>
          <w:szCs w:val="18"/>
          <w:color w:val="auto"/>
        </w:rPr>
      </w:pPr>
    </w:p>
    <w:p>
      <w:pPr>
        <w:ind w:left="1620" w:right="939" w:hanging="352"/>
        <w:spacing w:after="0" w:line="312" w:lineRule="auto"/>
        <w:tabs>
          <w:tab w:leader="none" w:pos="1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Our revenues by fee type for the 2018 Sucessor Period, the 2018 Predecessor Period, the combined year ended December 31, 2018 and the year ended December 31, 2017, and the resulting dollar and percentage changes, were as follows:</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32"/>
        </w:trPr>
        <w:tc>
          <w:tcPr>
            <w:tcW w:w="1320" w:type="dxa"/>
            <w:vAlign w:val="bottom"/>
          </w:tcPr>
          <w:p>
            <w:pPr>
              <w:spacing w:after="0"/>
              <w:rPr>
                <w:sz w:val="2"/>
                <w:szCs w:val="2"/>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gridSpan w:val="4"/>
            <w:vMerge w:val="restart"/>
          </w:tcPr>
          <w:p>
            <w:pPr>
              <w:jc w:val="right"/>
              <w:ind w:right="51"/>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320" w:type="dxa"/>
            <w:vAlign w:val="bottom"/>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October 1,</w:t>
            </w:r>
          </w:p>
        </w:tc>
        <w:tc>
          <w:tcPr>
            <w:tcW w:w="20" w:type="dxa"/>
            <w:vAlign w:val="bottom"/>
            <w:shd w:val="clear" w:color="auto" w:fill="000000"/>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January 1,</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60" w:type="dxa"/>
            <w:vAlign w:val="bottom"/>
            <w:gridSpan w:val="4"/>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2018 to</w:t>
            </w: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2018 to</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5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2017</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20" w:type="dxa"/>
            <w:vAlign w:val="bottom"/>
          </w:tcPr>
          <w:p>
            <w:pPr>
              <w:spacing w:after="0"/>
              <w:rPr>
                <w:sz w:val="11"/>
                <w:szCs w:val="11"/>
                <w:color w:val="auto"/>
              </w:rPr>
            </w:pPr>
          </w:p>
        </w:tc>
        <w:tc>
          <w:tcPr>
            <w:tcW w:w="1060" w:type="dxa"/>
            <w:vAlign w:val="bottom"/>
            <w:gridSpan w:val="4"/>
          </w:tcPr>
          <w:p>
            <w:pPr>
              <w:jc w:val="center"/>
              <w:ind w:right="40"/>
              <w:spacing w:after="0" w:line="131" w:lineRule="exact"/>
              <w:rPr>
                <w:sz w:val="20"/>
                <w:szCs w:val="20"/>
                <w:color w:val="auto"/>
              </w:rPr>
            </w:pPr>
            <w:r>
              <w:rPr>
                <w:rFonts w:ascii="Arial" w:cs="Arial" w:eastAsia="Arial" w:hAnsi="Arial"/>
                <w:sz w:val="13"/>
                <w:szCs w:val="13"/>
                <w:b w:val="1"/>
                <w:bCs w:val="1"/>
                <w:color w:val="auto"/>
                <w:w w:val="87"/>
              </w:rPr>
              <w:t>December 31,</w:t>
            </w:r>
          </w:p>
        </w:tc>
        <w:tc>
          <w:tcPr>
            <w:tcW w:w="20" w:type="dxa"/>
            <w:vAlign w:val="bottom"/>
            <w:shd w:val="clear" w:color="auto" w:fill="000000"/>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center"/>
              <w:ind w:right="160"/>
              <w:spacing w:after="0" w:line="131" w:lineRule="exact"/>
              <w:rPr>
                <w:sz w:val="20"/>
                <w:szCs w:val="20"/>
                <w:color w:val="auto"/>
              </w:rPr>
            </w:pPr>
            <w:r>
              <w:rPr>
                <w:rFonts w:ascii="Arial" w:cs="Arial" w:eastAsia="Arial" w:hAnsi="Arial"/>
                <w:sz w:val="13"/>
                <w:szCs w:val="13"/>
                <w:b w:val="1"/>
                <w:bCs w:val="1"/>
                <w:color w:val="auto"/>
                <w:w w:val="85"/>
              </w:rPr>
              <w:t>September 30,</w:t>
            </w:r>
          </w:p>
        </w:tc>
        <w:tc>
          <w:tcPr>
            <w:tcW w:w="700" w:type="dxa"/>
            <w:vAlign w:val="bottom"/>
            <w:gridSpan w:val="2"/>
            <w:vMerge w:val="continue"/>
          </w:tcPr>
          <w:p>
            <w:pPr>
              <w:spacing w:after="0"/>
              <w:rPr>
                <w:sz w:val="11"/>
                <w:szCs w:val="11"/>
                <w:color w:val="auto"/>
              </w:rPr>
            </w:pPr>
          </w:p>
        </w:tc>
        <w:tc>
          <w:tcPr>
            <w:tcW w:w="540" w:type="dxa"/>
            <w:vAlign w:val="bottom"/>
          </w:tcPr>
          <w:p>
            <w:pPr>
              <w:jc w:val="right"/>
              <w:ind w:right="213"/>
              <w:spacing w:after="0"/>
              <w:rPr>
                <w:sz w:val="20"/>
                <w:szCs w:val="20"/>
                <w:color w:val="auto"/>
              </w:rPr>
            </w:pPr>
            <w:r>
              <w:rPr>
                <w:rFonts w:ascii="Arial" w:cs="Arial" w:eastAsia="Arial" w:hAnsi="Arial"/>
                <w:sz w:val="10"/>
                <w:szCs w:val="10"/>
                <w:b w:val="1"/>
                <w:bCs w:val="1"/>
                <w:color w:val="auto"/>
              </w:rPr>
              <w:t>(1)</w:t>
            </w:r>
          </w:p>
        </w:tc>
        <w:tc>
          <w:tcPr>
            <w:tcW w:w="7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vMerge w:val="restart"/>
          </w:tcPr>
          <w:p>
            <w:pPr>
              <w:jc w:val="right"/>
              <w:ind w:right="25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1"/>
                <w:szCs w:val="11"/>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 Change</w:t>
            </w:r>
          </w:p>
        </w:tc>
        <w:tc>
          <w:tcPr>
            <w:tcW w:w="1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3"/>
                <w:szCs w:val="13"/>
                <w:b w:val="1"/>
                <w:bCs w:val="1"/>
                <w:color w:val="auto"/>
              </w:rPr>
              <w:t>(Combined)</w:t>
            </w:r>
          </w:p>
        </w:tc>
        <w:tc>
          <w:tcPr>
            <w:tcW w:w="12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3"/>
                <w:szCs w:val="13"/>
                <w:b w:val="1"/>
                <w:bCs w:val="1"/>
                <w:color w:val="auto"/>
              </w:rPr>
              <w:t>(Predecessor)</w:t>
            </w:r>
          </w:p>
        </w:tc>
        <w:tc>
          <w:tcPr>
            <w:tcW w:w="11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320" w:type="dxa"/>
            <w:vAlign w:val="bottom"/>
          </w:tcPr>
          <w:p>
            <w:pPr>
              <w:spacing w:after="0"/>
              <w:rPr>
                <w:sz w:val="15"/>
                <w:szCs w:val="15"/>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6"/>
              </w:rPr>
              <w:t>Variable</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8"/>
              </w:rPr>
              <w:t>Fixed</w:t>
            </w:r>
          </w:p>
        </w:tc>
        <w:tc>
          <w:tcPr>
            <w:tcW w:w="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4"/>
              </w:rPr>
              <w:t>Variable</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Fixed</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w w:val="94"/>
              </w:rPr>
              <w:t>Variable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4"/>
              </w:rPr>
              <w:t>Fixed</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4"/>
              </w:rPr>
              <w:t>Variable</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88"/>
              </w:rPr>
              <w:t>Fixed</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w w:val="90"/>
              </w:rPr>
              <w:t>Variable</w:t>
            </w: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Fixed</w:t>
            </w: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86"/>
              </w:rPr>
              <w:t>Variable</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6"/>
              </w:rPr>
              <w:t>Fixed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right"/>
              <w:ind w:right="153"/>
              <w:spacing w:after="0"/>
              <w:rPr>
                <w:sz w:val="20"/>
                <w:szCs w:val="20"/>
                <w:color w:val="auto"/>
              </w:rPr>
            </w:pPr>
            <w:r>
              <w:rPr>
                <w:rFonts w:ascii="Arial" w:cs="Arial" w:eastAsia="Arial" w:hAnsi="Arial"/>
                <w:sz w:val="13"/>
                <w:szCs w:val="13"/>
                <w:b w:val="1"/>
                <w:bCs w:val="1"/>
                <w:color w:val="auto"/>
                <w:w w:val="98"/>
              </w:rPr>
              <w:t>(in thousands)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w w:val="85"/>
              </w:rPr>
              <w:t>(dollars in thousands)</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320" w:type="dxa"/>
            <w:vAlign w:val="bottom"/>
          </w:tcPr>
          <w:p>
            <w:pPr>
              <w:spacing w:after="0"/>
              <w:rPr>
                <w:sz w:val="20"/>
                <w:szCs w:val="20"/>
                <w:color w:val="auto"/>
              </w:rPr>
            </w:pPr>
            <w:r>
              <w:rPr>
                <w:rFonts w:ascii="Arial" w:cs="Arial" w:eastAsia="Arial" w:hAnsi="Arial"/>
                <w:sz w:val="14"/>
                <w:szCs w:val="14"/>
                <w:color w:val="auto"/>
              </w:rPr>
              <w:t>Transaction fees</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$73,800</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$23,330</w:t>
            </w: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$208,049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65,702</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$281,849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89,032</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$210,198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56,822</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$71,651</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$32,210</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34.1%</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99"/>
        </w:trPr>
        <w:tc>
          <w:tcPr>
            <w:tcW w:w="1320" w:type="dxa"/>
            <w:vAlign w:val="bottom"/>
          </w:tcPr>
          <w:p>
            <w:pPr>
              <w:spacing w:after="0" w:line="199" w:lineRule="exact"/>
              <w:rPr>
                <w:sz w:val="20"/>
                <w:szCs w:val="20"/>
                <w:color w:val="auto"/>
              </w:rPr>
            </w:pPr>
            <w:r>
              <w:rPr>
                <w:rFonts w:ascii="Arial" w:cs="Arial" w:eastAsia="Arial" w:hAnsi="Arial"/>
                <w:sz w:val="14"/>
                <w:szCs w:val="14"/>
                <w:color w:val="auto"/>
              </w:rPr>
              <w:t>Subscription fees</w:t>
            </w:r>
            <w:r>
              <w:rPr>
                <w:rFonts w:ascii="Arial" w:cs="Arial" w:eastAsia="Arial" w:hAnsi="Arial"/>
                <w:sz w:val="21"/>
                <w:szCs w:val="21"/>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4"/>
                <w:szCs w:val="14"/>
                <w:color w:val="auto"/>
              </w:rPr>
              <w:t>425</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46,094</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142,676</w:t>
            </w:r>
          </w:p>
        </w:tc>
        <w:tc>
          <w:tcPr>
            <w:tcW w:w="620" w:type="dxa"/>
            <w:vAlign w:val="bottom"/>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188,770</w:t>
            </w:r>
          </w:p>
        </w:tc>
        <w:tc>
          <w:tcPr>
            <w:tcW w:w="620" w:type="dxa"/>
            <w:vAlign w:val="bottom"/>
          </w:tcPr>
          <w:p>
            <w:pPr>
              <w:jc w:val="right"/>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192,959</w:t>
            </w:r>
          </w:p>
        </w:tc>
        <w:tc>
          <w:tcPr>
            <w:tcW w:w="560" w:type="dxa"/>
            <w:vAlign w:val="bottom"/>
          </w:tcPr>
          <w:p>
            <w:pPr>
              <w:jc w:val="right"/>
              <w:spacing w:after="0"/>
              <w:rPr>
                <w:sz w:val="20"/>
                <w:szCs w:val="20"/>
                <w:color w:val="auto"/>
              </w:rPr>
            </w:pPr>
            <w:r>
              <w:rPr>
                <w:rFonts w:ascii="Arial" w:cs="Arial" w:eastAsia="Arial" w:hAnsi="Arial"/>
                <w:sz w:val="14"/>
                <w:szCs w:val="14"/>
                <w:color w:val="auto"/>
              </w:rPr>
              <w:t>155</w:t>
            </w:r>
          </w:p>
        </w:tc>
        <w:tc>
          <w:tcPr>
            <w:tcW w:w="540" w:type="dxa"/>
            <w:vAlign w:val="bottom"/>
          </w:tcPr>
          <w:p>
            <w:pPr>
              <w:jc w:val="right"/>
              <w:spacing w:after="0"/>
              <w:rPr>
                <w:sz w:val="20"/>
                <w:szCs w:val="20"/>
                <w:color w:val="auto"/>
              </w:rPr>
            </w:pPr>
            <w:r>
              <w:rPr>
                <w:rFonts w:ascii="Arial" w:cs="Arial" w:eastAsia="Arial" w:hAnsi="Arial"/>
                <w:sz w:val="14"/>
                <w:szCs w:val="14"/>
                <w:color w:val="auto"/>
              </w:rPr>
              <w:t>(4,189)</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9.8%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20"/>
                <w:szCs w:val="20"/>
                <w:color w:val="auto"/>
              </w:rPr>
            </w:pPr>
            <w:r>
              <w:rPr>
                <w:rFonts w:ascii="Arial" w:cs="Arial" w:eastAsia="Arial" w:hAnsi="Arial"/>
                <w:sz w:val="14"/>
                <w:szCs w:val="14"/>
                <w:color w:val="auto"/>
              </w:rPr>
              <w:t>Commissions</w:t>
            </w:r>
          </w:p>
        </w:tc>
        <w:tc>
          <w:tcPr>
            <w:tcW w:w="540" w:type="dxa"/>
            <w:vAlign w:val="bottom"/>
          </w:tcPr>
          <w:p>
            <w:pPr>
              <w:jc w:val="right"/>
              <w:spacing w:after="0"/>
              <w:rPr>
                <w:sz w:val="20"/>
                <w:szCs w:val="20"/>
                <w:color w:val="auto"/>
              </w:rPr>
            </w:pPr>
            <w:r>
              <w:rPr>
                <w:rFonts w:ascii="Arial" w:cs="Arial" w:eastAsia="Arial" w:hAnsi="Arial"/>
                <w:sz w:val="14"/>
                <w:szCs w:val="14"/>
                <w:color w:val="auto"/>
              </w:rPr>
              <w:t>22,608</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10,232</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49,367</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30,463</w:t>
            </w:r>
          </w:p>
        </w:tc>
        <w:tc>
          <w:tcPr>
            <w:tcW w:w="620" w:type="dxa"/>
            <w:vAlign w:val="bottom"/>
          </w:tcPr>
          <w:p>
            <w:pPr>
              <w:jc w:val="right"/>
              <w:spacing w:after="0"/>
              <w:rPr>
                <w:sz w:val="20"/>
                <w:szCs w:val="20"/>
                <w:color w:val="auto"/>
              </w:rPr>
            </w:pPr>
            <w:r>
              <w:rPr>
                <w:rFonts w:ascii="Arial" w:cs="Arial" w:eastAsia="Arial" w:hAnsi="Arial"/>
                <w:sz w:val="14"/>
                <w:szCs w:val="14"/>
                <w:color w:val="auto"/>
              </w:rPr>
              <w:t>71,975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40,695</w:t>
            </w:r>
          </w:p>
        </w:tc>
        <w:tc>
          <w:tcPr>
            <w:tcW w:w="620" w:type="dxa"/>
            <w:vAlign w:val="bottom"/>
          </w:tcPr>
          <w:p>
            <w:pPr>
              <w:jc w:val="right"/>
              <w:spacing w:after="0"/>
              <w:rPr>
                <w:sz w:val="20"/>
                <w:szCs w:val="20"/>
                <w:color w:val="auto"/>
              </w:rPr>
            </w:pPr>
            <w:r>
              <w:rPr>
                <w:rFonts w:ascii="Arial" w:cs="Arial" w:eastAsia="Arial" w:hAnsi="Arial"/>
                <w:sz w:val="14"/>
                <w:szCs w:val="14"/>
                <w:color w:val="auto"/>
              </w:rPr>
              <w:t>57,118</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39,627</w:t>
            </w:r>
          </w:p>
        </w:tc>
        <w:tc>
          <w:tcPr>
            <w:tcW w:w="560" w:type="dxa"/>
            <w:vAlign w:val="bottom"/>
          </w:tcPr>
          <w:p>
            <w:pPr>
              <w:jc w:val="right"/>
              <w:spacing w:after="0"/>
              <w:rPr>
                <w:sz w:val="20"/>
                <w:szCs w:val="20"/>
                <w:color w:val="auto"/>
              </w:rPr>
            </w:pPr>
            <w:r>
              <w:rPr>
                <w:rFonts w:ascii="Arial" w:cs="Arial" w:eastAsia="Arial" w:hAnsi="Arial"/>
                <w:sz w:val="14"/>
                <w:szCs w:val="14"/>
                <w:color w:val="auto"/>
              </w:rPr>
              <w:t>14,857</w:t>
            </w:r>
          </w:p>
        </w:tc>
        <w:tc>
          <w:tcPr>
            <w:tcW w:w="540" w:type="dxa"/>
            <w:vAlign w:val="bottom"/>
          </w:tcPr>
          <w:p>
            <w:pPr>
              <w:jc w:val="right"/>
              <w:spacing w:after="0"/>
              <w:rPr>
                <w:sz w:val="20"/>
                <w:szCs w:val="20"/>
                <w:color w:val="auto"/>
              </w:rPr>
            </w:pPr>
            <w:r>
              <w:rPr>
                <w:rFonts w:ascii="Arial" w:cs="Arial" w:eastAsia="Arial" w:hAnsi="Arial"/>
                <w:sz w:val="14"/>
                <w:szCs w:val="14"/>
                <w:color w:val="auto"/>
              </w:rPr>
              <w:t>1,068</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26.0%</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7"/>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2,148</w:t>
            </w:r>
          </w:p>
        </w:tc>
        <w:tc>
          <w:tcPr>
            <w:tcW w:w="20" w:type="dxa"/>
            <w:vAlign w:val="bottom"/>
            <w:shd w:val="clear" w:color="auto" w:fill="000000"/>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8,169</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10,317</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5,684</w:t>
            </w: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1"/>
              </w:rPr>
              <w:t>122.7%</w:t>
            </w:r>
          </w:p>
        </w:tc>
        <w:tc>
          <w:tcPr>
            <w:tcW w:w="1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4"/>
                <w:szCs w:val="14"/>
                <w:color w:val="auto"/>
              </w:rPr>
              <w:t>Gross revenue</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$96,833</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$81,804</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$258,761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247,010</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$355,594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328,814</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$268,927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294,041</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$86,667</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$34,773</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32.2%</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-711200</wp:posOffset>
            </wp:positionV>
            <wp:extent cx="5213985" cy="1200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3985" cy="120015"/>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-351155</wp:posOffset>
            </wp:positionV>
            <wp:extent cx="171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-351155</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-1045845</wp:posOffset>
            </wp:positionV>
            <wp:extent cx="342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-1045845</wp:posOffset>
            </wp:positionV>
            <wp:extent cx="342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-1045845</wp:posOffset>
            </wp:positionV>
            <wp:extent cx="431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-1045845</wp:posOffset>
            </wp:positionV>
            <wp:extent cx="342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31" w:lineRule="exact"/>
        <w:rPr>
          <w:rFonts w:ascii="Arial" w:cs="Arial" w:eastAsia="Arial" w:hAnsi="Arial"/>
          <w:sz w:val="16"/>
          <w:szCs w:val="16"/>
          <w:color w:val="auto"/>
        </w:rPr>
      </w:pPr>
    </w:p>
    <w:p>
      <w:pPr>
        <w:ind w:left="1620" w:right="839" w:hanging="352"/>
        <w:spacing w:after="0" w:line="264"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Subscription fees for the combined year ended December 31, 2018 and the year ended December 31, 2017 include $50.3 million and $50.1 million, respectively, of Refinitiv (formerly Thomson Reuters) market data fees.</w:t>
      </w:r>
    </w:p>
    <w:p>
      <w:pPr>
        <w:spacing w:after="0" w:line="73"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 Transaction fees increased by $103.9 million or 38.9% to $370.9 million for the combined year ended December 31, 2018 from $267.0 million for the year ended December 31, 2017 from increased Institutional transactional volumes for U.S. credit products, derivative products (led by Dollar swaps, European interest rate swaps and U.S. and European credit default indexes), U.S. and European ETF, European repurchase agreements and U.S. Treasury, as well as adjustments to contracts as a result of MiFID II pursuant to which annual subscription fees were replaced with monthly minimum transaction fees and the product launch of China bonds.</w:t>
      </w:r>
    </w:p>
    <w:p>
      <w:pPr>
        <w:spacing w:after="0" w:line="81"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decreased by $4.0 million or (2.1)% to $190.5 million for the combined year ended December 31, 2018 from $194.5 million for the year ended December 31, 2017 due primarily to a $10.3 million decline from MiFID II contract adjustments where certain annual subscription fees were replaced with monthly minimum transaction fees, partially offset by a $2.5 million increase in market data fees, a $1.4 million increase in Retail fees and a $2.6 million increase in Institutional fees.</w:t>
      </w:r>
    </w:p>
    <w:p>
      <w:pPr>
        <w:spacing w:after="0" w:line="64"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$15.9 million or 16.5% to $112.7 million for the combined year ended December 31, 2018 from $96.7 million for the year ended December 31, 2017 primarily due to higher trading volumes in our Wholesale client sector for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$5.7 million or 121.8% to $10.4 million for the combined year ended December 31, 2018 from $4.7 million for the year ended December 31, 2017 primarily as a result of revenue from our APA reporting service launched in January 2018 in response to MiFID II. Other fees also consisted of fees from a third party for certain licensing and development in Canada.</w:t>
      </w:r>
    </w:p>
    <w:p>
      <w:pPr>
        <w:spacing w:after="0" w:line="79"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u w:val="single" w:color="auto"/>
          <w:color w:val="auto"/>
        </w:rPr>
        <w:t>Contingent consideration</w:t>
      </w:r>
      <w:r>
        <w:rPr>
          <w:rFonts w:ascii="Arial" w:cs="Arial" w:eastAsia="Arial" w:hAnsi="Arial"/>
          <w:sz w:val="17"/>
          <w:szCs w:val="17"/>
          <w:color w:val="auto"/>
        </w:rPr>
        <w:t>. Contingent consideration decreased by $31.7 million or (54.2)% to $26.8 million for the combined year ended December 31, 2018 from $58.5 million for the year ended December 31, 2017. The decrease was a result of changes in projected and actual revenues related to the Credit Initiative Earnout during the periods and the vesting of the Credit Initiative Earnout at July 31, 2018.</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gross revenue by client sector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$103,971</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$301,918</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$405,889</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$318,038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87,851</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99,028</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137,181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118,451</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18,730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57,766</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77,546</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70,857</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6,689</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47,059</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63,792</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55,622</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-1362710</wp:posOffset>
            </wp:positionV>
            <wp:extent cx="137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-1362710</wp:posOffset>
            </wp:positionV>
            <wp:extent cx="1289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-1362710</wp:posOffset>
            </wp:positionV>
            <wp:extent cx="12890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5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Revenues from our Institutional client sector increased by $87.9 million or 27.6% to $405.9 million for the combined year ended December 31, 2018 from $318.0 million for the year ended December 31, 2017. The increase was derived primarily from increased Institutional transactional volumes for U.S. and European credit products, derivative products (led by European interest rate swaps, Dollar swaps and U.S. and European credit default indexes), U.S. and European ETF, European government bonds, U.S. Treasury, European repurchase agreements and the product launch of China bonds.</w:t>
      </w:r>
    </w:p>
    <w:p>
      <w:pPr>
        <w:spacing w:after="0" w:line="7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$18.7 million or 15.8% to $137.2 million for the combined year ended December 31, 2018 from $118.5 million for the year ended December 31, 2017. Revenue increased primarily due to higher trading volumes in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jc w:val="both"/>
        <w:ind w:left="1260" w:right="999"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$6.7 million or 9.4% to $77.5 million for the combined year ended December 31, 2018 from $70.9 million for the year ended December 31, 2017 primarily due to strong middle markets trading volumes.</w:t>
      </w:r>
    </w:p>
    <w:p>
      <w:pPr>
        <w:spacing w:after="0" w:line="73" w:lineRule="exact"/>
        <w:rPr>
          <w:sz w:val="20"/>
          <w:szCs w:val="20"/>
          <w:color w:val="auto"/>
        </w:rPr>
      </w:pPr>
    </w:p>
    <w:p>
      <w:pPr>
        <w:ind w:left="1260" w:right="999" w:firstLine="360"/>
        <w:spacing w:after="0" w:line="27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our Market Data client sector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939" w:firstLine="360"/>
        <w:spacing w:after="0" w:line="264" w:lineRule="auto"/>
        <w:rPr>
          <w:sz w:val="20"/>
          <w:szCs w:val="20"/>
          <w:color w:val="auto"/>
        </w:rPr>
      </w:pPr>
      <w:r>
        <w:rPr>
          <w:rFonts w:ascii="Arial" w:cs="Arial" w:eastAsia="Arial" w:hAnsi="Arial"/>
          <w:sz w:val="18"/>
          <w:szCs w:val="18"/>
          <w:color w:val="auto"/>
        </w:rPr>
        <w:t>Our gross revenue by asset class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Rates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97,592</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$281,641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$379,233</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$324,302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54,931</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37,204</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102,452</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139,656</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105,336</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34,320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12,592</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28,347</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40,939</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23,681</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17,258</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72.9%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25,248</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34,741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28,633</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6,108</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Market Data</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16,733</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47,059</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63,792</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55,622</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8,170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21,024</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26,047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25,394</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-1689100</wp:posOffset>
            </wp:positionV>
            <wp:extent cx="137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-1689100</wp:posOffset>
            </wp:positionV>
            <wp:extent cx="1289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-1689100</wp:posOffset>
            </wp:positionV>
            <wp:extent cx="1289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50" w:lineRule="exact"/>
        <w:rPr>
          <w:sz w:val="20"/>
          <w:szCs w:val="20"/>
          <w:color w:val="auto"/>
        </w:rPr>
      </w:pPr>
    </w:p>
    <w:p>
      <w:pPr>
        <w:jc w:val="both"/>
        <w:ind w:left="1260" w:right="879" w:firstLine="360"/>
        <w:spacing w:after="0" w:line="259"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$54.9 million or 16.9% to $379.2 million for the combined year ended December 31, 2018 from $324.3 million for the year ended December 31, 2017 primarily due to increased Institutional transactional volumes in European interest rate swaps, Dollar swaps, U.S Treasury and European governments.</w:t>
      </w:r>
    </w:p>
    <w:p>
      <w:pPr>
        <w:spacing w:after="0" w:line="79"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$34.3 million or 32.6% to $139.7 million for the combined year ended December 31, 2018 from $105.3 million for the year ended December 31, 2017 primarily due to increased Institutional and Wholesale transactional volumes for U.S. credit products, increased Institutional transaction volumes for U.S. and European credit default indexes, European credit products and the product launch of China bonds. The revenue increase was partially offset by lower Wholesale municipal bond volumes.</w:t>
      </w:r>
    </w:p>
    <w:p>
      <w:pPr>
        <w:spacing w:after="0" w:line="8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u w:val="single" w:color="auto"/>
          <w:color w:val="auto"/>
        </w:rPr>
        <w:t>Equities</w:t>
      </w:r>
      <w:r>
        <w:rPr>
          <w:rFonts w:ascii="Arial" w:cs="Arial" w:eastAsia="Arial" w:hAnsi="Arial"/>
          <w:sz w:val="17"/>
          <w:szCs w:val="17"/>
          <w:color w:val="auto"/>
        </w:rPr>
        <w:t>. Revenues from our Equities asset class increased by $17.3 million or 72.9% to $40.9 million for the combined year ended December 31, 2018 from $23.7 million for the year ended December 31, 2017 primarily due to increased Institutional transactional volumes for U.S. and European ETF.</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$6.1 million or 21.3%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$34.7 million for the combined year ended December 31, 2018 from $28.6 million for the year ended December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31, 2017 primarily due to increased Wholesale transactional volumes for repurchase agreements and higher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Institutional transactional volumes for European repurchase agreements.</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80"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$0.7 million or 2.6% to $26.0 million for the combined year ended December 31, 2018 from $25.4 million for the year ended December 31, 2017 primarily due to increased Retail fees for software development and implementation.</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2018 and 2017 were as follows:</w:t>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40" w:type="dxa"/>
            <w:vAlign w:val="bottom"/>
            <w:gridSpan w:val="3"/>
          </w:tcPr>
          <w:p>
            <w:pPr>
              <w:ind w:left="500"/>
              <w:spacing w:after="0"/>
              <w:rPr>
                <w:sz w:val="20"/>
                <w:szCs w:val="20"/>
                <w:color w:val="auto"/>
              </w:rPr>
            </w:pPr>
            <w:r>
              <w:rPr>
                <w:rFonts w:ascii="Arial" w:cs="Arial" w:eastAsia="Arial" w:hAnsi="Arial"/>
                <w:sz w:val="14"/>
                <w:szCs w:val="14"/>
                <w:b w:val="1"/>
                <w:bCs w:val="1"/>
                <w:color w:val="auto"/>
                <w:w w:val="99"/>
              </w:rPr>
              <w:t>Year Ended December 31,</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jc w:val="right"/>
              <w:ind w:right="77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jc w:val="right"/>
              <w:ind w:right="776"/>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ADV</w:t>
            </w: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Volume</w:t>
            </w: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ADV</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Volume</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$88,870,842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$63,671,445</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Credit</w:t>
            </w:r>
          </w:p>
        </w:tc>
        <w:tc>
          <w:tcPr>
            <w:tcW w:w="820" w:type="dxa"/>
            <w:vAlign w:val="bottom"/>
          </w:tcPr>
          <w:p>
            <w:pPr>
              <w:jc w:val="right"/>
              <w:spacing w:after="0"/>
              <w:rPr>
                <w:sz w:val="20"/>
                <w:szCs w:val="20"/>
                <w:color w:val="auto"/>
              </w:rPr>
            </w:pPr>
            <w:r>
              <w:rPr>
                <w:rFonts w:ascii="Arial" w:cs="Arial" w:eastAsia="Arial" w:hAnsi="Arial"/>
                <w:sz w:val="18"/>
                <w:szCs w:val="18"/>
                <w:color w:val="auto"/>
              </w:rPr>
              <w:t>12,658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3,186,209</w:t>
            </w:r>
          </w:p>
        </w:tc>
        <w:tc>
          <w:tcPr>
            <w:tcW w:w="840" w:type="dxa"/>
            <w:vAlign w:val="bottom"/>
          </w:tcPr>
          <w:p>
            <w:pPr>
              <w:jc w:val="right"/>
              <w:spacing w:after="0"/>
              <w:rPr>
                <w:sz w:val="20"/>
                <w:szCs w:val="20"/>
                <w:color w:val="auto"/>
              </w:rPr>
            </w:pPr>
            <w:r>
              <w:rPr>
                <w:rFonts w:ascii="Arial" w:cs="Arial" w:eastAsia="Arial" w:hAnsi="Arial"/>
                <w:sz w:val="18"/>
                <w:szCs w:val="18"/>
                <w:color w:val="auto"/>
              </w:rPr>
              <w:t>7,554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1,864,700</w:t>
            </w:r>
          </w:p>
        </w:tc>
        <w:tc>
          <w:tcPr>
            <w:tcW w:w="1000" w:type="dxa"/>
            <w:vAlign w:val="bottom"/>
          </w:tcPr>
          <w:p>
            <w:pPr>
              <w:ind w:left="3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1,962,566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1,214,081</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Money Markets</w:t>
            </w:r>
          </w:p>
        </w:tc>
        <w:tc>
          <w:tcPr>
            <w:tcW w:w="820" w:type="dxa"/>
            <w:vAlign w:val="bottom"/>
          </w:tcPr>
          <w:p>
            <w:pPr>
              <w:jc w:val="right"/>
              <w:spacing w:after="0"/>
              <w:rPr>
                <w:sz w:val="20"/>
                <w:szCs w:val="20"/>
                <w:color w:val="auto"/>
              </w:rPr>
            </w:pPr>
            <w:r>
              <w:rPr>
                <w:rFonts w:ascii="Arial" w:cs="Arial" w:eastAsia="Arial" w:hAnsi="Arial"/>
                <w:sz w:val="18"/>
                <w:szCs w:val="18"/>
                <w:color w:val="auto"/>
              </w:rPr>
              <w:t>173,743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43,462,916</w:t>
            </w:r>
          </w:p>
        </w:tc>
        <w:tc>
          <w:tcPr>
            <w:tcW w:w="840" w:type="dxa"/>
            <w:vAlign w:val="bottom"/>
          </w:tcPr>
          <w:p>
            <w:pPr>
              <w:jc w:val="right"/>
              <w:spacing w:after="0"/>
              <w:rPr>
                <w:sz w:val="20"/>
                <w:szCs w:val="20"/>
                <w:color w:val="auto"/>
              </w:rPr>
            </w:pPr>
            <w:r>
              <w:rPr>
                <w:rFonts w:ascii="Arial" w:cs="Arial" w:eastAsia="Arial" w:hAnsi="Arial"/>
                <w:sz w:val="18"/>
                <w:szCs w:val="18"/>
                <w:color w:val="auto"/>
              </w:rPr>
              <w:t>132,105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33,060,749</w:t>
            </w:r>
          </w:p>
        </w:tc>
        <w:tc>
          <w:tcPr>
            <w:tcW w:w="1000" w:type="dxa"/>
            <w:vAlign w:val="bottom"/>
          </w:tcPr>
          <w:p>
            <w:pPr>
              <w:ind w:left="3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-814070</wp:posOffset>
            </wp:positionV>
            <wp:extent cx="137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-814070</wp:posOffset>
            </wp:positionV>
            <wp:extent cx="1371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-814070</wp:posOffset>
            </wp:positionV>
            <wp:extent cx="1371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believe the increases in average daily volumes in the year ended December 31, 2018 can be attributed to various factors, including increased volatility, further electronification of trading activities, increase in market share, new products and new clients. In addition, we believe that certain trading volumes increased in the year ended December 31, 2018 as customers adapted to electronic trading in order to comply with obligations pursuant to MiFID II, which was implemented by regulatory bodies in Europe in January 2018.</w:t>
      </w:r>
    </w:p>
    <w:p>
      <w:pPr>
        <w:spacing w:after="0" w:line="50"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average variable fees per million dollars of volume traded on our trading platforms by asset class for the years ended December 31, 2018 and 2017 are summarized below.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23.2% for the year ended December 31, 2018 while gross revenue for our Credit asset class increased 32.6% over the same period.</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5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5300" w:type="dxa"/>
            <w:vAlign w:val="bottom"/>
          </w:tcPr>
          <w:p>
            <w:pPr>
              <w:spacing w:after="0"/>
              <w:rPr>
                <w:sz w:val="17"/>
                <w:szCs w:val="17"/>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5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300" w:type="dxa"/>
            <w:vAlign w:val="bottom"/>
          </w:tcPr>
          <w:p>
            <w:pPr>
              <w:spacing w:after="0"/>
              <w:rPr>
                <w:sz w:val="20"/>
                <w:szCs w:val="20"/>
                <w:color w:val="auto"/>
              </w:rPr>
            </w:pPr>
            <w:r>
              <w:rPr>
                <w:rFonts w:ascii="Arial" w:cs="Arial" w:eastAsia="Arial" w:hAnsi="Arial"/>
                <w:sz w:val="18"/>
                <w:szCs w:val="18"/>
                <w:color w:val="auto"/>
              </w:rPr>
              <w:t>Rates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$ 2.04</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$ 2.26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(0.22)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Credit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37.42</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48.72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(23.2)%</w:t>
            </w:r>
          </w:p>
        </w:tc>
      </w:tr>
      <w:tr>
        <w:trPr>
          <w:trHeight w:val="25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2"/>
                <w:szCs w:val="22"/>
                <w:color w:val="auto"/>
              </w:rPr>
            </w:pP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Money Markets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0.46</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-668020</wp:posOffset>
            </wp:positionV>
            <wp:extent cx="5213985"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Our gross revenue by geography (based on client location)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$115,907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$324,304</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$440,211</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$385,176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55,035</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62,730</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181,467</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244,197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177,792</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66,405</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-1036955</wp:posOffset>
            </wp:positionV>
            <wp:extent cx="137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-1036955</wp:posOffset>
            </wp:positionV>
            <wp:extent cx="12890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-1036955</wp:posOffset>
            </wp:positionV>
            <wp:extent cx="1289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68" w:lineRule="exact"/>
        <w:rPr>
          <w:sz w:val="20"/>
          <w:szCs w:val="20"/>
          <w:color w:val="auto"/>
        </w:rPr>
      </w:pPr>
    </w:p>
    <w:p>
      <w:pPr>
        <w:ind w:left="1620" w:right="819" w:hanging="352"/>
        <w:spacing w:after="0" w:line="308" w:lineRule="auto"/>
        <w:tabs>
          <w:tab w:leader="none" w:pos="1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Represents the combined results of the Successor and Predecessor periods for the full year ended December 31, 2018. This combination was performed by mathematical addition and is not a</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979"/>
        <w:spacing w:after="0" w:line="259" w:lineRule="auto"/>
        <w:rPr>
          <w:sz w:val="20"/>
          <w:szCs w:val="20"/>
          <w:color w:val="auto"/>
        </w:rPr>
      </w:pPr>
      <w:r>
        <w:rPr>
          <w:rFonts w:ascii="Arial" w:cs="Arial" w:eastAsia="Arial" w:hAnsi="Arial"/>
          <w:sz w:val="18"/>
          <w:szCs w:val="18"/>
          <w:color w:val="auto"/>
        </w:rPr>
        <w:t>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79" w:lineRule="exact"/>
        <w:rPr>
          <w:sz w:val="20"/>
          <w:szCs w:val="20"/>
          <w:color w:val="auto"/>
        </w:rPr>
      </w:pPr>
    </w:p>
    <w:p>
      <w:pPr>
        <w:ind w:left="1260" w:right="919" w:firstLine="360"/>
        <w:spacing w:after="0" w:line="273"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$55.0 million or 14.3% to $440.2 million for the combined year ended December 31, 2018 from $385.2 million for the year ended December 31, 2017 primarily due to increased transactional volumes from our Institutional client sector for U.S. credit products, U.S. ETF and U.S. Treasury, higher trading volumes from our Wholesale client sector, which saw an increase in volumes for U.S. credit, U.S. Treasury and repurchase agreements and higher trading volumes for our Retail client sector, which saw an increase in middle markets trading volumes.</w:t>
      </w:r>
    </w:p>
    <w:p>
      <w:pPr>
        <w:spacing w:after="0" w:line="70" w:lineRule="exact"/>
        <w:rPr>
          <w:sz w:val="20"/>
          <w:szCs w:val="20"/>
          <w:color w:val="auto"/>
        </w:rPr>
      </w:pPr>
    </w:p>
    <w:p>
      <w:pPr>
        <w:ind w:left="1260" w:right="959" w:firstLine="360"/>
        <w:spacing w:after="0" w:line="297"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$66.4 million or 37.3% to $244.2 million for the combined year ended December 31, 2018 from $177.8 million for the year ended December 31, 2017 primarily due to increased transactional volumes from our Institutional client sector for European interest rate swaps, European credit default indexes, European ETF, European governments and European credit products. Fluctuations in foreign currency rates increased our International gross revenue by $9.1 million.</w:t>
      </w: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expenses for the 2018 Successor Period, the 2018 Predecessor Period and the year ended December 31,</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6"/>
            <w:vMerge w:val="restart"/>
          </w:tcPr>
          <w:p>
            <w:pPr>
              <w:ind w:left="5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90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80,436</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$ 209,053</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$ 248,963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33,020</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48,808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68,615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23,056</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33,973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9,907</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26,598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30,013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20,360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19,351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Occupancy</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10,732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14,441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146,702</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$ 338,607</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415,356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907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-1362710</wp:posOffset>
            </wp:positionV>
            <wp:extent cx="137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-1362710</wp:posOffset>
            </wp:positionV>
            <wp:extent cx="12890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Employee compensation and benefits expense for the 2018 Successor Period and the 2018 Predecessor Period was $80.4 million and $209.1 million, respectively. The changes in basis resulting from the Refinitiv Transaction and the application of pushdown accounting did not impact employee compensation and benefits expense. Employee compensation and benefits expense increased by $40.5 million or 16.3% to $289.5 million for the combined year ended December 31, 2018 from $249.0 million for the year ended December 31, 2017. The increase was due to a $14.1 million increase in salaries and benefits, due to an increase in employee headcount, and an increase in annual incentive compensation of $26.0 million, which is based on operating performance, primarily due to our financial results. Total employee headcount increased to 919 as of December 31, 2018 from 857 as of December 31, 2017.</w:t>
      </w:r>
    </w:p>
    <w:p>
      <w:pPr>
        <w:spacing w:after="0" w:line="5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for the 2018 Successor Period and the 2018 Predecessor Period was $33.0 million and $48.8 million, respectively. Depreciation and amortization expense was $68.6 million for the year ended December 31, 2017. As a result of the Refinitiv Transaction and the application of pushdown accounting, we adjusted our assets and liabilities to their estimated fair market values as of October 1, 2018, which resulted in an increase in depreciation of tangible assets and amortization of our intangible assets. The impact of such adjustments increased depreciation and amortization expense during the 2018 Successor Period by $15.9 million.</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for the 2018 Successor Period and the</w:t>
      </w:r>
    </w:p>
    <w:p>
      <w:pPr>
        <w:spacing w:after="0" w:line="46"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2018 Predecessor Period was $11.8 million and $23.1 million, respectively. The changes in basis resulting from the Refinitiv Transaction and the application of pushdown accounting did not impact general and administrative expense. General and administrative expense increased by $0.9 million or 2.7% to $34.9 million for the combined year ended December 31, 2018 from $34.0 million for the year ended December 31, 2017. The increase was primarily a result of $1.0 million in recruiting and expatriate expense, $0.9 million increase in marketing expense due to increased marketing efforts for key growth, client acquisition and regulatory initiatives, $0.5 million increase in value-added taxes and $0.8 million increase in other administrative fees, partially offset by a reduction in foreign exchange losses of $2.4 million.</w:t>
      </w:r>
    </w:p>
    <w:p>
      <w:pPr>
        <w:spacing w:after="0" w:line="76"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color w:val="auto"/>
        </w:rPr>
        <w:t>. Technology and communications expense for the 2018 Successor Period and the 2018 Predecessor Period was $9.9 million and $26.6 million, respectively. The changes in basis resulting from the Refinitiv Transaction and the application of pushdown accounting did not impact technology and communications expense. Technology and communications expense increased by $6.5 million or 21.6% to $36.5 million for the combined year ended December 31, 2018 from $30.0 million for the year ended December 31, 2017. The increase was primarily due to an increase in third-party software and technology maintenance and support as a result of certain cybersecurity and infrastructure initiatives and increased clearance fees as a result of higher trading volumes.</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Professional fees for the 2018 Successor Period and the 2018 Predecessor Period was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$8.2 million and $20.4 million, respectively. The changes in basis resulting from the Refinitiv Transaction and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application of pushdown accounting did not impact professional fees. Professional fees increased by $9.2 million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or 47.6% to $28.6 million for the combined year ended December 31, 2018 from $19.4 million for the year ended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The increase was primarily due to higher investment banking advisory, legal and audit fees,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fees incurred in preparation for this offering.</w:t>
      </w:r>
    </w:p>
    <w:p>
      <w:pPr>
        <w:spacing w:after="0" w:line="10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for the 2018 Successor Period and the 2018 Predecessor Period was $3.3 million and $10.7 million, respectively. Occupancy expense for the year ended December 31, 2017 was $14.4 million. As a result of the Refinitiv Transaction and the application of pushdown accounting, at October 1, 2018, we established a leasehold interest liability, which resulted in a $0.1 million decrease in occupancy expense in the 2018 Successor Period.</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Net interest income for the 2018 Successor Period and the 2018 Predecessor Period was $0.8 million and $1.7 million, respectively. Net interest income for the year ended December 31, 2017 was $0.7 million. Net interest income for the 2018 Successor Period and the 2018 Predecessor Period was impacted by an increase in interest rates. Net interest income for the year ended December 31, 2017 was impacted by the conversion of our former convertible notes into equity in May 2017.</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Provision for income taxes for the 2018 Successor Period and the 2018 Predecessor Period was $3.4 million and $11.9 million, respectively. Provision for income taxes for the year ended December 31, 2017 was $6.1 million. Provision for income taxes for the 2018 Successor Period and the 2018 Predecessor Period was impacted by increased earnings which resulted in higher tax expense in certain jurisdictions. Provision for income taxes for the 2018 Predecessor Period was also impacted by a $3.3 million adjustment related to an uncertain tax position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a summary of our statements of income for the years ended December 31,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 and the resulting dollar and percentage changes: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4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7"/>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center"/>
              <w:ind w:left="373"/>
              <w:spacing w:after="0"/>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70"/>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562,968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518,404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44,564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(58,520)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(26,224)</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(32,296)</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123.2%</w:t>
            </w:r>
          </w:p>
        </w:tc>
      </w:tr>
      <w:tr>
        <w:trPr>
          <w:trHeight w:val="20"/>
        </w:trPr>
        <w:tc>
          <w:tcPr>
            <w:tcW w:w="48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504,448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492,180</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12,268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415,356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399,049</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16,307</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89,092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93,131</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(4,039)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1,380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(198.6)%</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89,777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92,436</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(2,659)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6,854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(945.4)%</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83,648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(9,513)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1803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5213985"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-882650</wp:posOffset>
            </wp:positionV>
            <wp:extent cx="5213985"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-1225550</wp:posOffset>
            </wp:positionV>
            <wp:extent cx="603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-1225550</wp:posOffset>
            </wp:positionV>
            <wp:extent cx="18859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-1225550</wp:posOffset>
            </wp:positionV>
            <wp:extent cx="42367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23672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-1697355</wp:posOffset>
            </wp:positionV>
            <wp:extent cx="137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-1697355</wp:posOffset>
            </wp:positionV>
            <wp:extent cx="137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Gross revenue increased by $44.6 million or 8.6% to $563.0 million for the year ended December 31, 2017 from $518.4 million for the year ended December 31, 2016. This increase in gross revenue was mainly due to higher trading volumes resulting in a $36.8 million increase in transaction fees and a $5.1 million increase in commissions. Net revenue increased by $12.3 million or 2.5% to $504.4 million for the year ended December 31, 2017 from $492.2 million for the year ended December 31, 2016. The $44.6 million increase in gross revenue was offset by a $32.3 million increase in non-cash contingent consideration as a result of higher projected revenues related to the Credit Initiative Earnout.</w:t>
      </w:r>
    </w:p>
    <w:p>
      <w:pPr>
        <w:spacing w:after="0" w:line="70" w:lineRule="exact"/>
        <w:rPr>
          <w:sz w:val="20"/>
          <w:szCs w:val="20"/>
          <w:color w:val="auto"/>
        </w:rPr>
      </w:pPr>
    </w:p>
    <w:p>
      <w:pPr>
        <w:jc w:val="both"/>
        <w:ind w:left="1260" w:right="859" w:firstLine="360"/>
        <w:spacing w:after="0" w:line="279" w:lineRule="auto"/>
        <w:rPr>
          <w:sz w:val="20"/>
          <w:szCs w:val="20"/>
          <w:color w:val="auto"/>
        </w:rPr>
      </w:pPr>
      <w:r>
        <w:rPr>
          <w:rFonts w:ascii="Arial" w:cs="Arial" w:eastAsia="Arial" w:hAnsi="Arial"/>
          <w:sz w:val="17"/>
          <w:szCs w:val="17"/>
          <w:color w:val="auto"/>
        </w:rPr>
        <w:t>Total expenses increased by $16.3 million or 4.1% to $415.4 million for the year ended December 31, 2017 from $399.0 million for the year ended December 31, 2016. This increase was primarily due to higher employee compensation and benefits expense of $20.4 million and higher general and administrative expense of $6.6 million offset by lower depreciation and amortization expense of $12.2 million.</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Income before taxes decreased by $2.7 million or (2.9)% to $89.8 million for the year ended December 31,</w:t>
      </w:r>
    </w:p>
    <w:p>
      <w:pPr>
        <w:spacing w:after="0" w:line="46" w:lineRule="exact"/>
        <w:rPr>
          <w:sz w:val="20"/>
          <w:szCs w:val="20"/>
          <w:color w:val="auto"/>
        </w:rPr>
      </w:pPr>
    </w:p>
    <w:p>
      <w:pPr>
        <w:ind w:left="1260" w:right="1339"/>
        <w:spacing w:after="0" w:line="302" w:lineRule="auto"/>
        <w:rPr>
          <w:sz w:val="20"/>
          <w:szCs w:val="20"/>
          <w:color w:val="auto"/>
        </w:rPr>
      </w:pPr>
      <w:r>
        <w:rPr>
          <w:rFonts w:ascii="Arial" w:cs="Arial" w:eastAsia="Arial" w:hAnsi="Arial"/>
          <w:sz w:val="16"/>
          <w:szCs w:val="16"/>
          <w:color w:val="auto"/>
        </w:rPr>
        <w:t>2017 from $92.4 million for the year ended December 31, 2016. Net income decreased by $9.5 million or (10.2)% to $83.6 million for the year ended December 31, 2017 from $93.2 million for the year ended December 31, 2016. These decreases were due to the increase in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159" w:firstLine="360"/>
        <w:spacing w:after="0" w:line="262" w:lineRule="auto"/>
        <w:rPr>
          <w:sz w:val="20"/>
          <w:szCs w:val="20"/>
          <w:color w:val="auto"/>
        </w:rPr>
      </w:pPr>
      <w:r>
        <w:rPr>
          <w:rFonts w:ascii="Arial" w:cs="Arial" w:eastAsia="Arial" w:hAnsi="Arial"/>
          <w:sz w:val="18"/>
          <w:szCs w:val="18"/>
          <w:color w:val="auto"/>
        </w:rPr>
        <w:t>Our revenues for the years ended December 31, 2017 and 2016, and the resulting dollar and percentage changes, were as follows:</w:t>
      </w:r>
    </w:p>
    <w:p>
      <w:pPr>
        <w:spacing w:after="0" w:line="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Year Ended December 31,</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7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 of Gross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 Gross</w:t>
            </w: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Revenue</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2"/>
              </w:rPr>
              <w:t>(dollars in thousands)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$267,020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$230,171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$ 36,849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3180" w:type="dxa"/>
            <w:vAlign w:val="bottom"/>
            <w:gridSpan w:val="2"/>
          </w:tcPr>
          <w:p>
            <w:pPr>
              <w:spacing w:after="0" w:line="270"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194,534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191,983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96,745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91,663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4,587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562,968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518,404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44,564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(58,520)</w:t>
            </w: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(26,224)</w:t>
            </w: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(32,296)</w:t>
            </w: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$504,448</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$492,180</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$ 12,268</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line="192" w:lineRule="exact"/>
              <w:rPr>
                <w:sz w:val="20"/>
                <w:szCs w:val="20"/>
                <w:color w:val="auto"/>
              </w:rPr>
            </w:pPr>
            <w:r>
              <w:rPr>
                <w:rFonts w:ascii="Arial" w:cs="Arial" w:eastAsia="Arial" w:hAnsi="Arial"/>
                <w:sz w:val="18"/>
                <w:szCs w:val="18"/>
                <w:color w:val="auto"/>
              </w:rPr>
              <w:t>Components of gross revenue growth:</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1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18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Constant currency growth</w:t>
            </w:r>
            <w:r>
              <w:rPr>
                <w:rFonts w:ascii="Arial" w:cs="Arial" w:eastAsia="Arial" w:hAnsi="Arial"/>
                <w:sz w:val="27"/>
                <w:szCs w:val="27"/>
                <w:color w:val="auto"/>
                <w:vertAlign w:val="superscript"/>
              </w:rPr>
              <w:t>(2)</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Foreign currency impact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Total gross revenue growth</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-1714500</wp:posOffset>
            </wp:positionV>
            <wp:extent cx="5213985"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-1379855</wp:posOffset>
            </wp:positionV>
            <wp:extent cx="5213985"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-650875</wp:posOffset>
            </wp:positionV>
            <wp:extent cx="5213985" cy="3086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-170815</wp:posOffset>
            </wp:positionV>
            <wp:extent cx="5213985"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-2194560</wp:posOffset>
            </wp:positionV>
            <wp:extent cx="1371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-2194560</wp:posOffset>
            </wp:positionV>
            <wp:extent cx="137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-2194560</wp:posOffset>
            </wp:positionV>
            <wp:extent cx="137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-2194560</wp:posOffset>
            </wp:positionV>
            <wp:extent cx="12001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-2194560</wp:posOffset>
            </wp:positionV>
            <wp:extent cx="12001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799" w:hanging="352"/>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129" w:lineRule="exact"/>
        <w:rPr>
          <w:rFonts w:ascii="Arial" w:cs="Arial" w:eastAsia="Arial" w:hAnsi="Arial"/>
          <w:sz w:val="18"/>
          <w:szCs w:val="18"/>
          <w:color w:val="auto"/>
        </w:rPr>
      </w:pPr>
    </w:p>
    <w:p>
      <w:pPr>
        <w:ind w:left="1620" w:right="939" w:hanging="352"/>
        <w:spacing w:after="0" w:line="312" w:lineRule="auto"/>
        <w:tabs>
          <w:tab w:leader="none" w:pos="1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39" w:lineRule="exact"/>
        <w:rPr>
          <w:sz w:val="20"/>
          <w:szCs w:val="20"/>
          <w:color w:val="auto"/>
        </w:rPr>
      </w:pPr>
    </w:p>
    <w:p>
      <w:pPr>
        <w:ind w:left="1260" w:right="1439" w:firstLine="360"/>
        <w:spacing w:after="0" w:line="277" w:lineRule="auto"/>
        <w:rPr>
          <w:sz w:val="20"/>
          <w:szCs w:val="20"/>
          <w:color w:val="auto"/>
        </w:rPr>
      </w:pPr>
      <w:r>
        <w:rPr>
          <w:rFonts w:ascii="Arial" w:cs="Arial" w:eastAsia="Arial" w:hAnsi="Arial"/>
          <w:sz w:val="18"/>
          <w:szCs w:val="18"/>
          <w:color w:val="auto"/>
        </w:rPr>
        <w:t>Our revenues by fee type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Fixed</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Variable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Fixed</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Variable</w:t>
            </w: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Fixed</w:t>
            </w:r>
          </w:p>
        </w:tc>
      </w:tr>
      <w:tr>
        <w:trPr>
          <w:trHeight w:val="175"/>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$210,198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56,822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$176,060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54,111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$34,138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$2,711</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19.4%</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w w:val="87"/>
              </w:rPr>
              <w:t>5.0%</w:t>
            </w:r>
          </w:p>
        </w:tc>
      </w:tr>
      <w:tr>
        <w:trPr>
          <w:trHeight w:val="230"/>
        </w:trPr>
        <w:tc>
          <w:tcPr>
            <w:tcW w:w="1980" w:type="dxa"/>
            <w:vAlign w:val="bottom"/>
            <w:tcBorders>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7"/>
                <w:szCs w:val="17"/>
                <w:color w:val="auto"/>
              </w:rPr>
              <w:t>Subscription fees</w:t>
            </w:r>
            <w:r>
              <w:rPr>
                <w:rFonts w:ascii="Arial" w:cs="Arial" w:eastAsia="Arial" w:hAnsi="Arial"/>
                <w:sz w:val="26"/>
                <w:szCs w:val="26"/>
                <w:color w:val="auto"/>
                <w:vertAlign w:val="superscript"/>
              </w:rPr>
              <w:t>(1)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192,959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190,487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4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w w:val="71"/>
              </w:rPr>
              <w:t>1.3%</w:t>
            </w:r>
          </w:p>
        </w:tc>
        <w:tc>
          <w:tcPr>
            <w:tcW w:w="80" w:type="dxa"/>
            <w:vAlign w:val="bottom"/>
          </w:tcPr>
          <w:p>
            <w:pPr>
              <w:spacing w:after="0"/>
              <w:rPr>
                <w:sz w:val="19"/>
                <w:szCs w:val="19"/>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57,118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39,627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54,194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37,469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5.4%</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w w:val="87"/>
              </w:rPr>
              <w:t>5.8%</w:t>
            </w:r>
          </w:p>
        </w:tc>
      </w:tr>
      <w:tr>
        <w:trPr>
          <w:trHeight w:val="24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4,633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4,557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6</w:t>
            </w:r>
            <w:r>
              <w:rPr>
                <w:rFonts w:ascii="Arial" w:cs="Arial" w:eastAsia="Arial" w:hAnsi="Arial"/>
                <w:sz w:val="18"/>
                <w:szCs w:val="18"/>
                <w:color w:val="auto"/>
              </w:rPr>
              <w:t>%   1.7%</w:t>
            </w:r>
          </w:p>
        </w:tc>
      </w:tr>
      <w:tr>
        <w:trPr>
          <w:trHeight w:val="20"/>
        </w:trPr>
        <w:tc>
          <w:tcPr>
            <w:tcW w:w="1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9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268,927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294,041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231,780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286,624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37,147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7,417</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w w:val="87"/>
              </w:rPr>
              <w:t>2.6%</w:t>
            </w:r>
          </w:p>
        </w:tc>
      </w:tr>
      <w:tr>
        <w:trPr>
          <w:trHeight w:val="20"/>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-522605</wp:posOffset>
            </wp:positionV>
            <wp:extent cx="5213985"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-1200150</wp:posOffset>
            </wp:positionV>
            <wp:extent cx="137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-1200150</wp:posOffset>
            </wp:positionV>
            <wp:extent cx="137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-1200150</wp:posOffset>
            </wp:positionV>
            <wp:extent cx="137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-1200150</wp:posOffset>
            </wp:positionV>
            <wp:extent cx="137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-1200150</wp:posOffset>
            </wp:positionV>
            <wp:extent cx="12001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-1200150</wp:posOffset>
            </wp:positionV>
            <wp:extent cx="1200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-1200150</wp:posOffset>
            </wp:positionV>
            <wp:extent cx="12001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62"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$36.8 million or 16.0% to $267.0 million for the year ended December 31, 2017 from $230.2 million for the year ended December 31, 2016. Approximately $31.9 million of the increase was derived primarily from increased Institutional transactional volumes for European credit products, derivative products (led by Dollar swaps, European interest rate swaps and Japanese Yen swaps), European governments, U.S. and European ETF and U.S. Treasury, as well as</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adjustments to contracts in anticipation of MiFID II and the product launch of China bonds. The launch of a new U.S. credit product led to an increase in the number of clients and volumes for U.S. credit products over the prior year, which also contributed to the $31.9 million increase.</w:t>
      </w:r>
    </w:p>
    <w:p>
      <w:pPr>
        <w:spacing w:after="0" w:line="73"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increased by $2.6 million or 1.3% to $194.5 million for the year ended December 31, 2017 from $192.0 million for the year ended December 31, 2016 due primarily to an increase in Institutional dealer subscription fees on contract renewals for European products as certain clients extended the terms of their existing contracts in preparation for the implementation of MiFID II.</w:t>
      </w:r>
    </w:p>
    <w:p>
      <w:pPr>
        <w:spacing w:after="0" w:line="6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$5.1 million or 5.5% to $96.7 million for the year ended December 31, 2017 from $91.7 million for the year ended December 31, 2016 due primarily to $8.0 million from increased trading volumes for repurchase agreements and U.S. Treasury and increased Retail trading volume. The increase was partially offset by $2.9 million of lower revenues, in part due to fewer dealers participating in, and fee changes in, the TBA-MBS market.</w:t>
      </w:r>
    </w:p>
    <w:p>
      <w:pPr>
        <w:spacing w:after="0" w:line="80"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$0.1 million or 1.8% to $4.7 million for the year ended December 31, 2017 from $4.6 million for the year ended December 31, 2016. Other revenues primarily consisted of fees from a third party for certain licensing and development in Canada.</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increased by $32.3 million or 123.2% to $58.5 million for the year ended December 31, 2017 from $26.2 million for the year ended December 31, 2016. The increase was a result of higher projected revenues related to the Credit Initiative Earnout during the year ended December 31, 2017 compared to the year ended December 31, 2016.</w:t>
      </w:r>
    </w:p>
    <w:p>
      <w:pPr>
        <w:spacing w:after="0" w:line="7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Our gross revenue by client sector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5"/>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Institutional</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$318,038</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$285,801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$32,237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118,451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109,945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Retail</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70,857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67,471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3,386</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-1011555</wp:posOffset>
            </wp:positionV>
            <wp:extent cx="137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-1011555</wp:posOffset>
            </wp:positionV>
            <wp:extent cx="1371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$32.2 million or 11.3%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$318.0 million for the year ended December 31, 2017 from $285.8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primarily due to increased transactional volumes for U.S. and European credit products, derivative products (led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Dollar swaps, European interest rate swaps and Japanese Yen swaps), European governments, U.S.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European ETF and U.S. Treasury, as well as the product launch of China bonds and due to an increase in dealer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on contract renewals for European products as a result of MiFID II.</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$8.5 million or 7.7% to $118.5 million for the year ended December 31, 2017 from $109.9 million for the year ended December 31, 2016 primarily due to higher trading volumes in European credit products, repurchase agreements and U.S. Treasury. The revenue increase was partially offset by lower TBA-MBS fees due to fewer dealers participating in this market and fee changes.</w:t>
      </w:r>
    </w:p>
    <w:p>
      <w:pPr>
        <w:spacing w:after="0" w:line="80"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$3.4 million or 5.0% to $70.9 million for the year ended December 31, 2017 from $67.5 million for the year ended December 31, 2016 primarily due to strong Alternative Trading System (“ATS”) and middle markets trading volumes.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$0.4 million or 0.8% to</w:t>
      </w:r>
    </w:p>
    <w:p>
      <w:pPr>
        <w:spacing w:after="0" w:line="23" w:lineRule="exact"/>
        <w:rPr>
          <w:sz w:val="20"/>
          <w:szCs w:val="20"/>
          <w:color w:val="auto"/>
        </w:rPr>
      </w:pPr>
    </w:p>
    <w:p>
      <w:pPr>
        <w:ind w:left="1260" w:right="959"/>
        <w:spacing w:after="0" w:line="323" w:lineRule="auto"/>
        <w:rPr>
          <w:sz w:val="20"/>
          <w:szCs w:val="20"/>
          <w:color w:val="auto"/>
        </w:rPr>
      </w:pPr>
      <w:r>
        <w:rPr>
          <w:rFonts w:ascii="Arial" w:cs="Arial" w:eastAsia="Arial" w:hAnsi="Arial"/>
          <w:sz w:val="16"/>
          <w:szCs w:val="16"/>
          <w:color w:val="auto"/>
        </w:rPr>
        <w:t>$55.6 million for the year ended December 31, 2017 from $55.2 million for the year ended December 31, 2016 due to increased market data subscriptions, and as a result subscription fees increased, offset by lower</w:t>
      </w:r>
    </w:p>
    <w:p>
      <w:pPr>
        <w:spacing w:after="0" w:line="1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19"/>
        <w:spacing w:after="0" w:line="277" w:lineRule="auto"/>
        <w:rPr>
          <w:sz w:val="20"/>
          <w:szCs w:val="20"/>
          <w:color w:val="auto"/>
        </w:rPr>
      </w:pPr>
      <w:r>
        <w:rPr>
          <w:rFonts w:ascii="Arial" w:cs="Arial" w:eastAsia="Arial" w:hAnsi="Arial"/>
          <w:sz w:val="18"/>
          <w:szCs w:val="18"/>
          <w:color w:val="auto"/>
        </w:rPr>
        <w:t>Thomson Reuters royalty fees due to fewer customer conversions and the expiration of the royalty fee earning period for certain Eikon referrals from prior years.</w:t>
      </w:r>
    </w:p>
    <w:p>
      <w:pPr>
        <w:spacing w:after="0" w:line="62"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Our gross revenue by asset class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5"/>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Rates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$324,302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$308,081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$16,221</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105,336</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88,630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Equities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23,681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18,626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5,055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27.1%</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28,633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24,532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Market Data</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55,622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55,187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-1397000</wp:posOffset>
            </wp:positionV>
            <wp:extent cx="1371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-1397000</wp:posOffset>
            </wp:positionV>
            <wp:extent cx="1371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$16.2 million or 5.3% to $324.3 million for the year ended December 31, 2017 from $308.1 million for the year ended December 31, 2016 primarily due to increased Institutional and Wholesale transactional volumes for derivative products (led by Dollar swaps, European interest rate swaps and Japanese Yen swaps), European governments and U.S. Treasury. The revenue increase was partially offset by lower Wholesale TBA-MBS fees due to fewer dealers participating in this market and fee changes.</w:t>
      </w:r>
    </w:p>
    <w:p>
      <w:pPr>
        <w:spacing w:after="0" w:line="85"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$16.7 million or 18.8% to $105.3 million for the year ended December 31, 2017 from $88.6 million for the year ended December 31, 2016 primarily due to increased Institutional and Wholesale transactional volumes for U.S. and European credit products and the product launch of China bonds.</w:t>
      </w:r>
    </w:p>
    <w:p>
      <w:pPr>
        <w:spacing w:after="0" w:line="79"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$5.1 million or 27.1% to $23.7 million for the year ended December 31, 2017 from $18.6 million for the year ended December 31, 2016 primarily due to increased Institutional transactional volumes for U.S. and European ETF.</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$4.1 million or 16.7%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$28.6 million for the year ended December 31, 2017 from $24.5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primarily due to increased Wholesale transactional volumes for repurchase agreements, increased Retail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transactional volumes for certificates of deposit and structured products and higher Institutional transactional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volumes for European repurchase agreements.</w:t>
      </w:r>
    </w:p>
    <w:p>
      <w:pPr>
        <w:spacing w:after="0" w:line="103"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Market Data increased by $0.4 million or 0.8% to $55.6 million for the year ended December 31, 2017 from $55.2 million for the year ended December 31, 2016 primarily as a result of an $0.8 million increase in European governments historical data feed subscriptions, partially offset by a $0.4 million decrease in royalty fees due to fewer customer conversions and the expiration of the royalty fee earning period for certain Eikon referrals from prior years.</w:t>
      </w:r>
    </w:p>
    <w:p>
      <w:pPr>
        <w:spacing w:after="0" w:line="64"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$2.0 million or 8.8% to $25.4 million for the year ended December 31, 2017 from $23.3 million for the year ended December 31, 2016 primarily due to increased Retail fixed transaction fees and increased fees from a third party for certain licensing and development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2017 and 2016 were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89"/>
              </w:rPr>
              <w:t>Year Ended December 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440" w:type="dxa"/>
            <w:vAlign w:val="bottom"/>
            <w:gridSpan w:val="3"/>
          </w:tcPr>
          <w:p>
            <w:pPr>
              <w:jc w:val="right"/>
              <w:ind w:right="50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420" w:type="dxa"/>
            <w:vAlign w:val="bottom"/>
            <w:gridSpan w:val="3"/>
          </w:tcPr>
          <w:p>
            <w:pPr>
              <w:jc w:val="right"/>
              <w:ind w:right="50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ADV</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Volume</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ADV</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Volume</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(dollars in millions)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$254,103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$63,671,445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$219,475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$54,990,403</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5"/>
                <w:szCs w:val="15"/>
                <w:color w:val="auto"/>
              </w:rPr>
              <w:t>Credit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7,554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1,864,700</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5,954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1,501,976</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Equities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1,214,081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4,523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1,144,189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5"/>
                <w:szCs w:val="15"/>
                <w:color w:val="auto"/>
              </w:rPr>
              <w:t>Money Markets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132,105</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33,060,749</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94,324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23,593,340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-757555</wp:posOffset>
            </wp:positionV>
            <wp:extent cx="342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-757555</wp:posOffset>
            </wp:positionV>
            <wp:extent cx="342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-757555</wp:posOffset>
            </wp:positionV>
            <wp:extent cx="342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-757555</wp:posOffset>
            </wp:positionV>
            <wp:extent cx="342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0"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believe the increases in average daily volumes in the year ended December 31, 2017 can be attributed to various factors, including: further electronification of trading activities, increase in market share, new products and new clients. In addition, we believe that certain trading volumes increased in the year ended December 31, 2017 as customers began adapting to electronic trading in order to comply with their upcoming heightened obligations pursuant to MiFID II, which was implemented by regulatory bodies in Europe in January 2018.</w:t>
      </w:r>
    </w:p>
    <w:p>
      <w:pPr>
        <w:spacing w:after="0" w:line="5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years ended December 31, 2017 and 2016 are summarized below. Average variable fees per million should be reviewed in conjunction with our trading volumes. Since variable fees are sometimes subject to fee plans with tiered pricing based on product mix and volume, average variable fees per million for a specific asset class may not correlate with volumes or revenue growth.</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26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28"/>
        </w:trPr>
        <w:tc>
          <w:tcPr>
            <w:tcW w:w="5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5980" w:type="dxa"/>
            <w:vAlign w:val="bottom"/>
          </w:tcPr>
          <w:p>
            <w:pPr>
              <w:spacing w:after="0"/>
              <w:rPr>
                <w:sz w:val="17"/>
                <w:szCs w:val="17"/>
                <w:color w:val="auto"/>
              </w:rPr>
            </w:pPr>
          </w:p>
        </w:tc>
        <w:tc>
          <w:tcPr>
            <w:tcW w:w="460" w:type="dxa"/>
            <w:vAlign w:val="bottom"/>
          </w:tcPr>
          <w:p>
            <w:pPr>
              <w:jc w:val="right"/>
              <w:ind w:right="2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7"/>
                <w:szCs w:val="17"/>
                <w:color w:val="auto"/>
              </w:rPr>
            </w:pPr>
          </w:p>
        </w:tc>
        <w:tc>
          <w:tcPr>
            <w:tcW w:w="460" w:type="dxa"/>
            <w:vAlign w:val="bottom"/>
          </w:tcPr>
          <w:p>
            <w:pPr>
              <w:jc w:val="right"/>
              <w:ind w:right="25"/>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7"/>
                <w:szCs w:val="17"/>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 Change % Change</w:t>
            </w:r>
          </w:p>
        </w:tc>
      </w:tr>
      <w:tr>
        <w:trPr>
          <w:trHeight w:val="28"/>
        </w:trPr>
        <w:tc>
          <w:tcPr>
            <w:tcW w:w="5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$ 2.26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$ 2.38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5"/>
                <w:szCs w:val="15"/>
                <w:color w:val="auto"/>
              </w:rPr>
              <w:t>Credit</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48.72</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48.95</w:t>
            </w:r>
          </w:p>
        </w:tc>
        <w:tc>
          <w:tcPr>
            <w:tcW w:w="560" w:type="dxa"/>
            <w:vAlign w:val="bottom"/>
          </w:tcPr>
          <w:p>
            <w:pPr>
              <w:jc w:val="right"/>
              <w:spacing w:after="0"/>
              <w:rPr>
                <w:sz w:val="20"/>
                <w:szCs w:val="20"/>
                <w:color w:val="auto"/>
              </w:rPr>
            </w:pPr>
            <w:r>
              <w:rPr>
                <w:rFonts w:ascii="Arial" w:cs="Arial" w:eastAsia="Arial" w:hAnsi="Arial"/>
                <w:sz w:val="15"/>
                <w:szCs w:val="15"/>
                <w:color w:val="auto"/>
              </w:rPr>
              <w:t>(0.23)</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(0.5)%</w:t>
            </w: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Equities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15.77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12.83</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2.94</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20" w:type="dxa"/>
            <w:vAlign w:val="bottom"/>
          </w:tcPr>
          <w:p>
            <w:pPr>
              <w:spacing w:after="0"/>
              <w:rPr>
                <w:sz w:val="21"/>
                <w:szCs w:val="2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5"/>
                <w:szCs w:val="15"/>
                <w:color w:val="auto"/>
              </w:rPr>
              <w:t>Money Markets</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0.46</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0.53</w:t>
            </w:r>
          </w:p>
        </w:tc>
        <w:tc>
          <w:tcPr>
            <w:tcW w:w="560" w:type="dxa"/>
            <w:vAlign w:val="bottom"/>
          </w:tcPr>
          <w:p>
            <w:pPr>
              <w:jc w:val="right"/>
              <w:spacing w:after="0"/>
              <w:rPr>
                <w:sz w:val="20"/>
                <w:szCs w:val="20"/>
                <w:color w:val="auto"/>
              </w:rPr>
            </w:pPr>
            <w:r>
              <w:rPr>
                <w:rFonts w:ascii="Arial" w:cs="Arial" w:eastAsia="Arial" w:hAnsi="Arial"/>
                <w:sz w:val="15"/>
                <w:szCs w:val="15"/>
                <w:color w:val="auto"/>
              </w:rPr>
              <w:t>(0.07)</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-611505</wp:posOffset>
            </wp:positionV>
            <wp:extent cx="481965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230"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Our gross revenue by geography (based on client location)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 Change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4900" w:type="dxa"/>
            <w:vAlign w:val="bottom"/>
          </w:tcPr>
          <w:p>
            <w:pPr>
              <w:spacing w:after="0"/>
              <w:rPr>
                <w:sz w:val="2"/>
                <w:szCs w:val="2"/>
                <w:color w:val="auto"/>
              </w:rPr>
            </w:pPr>
          </w:p>
        </w:tc>
        <w:tc>
          <w:tcPr>
            <w:tcW w:w="2440" w:type="dxa"/>
            <w:vAlign w:val="bottom"/>
            <w:tcBorders>
              <w:bottom w:val="single" w:sz="8" w:color="auto"/>
            </w:tcBorders>
            <w:gridSpan w:val="6"/>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U.S.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$385,176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$365,308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$19,868</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153,096</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-831215</wp:posOffset>
            </wp:positionV>
            <wp:extent cx="1371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-831215</wp:posOffset>
            </wp:positionV>
            <wp:extent cx="1371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$19.9 million or 5.4% to $385.2 million for the year ended December 31, 2017 from $365.3 million for the year ended December 31, 2016 primarily due to increased transactional volumes from our Institutional client sector for U.S. credit products, U.S. ETF and U.S. Treasury, due to higher trading volumes from our Wholesale client sector for repurchase agreements and U.S. Treasury and strong ATS and middle markets trading volumes in our Retail client sector.</w:t>
      </w:r>
    </w:p>
    <w:p>
      <w:pPr>
        <w:spacing w:after="0" w:line="64"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Revenues from International clients increased by $24.7 million or 16.1% to $177.8 million for the year ended December 31, 2017 from $153.1 million for the year ended December 31, 2016 primarily due to increased transactional volumes from our Institutional client sector for European credit products, derivative products (led by European interest rate swaps, Dollar swaps and Japanese Yen swaps), European governments, European ETF, the product launch of China Bonds and an increase in</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dealer subscription fees on contract renewals as certain clients extended the terms of their existing contracts in preparation for the implementation of MiFID II and due to higher trading volumes in European credit products in our Wholesale client sector. Fluctuations in foreign currency rates also increased our International gross revenue by $1.2 million.</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Our expenses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7"/>
                <w:szCs w:val="17"/>
                <w:color w:val="auto"/>
              </w:rPr>
            </w:pPr>
          </w:p>
        </w:tc>
      </w:tr>
      <w:tr>
        <w:trPr>
          <w:trHeight w:val="175"/>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Employee compensation and benefits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$248,963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$228,584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$ 20,379</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8.9%</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68,615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80,859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(12,244)</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33,973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27,392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6,581</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24.0%</w:t>
            </w: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30,013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28,239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19,351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18,158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1,193</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5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14,441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15,817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6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415,356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399,049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$ 16,307</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-968375</wp:posOffset>
            </wp:positionV>
            <wp:extent cx="5213985"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-351155</wp:posOffset>
            </wp:positionV>
            <wp:extent cx="5213985" cy="1631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-1397000</wp:posOffset>
            </wp:positionV>
            <wp:extent cx="137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-1397000</wp:posOffset>
            </wp:positionV>
            <wp:extent cx="137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increased by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$20.4 million or 8.9% to $249.0 million for the year ended December 31, 2017 from $228.6 million for the year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ended December 31, 2016. The increase was due to a $2.7 million increase in salaries and benefits, primarily due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an increase in employee headcount, an increase in annual incentive compensation of $10.6 million and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in equity compensation of $7.1 million, each of which are based on operating performance, primarily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due to our financial results. Total employee headcount increased to 857 as of December 31, 2017 from 814 as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2016.</w:t>
      </w:r>
    </w:p>
    <w:p>
      <w:pPr>
        <w:spacing w:after="0" w:line="103" w:lineRule="exact"/>
        <w:rPr>
          <w:sz w:val="20"/>
          <w:szCs w:val="20"/>
          <w:color w:val="auto"/>
        </w:rPr>
      </w:pPr>
    </w:p>
    <w:p>
      <w:pPr>
        <w:ind w:left="1260" w:right="1159" w:firstLine="36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decreased by $12.2 million or 15.1% to $68.6 million for the year ended December 31, 2017 from $80.8 million for the year ended December 31, 2016. The decrease was a result of certain intangible assets becoming fully amortized.</w:t>
      </w:r>
    </w:p>
    <w:p>
      <w:pPr>
        <w:spacing w:after="0" w:line="57"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increased by $6.6 million or 24.0% to $34.0 million for the year ended December 31, 2017 from $27.4 million for the year ended December 31, 2016. The increase was primarily a result of a one-time net increase of $3.6 million from a reversal of New Jersey incentive grants, a $1.5 million increase in marketing expenses due to increased marketing efforts for key growth, client acquisition and regulatory initiatives, a $1.3 million increase in value-added taxes, and $1.0 million increase in travel and entertainment expenses due to increased corporate services provided to employees and increased sales efforts, offset by a reduction in foreign exchange losses of $1.4 million.</w:t>
      </w:r>
    </w:p>
    <w:p>
      <w:pPr>
        <w:spacing w:after="0" w:line="7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$1.8 million or 6.3% to $30.0 million for the year ended December 31, 2017 from $28.2 million for the year ended December 31, 2016 due primarily to increases in third-party software and technology maintenance and support as a result of certain cybersecurity and infrastructure initiatives.</w:t>
      </w:r>
    </w:p>
    <w:p>
      <w:pPr>
        <w:spacing w:after="0" w:line="79"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$1.2 million or 6.6% to $19.4 million for the year ended December 31, 2017 from $18.2 million for the year ended December 31, 2016 due primarily to increased legal fees.</w:t>
      </w:r>
    </w:p>
    <w:p>
      <w:pPr>
        <w:spacing w:after="0" w:line="73" w:lineRule="exact"/>
        <w:rPr>
          <w:sz w:val="20"/>
          <w:szCs w:val="20"/>
          <w:color w:val="auto"/>
        </w:rPr>
      </w:pPr>
    </w:p>
    <w:p>
      <w:pPr>
        <w:jc w:val="both"/>
        <w:ind w:left="1260" w:right="1059" w:firstLine="360"/>
        <w:spacing w:after="0" w:line="264"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$1.4 million or 8.7% to $14.4 million for the year ended December 31, 2017 from $15.8 million for the year ended December 31, 2016 due to the expiration of certain operating leases.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Net interest income (expense) increased by $1.4 million to interest income of $0.7 million for the year ended December 31, 2017 from interest expense of $0.7 million for the year ended December 31, 2016 due to higher average investment balances and an increase in interest rates during 2017 and the conversion of our former convertible notes into equity in May 2017.</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Provision for income taxes increased by $6.9 million to $6.1 million for the year ended December 31, 2017 from a benefit from income taxes of $0.7 million for the year ended December 31, 2016.</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Results of Operations</w:t>
      </w:r>
    </w:p>
    <w:p>
      <w:pPr>
        <w:spacing w:after="0" w:line="81"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Our quarterly results have been and will continue to be affected by changes in trading volumes due to market conditions, changes in the number of trading days during certain quarters and seasonal effects caused by slow-downs in trading activity during certain periods. As a result of these and other factors, our financial results for any single quarter or for periods of less than a year are not necessarily indicative of the results that may be achieved for a full fiscal year or any future periods.</w:t>
      </w:r>
    </w:p>
    <w:p>
      <w:pPr>
        <w:spacing w:after="0" w:line="8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following table sets forth unaudited quarterly consolidated statements of operations data for each of the eight quarterly periods ended December 31, 2018. This quarterly information has been prepared on substantially the same basis as our annual financial statements and includes all adjustments (consisting of normal recurring adjustments) that, in the opinion of our management, are necessary for a fair statement of the unaudited quarterly financial information. This information should be read in conjunction with our consolidated financial statements and related notes included elsewhere in this prospectus.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3"/>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October 1, 2018</w:t>
            </w:r>
          </w:p>
        </w:tc>
        <w:tc>
          <w:tcPr>
            <w:tcW w:w="20" w:type="dxa"/>
            <w:vAlign w:val="bottom"/>
            <w:shd w:val="clear" w:color="auto" w:fill="000000"/>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w w:val="90"/>
              </w:rPr>
              <w:t>to</w:t>
            </w: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4"/>
          </w:tcPr>
          <w:p>
            <w:pPr>
              <w:ind w:left="60"/>
              <w:spacing w:after="0" w:line="133" w:lineRule="exact"/>
              <w:rPr>
                <w:sz w:val="20"/>
                <w:szCs w:val="20"/>
                <w:color w:val="auto"/>
              </w:rPr>
            </w:pPr>
            <w:r>
              <w:rPr>
                <w:rFonts w:ascii="Arial" w:cs="Arial" w:eastAsia="Arial" w:hAnsi="Arial"/>
                <w:sz w:val="14"/>
                <w:szCs w:val="14"/>
                <w:b w:val="1"/>
                <w:bCs w:val="1"/>
                <w:color w:val="auto"/>
              </w:rPr>
              <w:t>Sept. 30,</w:t>
            </w:r>
          </w:p>
        </w:tc>
        <w:tc>
          <w:tcPr>
            <w:tcW w:w="68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6"/>
              </w:rPr>
              <w:t>June 30,</w:t>
            </w:r>
          </w:p>
        </w:tc>
        <w:tc>
          <w:tcPr>
            <w:tcW w:w="680" w:type="dxa"/>
            <w:vAlign w:val="bottom"/>
            <w:tcBorders>
              <w:top w:val="single" w:sz="8" w:color="auto"/>
            </w:tcBorders>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Mar. 31,</w:t>
            </w:r>
          </w:p>
        </w:tc>
        <w:tc>
          <w:tcPr>
            <w:tcW w:w="66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8"/>
              </w:rPr>
              <w:t>Dec. 31,</w:t>
            </w:r>
          </w:p>
        </w:tc>
        <w:tc>
          <w:tcPr>
            <w:tcW w:w="680" w:type="dxa"/>
            <w:vAlign w:val="bottom"/>
            <w:tcBorders>
              <w:top w:val="single" w:sz="8" w:color="auto"/>
            </w:tcBorders>
            <w:gridSpan w:val="3"/>
          </w:tcPr>
          <w:p>
            <w:pPr>
              <w:jc w:val="right"/>
              <w:ind w:right="100"/>
              <w:spacing w:after="0" w:line="133" w:lineRule="exact"/>
              <w:rPr>
                <w:sz w:val="20"/>
                <w:szCs w:val="20"/>
                <w:color w:val="auto"/>
              </w:rPr>
            </w:pPr>
            <w:r>
              <w:rPr>
                <w:rFonts w:ascii="Arial" w:cs="Arial" w:eastAsia="Arial" w:hAnsi="Arial"/>
                <w:sz w:val="14"/>
                <w:szCs w:val="14"/>
                <w:b w:val="1"/>
                <w:bCs w:val="1"/>
                <w:color w:val="auto"/>
                <w:w w:val="97"/>
              </w:rPr>
              <w:t>Sept. 30,</w:t>
            </w:r>
          </w:p>
        </w:tc>
        <w:tc>
          <w:tcPr>
            <w:tcW w:w="68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6"/>
              </w:rPr>
              <w:t>June 30,</w:t>
            </w:r>
          </w:p>
        </w:tc>
        <w:tc>
          <w:tcPr>
            <w:tcW w:w="680" w:type="dxa"/>
            <w:vAlign w:val="bottom"/>
            <w:tcBorders>
              <w:top w:val="single" w:sz="8" w:color="auto"/>
            </w:tcBorders>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Mar. 31,</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6"/>
          </w:tcPr>
          <w:p>
            <w:pPr>
              <w:jc w:val="right"/>
              <w:ind w:right="5"/>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Transaction fees</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97,130</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92,582</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91,030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90,139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68,459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68,211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65,590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64,761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line="229"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(1)</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46,519</w:t>
            </w:r>
          </w:p>
        </w:tc>
        <w:tc>
          <w:tcPr>
            <w:tcW w:w="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45,690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49,728</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48,563</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48,646</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48,413</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48,986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48,488</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Commissions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32,840</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24,394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27,553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27,883</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25,129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23,769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23,935</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2,918</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ind w:left="360"/>
              <w:spacing w:after="0"/>
              <w:rPr>
                <w:sz w:val="20"/>
                <w:szCs w:val="20"/>
                <w:color w:val="auto"/>
              </w:rPr>
            </w:pPr>
            <w:r>
              <w:rPr>
                <w:rFonts w:ascii="Arial" w:cs="Arial" w:eastAsia="Arial" w:hAnsi="Arial"/>
                <w:sz w:val="16"/>
                <w:szCs w:val="16"/>
                <w:color w:val="auto"/>
              </w:rPr>
              <w:t>Gross revenues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178,637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165,253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171,015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169,503</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143,399</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141,558</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139,676</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138,335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Contingent Consideration</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7"/>
              </w:rPr>
              <w:t>(19,297)</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(10,070)</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(28,985)</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(18,573)</w:t>
            </w: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(3,778)</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960" w:type="dxa"/>
            <w:vAlign w:val="bottom"/>
          </w:tcPr>
          <w:p>
            <w:pPr>
              <w:ind w:left="360"/>
              <w:spacing w:after="0"/>
              <w:rPr>
                <w:sz w:val="20"/>
                <w:szCs w:val="20"/>
                <w:color w:val="auto"/>
              </w:rPr>
            </w:pPr>
            <w:r>
              <w:rPr>
                <w:rFonts w:ascii="Arial" w:cs="Arial" w:eastAsia="Arial" w:hAnsi="Arial"/>
                <w:sz w:val="16"/>
                <w:szCs w:val="16"/>
                <w:color w:val="auto"/>
              </w:rPr>
              <w:t>Net Revenue</w:t>
            </w:r>
          </w:p>
        </w:tc>
        <w:tc>
          <w:tcPr>
            <w:tcW w:w="320" w:type="dxa"/>
            <w:vAlign w:val="bottom"/>
            <w:gridSpan w:val="2"/>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178,637</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167,790</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151,718</w:t>
            </w:r>
          </w:p>
        </w:tc>
        <w:tc>
          <w:tcPr>
            <w:tcW w:w="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159,433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114,414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134,374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121,103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134,557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96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6"/>
                <w:szCs w:val="16"/>
                <w:color w:val="auto"/>
              </w:rPr>
              <w:t>Expenses:</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60" w:type="dxa"/>
            <w:vAlign w:val="bottom"/>
          </w:tcPr>
          <w:p>
            <w:pPr>
              <w:ind w:left="180"/>
              <w:spacing w:after="0"/>
              <w:rPr>
                <w:sz w:val="20"/>
                <w:szCs w:val="20"/>
                <w:color w:val="auto"/>
              </w:rPr>
            </w:pPr>
            <w:r>
              <w:rPr>
                <w:rFonts w:ascii="Arial" w:cs="Arial" w:eastAsia="Arial" w:hAnsi="Arial"/>
                <w:sz w:val="16"/>
                <w:szCs w:val="16"/>
                <w:color w:val="auto"/>
              </w:rPr>
              <w:t>Employee compensation</w:t>
            </w:r>
          </w:p>
        </w:tc>
        <w:tc>
          <w:tcPr>
            <w:tcW w:w="420" w:type="dxa"/>
            <w:vAlign w:val="bottom"/>
            <w:gridSpan w:val="3"/>
            <w:vMerge w:val="restart"/>
          </w:tcPr>
          <w:p>
            <w:pPr>
              <w:ind w:left="340"/>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80,436</w:t>
            </w: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69,076</w:t>
            </w:r>
          </w:p>
        </w:tc>
        <w:tc>
          <w:tcPr>
            <w:tcW w:w="6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68,407</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71,570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63,236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61,899</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65,032</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58,796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tcPr>
          <w:p>
            <w:pPr>
              <w:ind w:left="360"/>
              <w:spacing w:after="0"/>
              <w:rPr>
                <w:sz w:val="20"/>
                <w:szCs w:val="20"/>
                <w:color w:val="auto"/>
              </w:rPr>
            </w:pPr>
            <w:r>
              <w:rPr>
                <w:rFonts w:ascii="Arial" w:cs="Arial" w:eastAsia="Arial" w:hAnsi="Arial"/>
                <w:sz w:val="16"/>
                <w:szCs w:val="16"/>
                <w:color w:val="auto"/>
              </w:rPr>
              <w:t>and benefits</w:t>
            </w:r>
          </w:p>
        </w:tc>
        <w:tc>
          <w:tcPr>
            <w:tcW w:w="42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33,020</w:t>
            </w: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16,362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16,178</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16,268</w:t>
            </w:r>
          </w:p>
        </w:tc>
        <w:tc>
          <w:tcPr>
            <w:tcW w:w="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15,970</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15,936</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17,250</w:t>
            </w:r>
          </w:p>
        </w:tc>
        <w:tc>
          <w:tcPr>
            <w:tcW w:w="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19,459</w:t>
            </w: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w w:val="92"/>
              </w:rPr>
              <w:t>General and administrative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11,837</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9,386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7,153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6,517</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8,557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8,560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9,343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Technology and</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9,907</w:t>
            </w: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9,112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9,023</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8,463</w:t>
            </w:r>
          </w:p>
        </w:tc>
        <w:tc>
          <w:tcPr>
            <w:tcW w:w="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7,623</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7,334</w:t>
            </w:r>
          </w:p>
        </w:tc>
        <w:tc>
          <w:tcPr>
            <w:tcW w:w="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6,960</w:t>
            </w: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8,194</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7,546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7,276</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5,538</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6,089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5,259</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Occupancy</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3,722</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3,119</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3,909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ind w:left="360"/>
              <w:spacing w:after="0"/>
              <w:rPr>
                <w:sz w:val="20"/>
                <w:szCs w:val="20"/>
                <w:color w:val="auto"/>
              </w:rPr>
            </w:pPr>
            <w:r>
              <w:rPr>
                <w:rFonts w:ascii="Arial" w:cs="Arial" w:eastAsia="Arial" w:hAnsi="Arial"/>
                <w:sz w:val="16"/>
                <w:szCs w:val="16"/>
                <w:color w:val="auto"/>
              </w:rPr>
              <w:t>Total expenses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146,702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114,973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111,556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112,078</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104,594</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102,629</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108,127</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100,006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31,935</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40,162</w:t>
            </w: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47,355</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9,820</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31,745</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12,976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34,551</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360"/>
              <w:spacing w:after="0"/>
              <w:rPr>
                <w:sz w:val="20"/>
                <w:szCs w:val="20"/>
                <w:color w:val="auto"/>
              </w:rPr>
            </w:pPr>
            <w:r>
              <w:rPr>
                <w:rFonts w:ascii="Arial" w:cs="Arial" w:eastAsia="Arial" w:hAnsi="Arial"/>
                <w:sz w:val="16"/>
                <w:szCs w:val="16"/>
                <w:color w:val="auto"/>
              </w:rPr>
              <w:t>Income before taxes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32,722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53,490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40,744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47,826</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10,076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32,104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13,163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Provision for income taxes</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(3,415)</w:t>
            </w:r>
          </w:p>
        </w:tc>
        <w:tc>
          <w:tcPr>
            <w:tcW w:w="6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(7,536)</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(2,518)</w:t>
            </w: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gridSpan w:val="2"/>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29,307</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45,954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38,897</w:t>
            </w: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45,308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7,106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31,051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12,110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33,380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-256540</wp:posOffset>
            </wp:positionV>
            <wp:extent cx="1714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-565150</wp:posOffset>
            </wp:positionV>
            <wp:extent cx="171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-865505</wp:posOffset>
            </wp:positionV>
            <wp:extent cx="171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-1028700</wp:posOffset>
            </wp:positionV>
            <wp:extent cx="1714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-1028700</wp:posOffset>
            </wp:positionV>
            <wp:extent cx="431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-1028700</wp:posOffset>
            </wp:positionV>
            <wp:extent cx="431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-1028700</wp:posOffset>
            </wp:positionV>
            <wp:extent cx="431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-1028700</wp:posOffset>
            </wp:positionV>
            <wp:extent cx="431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-1028700</wp:posOffset>
            </wp:positionV>
            <wp:extent cx="431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-1028700</wp:posOffset>
            </wp:positionV>
            <wp:extent cx="946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21609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-1191260</wp:posOffset>
            </wp:positionV>
            <wp:extent cx="1714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-2640965</wp:posOffset>
            </wp:positionV>
            <wp:extent cx="1714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-2803525</wp:posOffset>
            </wp:positionV>
            <wp:extent cx="1714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-2803525</wp:posOffset>
            </wp:positionV>
            <wp:extent cx="431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-2803525</wp:posOffset>
            </wp:positionV>
            <wp:extent cx="431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-2803525</wp:posOffset>
            </wp:positionV>
            <wp:extent cx="431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-2803525</wp:posOffset>
            </wp:positionV>
            <wp:extent cx="431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-2803525</wp:posOffset>
            </wp:positionV>
            <wp:extent cx="431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-2803525</wp:posOffset>
            </wp:positionV>
            <wp:extent cx="9461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-2803525</wp:posOffset>
            </wp:positionV>
            <wp:extent cx="216090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-2966720</wp:posOffset>
            </wp:positionV>
            <wp:extent cx="1714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-3806825</wp:posOffset>
            </wp:positionV>
            <wp:extent cx="342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-3806825</wp:posOffset>
            </wp:positionV>
            <wp:extent cx="342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-3806825</wp:posOffset>
            </wp:positionV>
            <wp:extent cx="342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-3806825</wp:posOffset>
            </wp:positionV>
            <wp:extent cx="342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-3806825</wp:posOffset>
            </wp:positionV>
            <wp:extent cx="342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-3806825</wp:posOffset>
            </wp:positionV>
            <wp:extent cx="342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-4175760</wp:posOffset>
            </wp:positionV>
            <wp:extent cx="3198495" cy="3771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198495" cy="377190"/>
                    </a:xfrm>
                    <a:prstGeom prst="rect">
                      <a:avLst/>
                    </a:prstGeom>
                    <a:noFill/>
                  </pic:spPr>
                </pic:pic>
              </a:graphicData>
            </a:graphic>
          </wp:anchor>
        </w:drawing>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12350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20" w:right="799" w:hanging="352"/>
        <w:spacing w:after="0" w:line="279" w:lineRule="auto"/>
        <w:tabs>
          <w:tab w:leader="none" w:pos="16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Subscription fees for the quarters ended December 31, 2018, September 30, 2018, June 30, 2018, March 31, 2018, December 31, 2017, September 30, 2017, June 30, 2017 and March 31, 2017 include $13.5 million, $12.5 million, $12.1 million, $12.2 million, $12.2 million, $12.5 million, $12.6 million and $12.7 million, respectively, of Refinitiv (formerly Thomson Reuters) market data fees.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jc w:val="both"/>
        <w:ind w:left="1260" w:right="799" w:firstLine="360"/>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their sufficiency to fund our operating and investing activities.</w:t>
      </w:r>
    </w:p>
    <w:p>
      <w:pPr>
        <w:spacing w:after="0" w:line="79"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62" w:lineRule="exact"/>
        <w:rPr>
          <w:sz w:val="20"/>
          <w:szCs w:val="20"/>
          <w:color w:val="auto"/>
        </w:rPr>
      </w:pPr>
    </w:p>
    <w:p>
      <w:pPr>
        <w:ind w:left="1260" w:right="739" w:firstLine="360"/>
        <w:spacing w:after="0" w:line="288" w:lineRule="auto"/>
        <w:rPr>
          <w:sz w:val="20"/>
          <w:szCs w:val="20"/>
          <w:color w:val="auto"/>
        </w:rPr>
      </w:pPr>
      <w:r>
        <w:rPr>
          <w:rFonts w:ascii="Arial" w:cs="Arial" w:eastAsia="Arial" w:hAnsi="Arial"/>
          <w:sz w:val="16"/>
          <w:szCs w:val="16"/>
          <w:color w:val="auto"/>
        </w:rPr>
        <w:t>Our primary cash needs are for day to day operations, working capital requirements, capital expenditures, primarily for software and equipment, and, following the consummation of this offering, our expected dividend payments. In addition, following the consummation of this offering, we will be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w:t>
      </w:r>
    </w:p>
    <w:p>
      <w:pPr>
        <w:spacing w:after="0" w:line="61"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Following the consummation of this offering, we expect to fund our liquidity requirements through cash and cash equivalents, cash flows from operations and borrowings under the New Revolving Credit Facility.</w:t>
      </w:r>
    </w:p>
    <w:p>
      <w:pPr>
        <w:spacing w:after="0" w:line="38"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believe that our projected cash position, cash flows from operations and, following the consummation of this offering, borrowings under the New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61"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As of December 31, 2018 and 2017, we had cash and cash equivalents of approximately $410.1 million and $352.6 million, respectively. All cash and cash equivalents were held in accounts with banks such that the funds are immediately available or in fixed term deposits with a maximum maturity of three months.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 Policy</w:t>
      </w:r>
    </w:p>
    <w:p>
      <w:pPr>
        <w:spacing w:after="0" w:line="104"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Following the completion of this offering and subject to legally available funds, we intend to pay quarterly cash dividends on our Class A common stock and Class B common stock initially equal to $0.08 per share, commencing with the second quarter of 2019. Based on 40,000,000 shares of Class A common stock and 96,933,192 shares of Class B common stock expected to be outstanding after this offering, this dividend policy implies a quarterly cash requirement of approximately $11.0 million (or an annual cash</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79"/>
        <w:spacing w:after="0" w:line="257" w:lineRule="auto"/>
        <w:rPr>
          <w:sz w:val="20"/>
          <w:szCs w:val="20"/>
          <w:color w:val="auto"/>
        </w:rPr>
      </w:pPr>
      <w:r>
        <w:rPr>
          <w:rFonts w:ascii="Arial" w:cs="Arial" w:eastAsia="Arial" w:hAnsi="Arial"/>
          <w:sz w:val="18"/>
          <w:szCs w:val="18"/>
          <w:color w:val="auto"/>
        </w:rPr>
        <w:t>requirement of approximately $43.8 million). As discussed below, our ability to pay these quarterly cash dividends on our Class A common stock and Class B common stock will depend on distributions to us from TWM LLC, and when TWM LLC makes such distributions, the Continuing LLC Owners will be entitled to receive proportionate distributions based on their economic interests in TWM LLC at the time of such distributions.</w:t>
      </w:r>
    </w:p>
    <w:p>
      <w:pPr>
        <w:spacing w:after="0" w:line="80"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the Continuing LLC Owners will be entitled to receive proportionate distributions based on their economic interests in TWM LLC at the time of such distributions.</w:t>
      </w:r>
    </w:p>
    <w:p>
      <w:pPr>
        <w:spacing w:after="0" w:line="72"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the Company and Our Organizational Structure — Our principal asset after the completion of this offering will be our interest in TWM LLC, and, accordingly, we will depend on distributions from TWM LLC to pay our taxes and expenses” and “Risk Factors — Risks Relating to This Offering and Ownership of our Class A common stock — We intend to pay regular dividends on our Class A common stock and Class B common stock, but our ability to do so may be limited.”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Indebtedness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and 2017, we had no outstanding indebtedness.</w:t>
      </w:r>
    </w:p>
    <w:p>
      <w:pPr>
        <w:spacing w:after="0" w:line="117" w:lineRule="exact"/>
        <w:rPr>
          <w:sz w:val="20"/>
          <w:szCs w:val="20"/>
          <w:color w:val="auto"/>
        </w:rPr>
      </w:pPr>
    </w:p>
    <w:p>
      <w:pPr>
        <w:ind w:left="1260" w:right="759" w:firstLine="360"/>
        <w:spacing w:after="0" w:line="264" w:lineRule="auto"/>
        <w:rPr>
          <w:sz w:val="20"/>
          <w:szCs w:val="20"/>
          <w:color w:val="auto"/>
        </w:rPr>
      </w:pPr>
      <w:r>
        <w:rPr>
          <w:rFonts w:ascii="Arial" w:cs="Arial" w:eastAsia="Arial" w:hAnsi="Arial"/>
          <w:sz w:val="18"/>
          <w:szCs w:val="18"/>
          <w:color w:val="auto"/>
        </w:rPr>
        <w:t>In 2013, we issued $29.3 million of convertible notes to a subsidiary of Thomson Reuters in connection with the acquisition of BondDesk Group LLC and subsidiaries. During 2017, Thomson Reuters converted all outstanding convertible notes into equity.</w:t>
      </w:r>
    </w:p>
    <w:p>
      <w:pPr>
        <w:spacing w:after="0" w:line="73"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w:t>
      </w:r>
    </w:p>
    <w:p>
      <w:pPr>
        <w:spacing w:after="0" w:line="38"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Concurrently with the closing of this offering, we intend to enter into the New Revolving Credit Facility. The New Revolving Credit Facility is expected to permit borrowings of up to $500.0 million, and will include borrowing capacity available for letters of credit and swingline loans. The New Revolving Credit Facility is expected to mature five years from the closing date of the facility. See “Description of Certain Indebtedness.” We expect that the New Revolving Credit Facility will be used to fund our ongoing working capital needs, letters of credit and for general corporate purposes, including potential future acquisitions and expansions.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Capital Requirements</w:t>
      </w:r>
    </w:p>
    <w:p>
      <w:pPr>
        <w:spacing w:after="0" w:line="104"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Japanese Financial</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91" w:lineRule="auto"/>
        <w:rPr>
          <w:sz w:val="20"/>
          <w:szCs w:val="20"/>
          <w:color w:val="auto"/>
        </w:rPr>
      </w:pPr>
      <w:r>
        <w:rPr>
          <w:rFonts w:ascii="Arial" w:cs="Arial" w:eastAsia="Arial" w:hAnsi="Arial"/>
          <w:sz w:val="16"/>
          <w:szCs w:val="16"/>
          <w:color w:val="auto"/>
        </w:rPr>
        <w:t>Services Agency, the Japanese Securities Dealers Association and other foreign regulators, and must maintain financial resources, as defined in the applicable regulations, in excess of the applicable financial resources requirement. As of December 31, 2018 and 2017, each of our regulated subsidiaries had net capital or financial resources in excess of their minimum requirements which in aggregate was $41.7 million and $38.9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Fails to Deliver/Fails to Receive</w:t>
      </w:r>
    </w:p>
    <w:p>
      <w:pPr>
        <w:spacing w:after="0" w:line="63"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dealers and clearing organizations for the proceeds from the unsettled transaction. The impact on our liquidity and capital resources is minimal as receivables and payables for failed transactions are usually recognized simultaneously and offset.</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63"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and payable to affiliates.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 Our working capital as of December 31, 2018 and 2017 was as follows:</w:t>
      </w:r>
    </w:p>
    <w:p>
      <w:pPr>
        <w:spacing w:after="0" w:line="77"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left w:val="single" w:sz="8" w:color="auto"/>
            </w:tcBorders>
          </w:tcPr>
          <w:p>
            <w:pPr>
              <w:spacing w:after="0"/>
              <w:rPr>
                <w:sz w:val="14"/>
                <w:szCs w:val="14"/>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7"/>
          </w:tcPr>
          <w:p>
            <w:pPr>
              <w:ind w:left="18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$ 410,104</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$ 352,598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Restricted cash</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1,200</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174,591</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4,324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11,427</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9,926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87,192</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69,662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Receivable from affiliates</w:t>
            </w:r>
          </w:p>
        </w:tc>
        <w:tc>
          <w:tcPr>
            <w:tcW w:w="200" w:type="dxa"/>
            <w:vAlign w:val="bottom"/>
            <w:tcBorders>
              <w:bottom w:val="single" w:sz="8" w:color="CCEEFF"/>
            </w:tcBorders>
            <w:gridSpan w:val="2"/>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140" w:type="dxa"/>
            <w:vAlign w:val="bottom"/>
            <w:tcBorders>
              <w:bottom w:val="single" w:sz="8" w:color="CCEEFF"/>
            </w:tcBorders>
          </w:tcPr>
          <w:p>
            <w:pPr>
              <w:spacing w:after="0"/>
              <w:rPr>
                <w:sz w:val="21"/>
                <w:szCs w:val="21"/>
                <w:color w:val="auto"/>
              </w:rPr>
            </w:pPr>
          </w:p>
        </w:tc>
        <w:tc>
          <w:tcPr>
            <w:tcW w:w="160" w:type="dxa"/>
            <w:vAlign w:val="bottom"/>
            <w:tcBorders>
              <w:left w:val="single" w:sz="8" w:color="auto"/>
              <w:bottom w:val="single" w:sz="8" w:color="CCEEFF"/>
            </w:tcBorders>
            <w:gridSpan w:val="2"/>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687,757</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left w:val="single" w:sz="8" w:color="auto"/>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438,085</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0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171,214</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4,322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120,158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89,769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revenue</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27,883</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29,673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42,548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Employee equity compensation payable</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24,187</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31,019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left w:val="single" w:sz="8" w:color="auto"/>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gridSpan w:val="2"/>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390,999</w:t>
            </w:r>
          </w:p>
        </w:tc>
        <w:tc>
          <w:tcPr>
            <w:tcW w:w="140" w:type="dxa"/>
            <w:vAlign w:val="bottom"/>
            <w:tcBorders>
              <w:bottom w:val="single" w:sz="8" w:color="CCEEFF"/>
            </w:tcBorders>
          </w:tcPr>
          <w:p>
            <w:pPr>
              <w:spacing w:after="0"/>
              <w:rPr>
                <w:sz w:val="24"/>
                <w:szCs w:val="24"/>
                <w:color w:val="auto"/>
              </w:rPr>
            </w:pPr>
          </w:p>
        </w:tc>
        <w:tc>
          <w:tcPr>
            <w:tcW w:w="160" w:type="dxa"/>
            <w:vAlign w:val="bottom"/>
            <w:tcBorders>
              <w:left w:val="single" w:sz="8" w:color="auto"/>
              <w:bottom w:val="single" w:sz="8" w:color="CCEEFF"/>
            </w:tcBorders>
            <w:gridSpan w:val="2"/>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187,725</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296,758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250,360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-316865</wp:posOffset>
            </wp:positionV>
            <wp:extent cx="52139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-1697355</wp:posOffset>
            </wp:positionV>
            <wp:extent cx="521398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-2803525</wp:posOffset>
            </wp:positionV>
            <wp:extent cx="774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Current assets</w:t>
      </w:r>
    </w:p>
    <w:p>
      <w:pPr>
        <w:spacing w:after="0" w:line="77"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Current assets increased to $687.8 million as of December 31, 2018 from $438.1 million as of December 31, 2017 due to increased gross revenue and increased accounts receivable as a result of changes to the billing process for certain clients in connection with the implementation of MiFID II resulting in less billings annually in advance and more billings in arrears. In addition, there was an increase in fails to deliver as a result of higher unsettled wholesale platform transactions.</w:t>
      </w:r>
    </w:p>
    <w:p>
      <w:pPr>
        <w:sectPr>
          <w:pgSz w:w="11900" w:h="16838" w:orient="portrait"/>
          <w:cols w:equalWidth="0" w:num="1">
            <w:col w:w="10219"/>
          </w:cols>
          <w:pgMar w:left="240" w:top="131" w:right="1440" w:bottom="1440" w:gutter="0" w:footer="0" w:header="0"/>
        </w:sectPr>
      </w:pP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Current liabilities</w:t>
      </w:r>
    </w:p>
    <w:p>
      <w:pPr>
        <w:spacing w:after="0" w:line="10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Current liabilities increased to $391.0 million as of December 31, 2018 from $187.7 million as of December 31, 2017 due to an increase in accrued compensation, which is based on our operating performance, primarily due to our financial results, and an increase in payable to brokers and dealers and clearing organizations resulting from a higher number of fails to receive as a result of higher unsettled wholesale platform transactions. The increases were partially offset by a decrease in employee equity compensation payable as a result of the conversion of certain cash-settled PRSUs to equity settled PRSUs. This employee equity compensation payable decrease was partially offset by the vesting of Class P1-(C) Shares from the Credit Initiative Earnout.</w:t>
      </w:r>
    </w:p>
    <w:p>
      <w:pPr>
        <w:spacing w:after="0" w:line="59" w:lineRule="exact"/>
        <w:rPr>
          <w:sz w:val="20"/>
          <w:szCs w:val="20"/>
          <w:color w:val="auto"/>
        </w:rPr>
      </w:pPr>
    </w:p>
    <w:p>
      <w:pPr>
        <w:ind w:left="1260" w:right="1099" w:firstLine="360"/>
        <w:spacing w:after="0" w:line="262" w:lineRule="auto"/>
        <w:rPr>
          <w:sz w:val="20"/>
          <w:szCs w:val="20"/>
          <w:color w:val="auto"/>
        </w:rPr>
      </w:pPr>
      <w:r>
        <w:rPr>
          <w:rFonts w:ascii="Arial" w:cs="Arial" w:eastAsia="Arial" w:hAnsi="Arial"/>
          <w:sz w:val="18"/>
          <w:szCs w:val="18"/>
          <w:color w:val="auto"/>
        </w:rPr>
        <w:t>See “— Liquidity and Capital Resources — Factors Influencing Our Liquidity and Capital Resources — Capital Requirements.”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cash flows for the 2018 Successor Period, the 2018 Predecessor Period and the years ended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2017 and 2016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2"/>
              </w:rPr>
              <w:t>Predecessor</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October 1,</w:t>
            </w:r>
          </w:p>
        </w:tc>
        <w:tc>
          <w:tcPr>
            <w:tcW w:w="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January 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left w:val="single" w:sz="8" w:color="auto"/>
            </w:tcBorders>
          </w:tcPr>
          <w:p>
            <w:pPr>
              <w:spacing w:after="0"/>
              <w:rPr>
                <w:sz w:val="14"/>
                <w:szCs w:val="14"/>
                <w:color w:val="auto"/>
              </w:rPr>
            </w:pPr>
          </w:p>
        </w:tc>
        <w:tc>
          <w:tcPr>
            <w:tcW w:w="9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provided by operating activities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112,556</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164,828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224,580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171,845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2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(16,246)</w:t>
            </w:r>
          </w:p>
        </w:tc>
        <w:tc>
          <w:tcPr>
            <w:tcW w:w="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(25,850)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(45,552)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(50,565)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financing activities</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(139,350)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(153,461)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(130,521)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320" w:type="dxa"/>
            <w:vAlign w:val="bottom"/>
          </w:tcPr>
          <w:p>
            <w:pPr>
              <w:spacing w:after="0"/>
              <w:rPr>
                <w:sz w:val="20"/>
                <w:szCs w:val="20"/>
                <w:color w:val="auto"/>
              </w:rPr>
            </w:pPr>
            <w:r>
              <w:rPr>
                <w:rFonts w:ascii="Arial" w:cs="Arial" w:eastAsia="Arial" w:hAnsi="Arial"/>
                <w:sz w:val="16"/>
                <w:szCs w:val="16"/>
                <w:color w:val="auto"/>
                <w:w w:val="96"/>
              </w:rPr>
              <w:t>Effect of exchange rate changes on cash and cash equivalents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(389)</w:t>
            </w:r>
          </w:p>
        </w:tc>
        <w:tc>
          <w:tcPr>
            <w:tcW w:w="6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(2,043)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3,157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(6,200)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increase/(decrease) in 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59,921</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28,724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(15,441)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4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-239395</wp:posOffset>
            </wp:positionV>
            <wp:extent cx="857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-239395</wp:posOffset>
            </wp:positionV>
            <wp:extent cx="16319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-239395</wp:posOffset>
            </wp:positionV>
            <wp:extent cx="17145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-239395</wp:posOffset>
            </wp:positionV>
            <wp:extent cx="342201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-994410</wp:posOffset>
            </wp:positionV>
            <wp:extent cx="514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-994410</wp:posOffset>
            </wp:positionV>
            <wp:extent cx="51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-994410</wp:posOffset>
            </wp:positionV>
            <wp:extent cx="603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Operating activities consist primarily of net income adjusted for noncash items that include depreciation and amortization, contingent consideration and deferred revenue. Cash flows from operating activities can fluctuate significantly from period-to-period as working capital needs and the timing of payments for accrued compensation (primarily in the first quarter) and other items impact reported cash flows.</w:t>
      </w:r>
    </w:p>
    <w:p>
      <w:pPr>
        <w:spacing w:after="0" w:line="63"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Net cash provided by operating activities for the 2018 Successor Period and the 2018 Predecessor Period was $112.6 million and $164.8 million, respectively, which was primarily driven by increased gross revenue partially offset in the 2018 Predecessor Period by an increase in accounts receivable due to changes to the billing process associated with MiFID II resulting in less billings annually in advance and more billings monthly in arrears.</w:t>
      </w:r>
    </w:p>
    <w:p>
      <w:pPr>
        <w:spacing w:after="0" w:line="80"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Net cash provided by operating activities increased to $224.6 million for the year ended December 31, 2017 from $171.8 million for the year ended December 31, 2016. The $52.7 million increase was primarily due to increased gross revenue and an improvement in working capital.</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62" w:lineRule="exact"/>
        <w:rPr>
          <w:sz w:val="20"/>
          <w:szCs w:val="20"/>
          <w:color w:val="auto"/>
        </w:rPr>
      </w:pPr>
    </w:p>
    <w:p>
      <w:pPr>
        <w:ind w:left="1260" w:right="919" w:firstLine="360"/>
        <w:spacing w:after="0" w:line="297" w:lineRule="auto"/>
        <w:rPr>
          <w:sz w:val="20"/>
          <w:szCs w:val="20"/>
          <w:color w:val="auto"/>
        </w:rPr>
      </w:pPr>
      <w:r>
        <w:rPr>
          <w:rFonts w:ascii="Arial" w:cs="Arial" w:eastAsia="Arial" w:hAnsi="Arial"/>
          <w:sz w:val="16"/>
          <w:szCs w:val="16"/>
          <w:color w:val="auto"/>
        </w:rPr>
        <w:t>Net cash used in investing activities was $16.2 million for the 2018 Successor Period, which consisted of $7.2 million of capitalized software development costs and $9.1 million of purchases of furniture, equipment, purchased software and leasehold improvements. Net cash used in investing activities was $25.9 million for the 2018 Predecessor Period, which consisted of $19.5 million of capitalized software development costs and $6.3 million of purchases of furniture, equipment, purchased software and leasehold improvements.</w:t>
      </w: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firstLine="360"/>
        <w:spacing w:after="0" w:line="274" w:lineRule="auto"/>
        <w:rPr>
          <w:sz w:val="20"/>
          <w:szCs w:val="20"/>
          <w:color w:val="auto"/>
        </w:rPr>
      </w:pPr>
      <w:r>
        <w:rPr>
          <w:rFonts w:ascii="Arial" w:cs="Arial" w:eastAsia="Arial" w:hAnsi="Arial"/>
          <w:sz w:val="17"/>
          <w:szCs w:val="17"/>
          <w:color w:val="auto"/>
        </w:rPr>
        <w:t>Net cash used in investing activities decreased to $45.6 million for the year ended December 31, 2017 from $50.6 million for the year ended December 31, 2016. The $5.0 million decrease was primarily due to a</w:t>
      </w:r>
    </w:p>
    <w:p>
      <w:pPr>
        <w:jc w:val="both"/>
        <w:ind w:left="1260" w:right="1159"/>
        <w:spacing w:after="0" w:line="255" w:lineRule="auto"/>
        <w:rPr>
          <w:sz w:val="20"/>
          <w:szCs w:val="20"/>
          <w:color w:val="auto"/>
        </w:rPr>
      </w:pPr>
      <w:r>
        <w:rPr>
          <w:rFonts w:ascii="Arial" w:cs="Arial" w:eastAsia="Arial" w:hAnsi="Arial"/>
          <w:sz w:val="18"/>
          <w:szCs w:val="18"/>
          <w:color w:val="auto"/>
        </w:rPr>
        <w:t>$10.3 million reduction in business acquisitions and investments in 2017 offset by a $5.3 million increase in purchases of furniture, equipment, purchased software and leasehold improvements and the capitalization of software development costs.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Financing activities primarily consist of distributions to our existing stockholders.</w:t>
      </w:r>
    </w:p>
    <w:p>
      <w:pPr>
        <w:spacing w:after="0" w:line="117"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Net cash used in financing activities for the 2018 Successor Period and the 2018 Predecessor Period was $36.0 million and $139.4 million, respectively, due to capital distributions.</w:t>
      </w:r>
    </w:p>
    <w:p>
      <w:pPr>
        <w:spacing w:after="0" w:line="6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Net cash used in financing activities increased to $153.5 million for the year ended December 31, 2017 from $130.5 million for the year ended December 31, 2016. The $22.9 million increase was principally due to an increase in capital distributions of $22.0 million as a result of increased free cash flow.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04" w:lineRule="exact"/>
        <w:rPr>
          <w:sz w:val="20"/>
          <w:szCs w:val="20"/>
          <w:color w:val="auto"/>
        </w:rPr>
      </w:pPr>
    </w:p>
    <w:p>
      <w:pPr>
        <w:ind w:left="1260" w:right="839" w:firstLine="360"/>
        <w:spacing w:after="0" w:line="312" w:lineRule="auto"/>
        <w:rPr>
          <w:sz w:val="20"/>
          <w:szCs w:val="20"/>
          <w:color w:val="auto"/>
        </w:rPr>
      </w:pPr>
      <w:r>
        <w:rPr>
          <w:rFonts w:ascii="Arial" w:cs="Arial" w:eastAsia="Arial" w:hAnsi="Arial"/>
          <w:sz w:val="16"/>
          <w:szCs w:val="16"/>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39"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39"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70" w:lineRule="exact"/>
        <w:rPr>
          <w:sz w:val="20"/>
          <w:szCs w:val="20"/>
          <w:color w:val="auto"/>
        </w:rPr>
      </w:pPr>
    </w:p>
    <w:p>
      <w:pPr>
        <w:jc w:val="both"/>
        <w:ind w:left="1260" w:right="999" w:firstLine="360"/>
        <w:spacing w:after="0" w:line="264"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2018 to</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left w:val="single" w:sz="8" w:color="auto"/>
            </w:tcBorders>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6"/>
                <w:szCs w:val="16"/>
                <w:color w:val="auto"/>
              </w:rPr>
            </w:pPr>
          </w:p>
        </w:tc>
        <w:tc>
          <w:tcPr>
            <w:tcW w:w="900" w:type="dxa"/>
            <w:vAlign w:val="bottom"/>
            <w:tcBorders>
              <w:left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860" w:type="dxa"/>
            <w:vAlign w:val="bottom"/>
            <w:gridSpan w:val="2"/>
          </w:tcPr>
          <w:p>
            <w:pPr>
              <w:jc w:val="center"/>
              <w:ind w:left="9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6"/>
                <w:szCs w:val="16"/>
                <w:color w:val="auto"/>
              </w:rPr>
            </w:pPr>
          </w:p>
        </w:tc>
        <w:tc>
          <w:tcPr>
            <w:tcW w:w="86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112,556</w:t>
            </w:r>
          </w:p>
        </w:tc>
        <w:tc>
          <w:tcPr>
            <w:tcW w:w="1060" w:type="dxa"/>
            <w:vAlign w:val="bottom"/>
            <w:tcBorders>
              <w:left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$ 164,828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$ 224,580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$ 171,845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Less: Capitalization of software development costs</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(7,156)</w:t>
            </w:r>
          </w:p>
        </w:tc>
        <w:tc>
          <w:tcPr>
            <w:tcW w:w="106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(19,523)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(27,157)</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(25,351)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Purchases of furniture, equipment and leasehold</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w:t>
            </w:r>
          </w:p>
        </w:tc>
        <w:tc>
          <w:tcPr>
            <w:tcW w:w="1060" w:type="dxa"/>
            <w:vAlign w:val="bottom"/>
            <w:tcBorders>
              <w:left w:val="single" w:sz="8" w:color="auto"/>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(13,461)</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(9,998)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Free Cash Flow</w:t>
            </w:r>
          </w:p>
        </w:tc>
        <w:tc>
          <w:tcPr>
            <w:tcW w:w="22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96,310</w:t>
            </w:r>
          </w:p>
        </w:tc>
        <w:tc>
          <w:tcPr>
            <w:tcW w:w="1060" w:type="dxa"/>
            <w:vAlign w:val="bottom"/>
            <w:tcBorders>
              <w:left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$ 138,978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183,962</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136,496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-1011555</wp:posOffset>
            </wp:positionV>
            <wp:extent cx="8572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-1011555</wp:posOffset>
            </wp:positionV>
            <wp:extent cx="8572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-1011555</wp:posOffset>
            </wp:positionV>
            <wp:extent cx="946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04"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In addition to net income presented in accordance with GAAP, we present Adjusted EBITDA as a measure of our operating performance and Adjusted Net Income as a measure of our profitability.</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below under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8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1"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7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$ 29,307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93,161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26,224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33,020</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48,808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68,615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80,859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3,415</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11,900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6,129</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2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$ 65,218</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$ 215,012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215,863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202,086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-248285</wp:posOffset>
            </wp:positionV>
            <wp:extent cx="2489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-248285</wp:posOffset>
            </wp:positionV>
            <wp:extent cx="2489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329311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-1362710</wp:posOffset>
            </wp:positionV>
            <wp:extent cx="1371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-1362710</wp:posOffset>
            </wp:positionV>
            <wp:extent cx="12890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-1362710</wp:posOffset>
            </wp:positionV>
            <wp:extent cx="1289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set forth below provides a reconciliation of net income to Adjusted Net Income for the 2018</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$ 29,307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93,161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26,224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0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Acquisition and Refinitiv Transaction related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402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7"/>
                <w:szCs w:val="27"/>
                <w:color w:val="auto"/>
                <w:vertAlign w:val="superscript"/>
              </w:rPr>
              <w:t>(1)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22,413</w:t>
            </w:r>
          </w:p>
        </w:tc>
        <w:tc>
          <w:tcPr>
            <w:tcW w:w="80" w:type="dxa"/>
            <w:vAlign w:val="bottom"/>
            <w:shd w:val="clear" w:color="auto" w:fill="CCEEFF"/>
          </w:tcPr>
          <w:p>
            <w:pPr>
              <w:spacing w:after="0"/>
              <w:rPr>
                <w:sz w:val="24"/>
                <w:szCs w:val="24"/>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19,576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31,236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41,125</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$ 51,983</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$ 175,606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173,040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162,382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-376555</wp:posOffset>
            </wp:positionV>
            <wp:extent cx="7747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-376555</wp:posOffset>
            </wp:positionV>
            <wp:extent cx="2489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-376555</wp:posOffset>
            </wp:positionV>
            <wp:extent cx="2489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-376555</wp:posOffset>
            </wp:positionV>
            <wp:extent cx="329311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-1311275</wp:posOffset>
            </wp:positionV>
            <wp:extent cx="1371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-1311275</wp:posOffset>
            </wp:positionV>
            <wp:extent cx="12890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-1311275</wp:posOffset>
            </wp:positionV>
            <wp:extent cx="12890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14" w:lineRule="exact"/>
        <w:rPr>
          <w:sz w:val="20"/>
          <w:szCs w:val="20"/>
          <w:color w:val="auto"/>
        </w:rPr>
      </w:pPr>
    </w:p>
    <w:p>
      <w:pPr>
        <w:ind w:left="1620" w:right="799" w:hanging="352"/>
        <w:spacing w:after="0" w:line="312" w:lineRule="auto"/>
        <w:tabs>
          <w:tab w:leader="none" w:pos="16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we had the following contractual obligations: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Payments due by period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
        </w:trPr>
        <w:tc>
          <w:tcPr>
            <w:tcW w:w="3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98"/>
        </w:trPr>
        <w:tc>
          <w:tcPr>
            <w:tcW w:w="32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Less than 1 year</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1 to 3 years</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3 to 5 years</w:t>
            </w:r>
          </w:p>
        </w:tc>
        <w:tc>
          <w:tcPr>
            <w:tcW w:w="122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4"/>
              </w:rPr>
              <w:t>More than 5 years</w:t>
            </w:r>
          </w:p>
        </w:tc>
      </w:tr>
      <w:tr>
        <w:trPr>
          <w:trHeight w:val="26"/>
        </w:trPr>
        <w:tc>
          <w:tcPr>
            <w:tcW w:w="3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7"/>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$43,374</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$11,393</w:t>
            </w:r>
          </w:p>
        </w:tc>
        <w:tc>
          <w:tcPr>
            <w:tcW w:w="10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$12,897</w:t>
            </w:r>
          </w:p>
        </w:tc>
        <w:tc>
          <w:tcPr>
            <w:tcW w:w="8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$7,928</w:t>
            </w:r>
          </w:p>
        </w:tc>
        <w:tc>
          <w:tcPr>
            <w:tcW w:w="94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89"/>
              </w:rPr>
              <w:t>$11,156</w:t>
            </w:r>
          </w:p>
        </w:tc>
        <w:tc>
          <w:tcPr>
            <w:tcW w:w="280" w:type="dxa"/>
            <w:vAlign w:val="bottom"/>
            <w:shd w:val="clear" w:color="auto" w:fill="CCEEFF"/>
          </w:tcPr>
          <w:p>
            <w:pPr>
              <w:spacing w:after="0"/>
              <w:rPr>
                <w:sz w:val="24"/>
                <w:szCs w:val="24"/>
                <w:color w:val="auto"/>
              </w:rPr>
            </w:pPr>
          </w:p>
        </w:tc>
      </w:tr>
      <w:tr>
        <w:trPr>
          <w:trHeight w:val="20"/>
        </w:trPr>
        <w:tc>
          <w:tcPr>
            <w:tcW w:w="3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43,374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11,393</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12,897</w:t>
            </w:r>
          </w:p>
        </w:tc>
        <w:tc>
          <w:tcPr>
            <w:tcW w:w="840" w:type="dxa"/>
            <w:vAlign w:val="bottom"/>
            <w:gridSpan w:val="3"/>
          </w:tcPr>
          <w:p>
            <w:pPr>
              <w:jc w:val="center"/>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7,928</w:t>
            </w:r>
          </w:p>
        </w:tc>
        <w:tc>
          <w:tcPr>
            <w:tcW w:w="940" w:type="dxa"/>
            <w:vAlign w:val="bottom"/>
            <w:gridSpan w:val="2"/>
          </w:tcPr>
          <w:p>
            <w:pPr>
              <w:jc w:val="center"/>
              <w:ind w:left="276"/>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11,156</w:t>
            </w:r>
          </w:p>
        </w:tc>
        <w:tc>
          <w:tcPr>
            <w:tcW w:w="280" w:type="dxa"/>
            <w:vAlign w:val="bottom"/>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-505460</wp:posOffset>
            </wp:positionV>
            <wp:extent cx="13716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-505460</wp:posOffset>
            </wp:positionV>
            <wp:extent cx="1371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-505460</wp:posOffset>
            </wp:positionV>
            <wp:extent cx="1371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-505460</wp:posOffset>
            </wp:positionV>
            <wp:extent cx="13716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color w:val="auto"/>
        </w:rPr>
        <w:t>Our operating lease obligations are primarily related to rental payments under lease agreements for office space in the United States and United Kingdom through December 2027. Minimum rent is expensed on a straight-line basis over the term of the lease.</w:t>
      </w:r>
    </w:p>
    <w:p>
      <w:pPr>
        <w:spacing w:after="0" w:line="73" w:lineRule="exact"/>
        <w:rPr>
          <w:sz w:val="20"/>
          <w:szCs w:val="20"/>
          <w:color w:val="auto"/>
        </w:rPr>
      </w:pPr>
    </w:p>
    <w:p>
      <w:pPr>
        <w:ind w:left="1260" w:right="1099" w:firstLine="360"/>
        <w:spacing w:after="0" w:line="312" w:lineRule="auto"/>
        <w:rPr>
          <w:sz w:val="20"/>
          <w:szCs w:val="20"/>
          <w:color w:val="auto"/>
        </w:rPr>
      </w:pPr>
      <w:r>
        <w:rPr>
          <w:rFonts w:ascii="Arial" w:cs="Arial" w:eastAsia="Arial" w:hAnsi="Arial"/>
          <w:sz w:val="16"/>
          <w:szCs w:val="16"/>
          <w:color w:val="auto"/>
        </w:rPr>
        <w:t>In the normal course of business, we enter into user agreements with our dealer clients which indemnify such clients from third parties in the event that our network infringes upon the intellectual property or other proprietary right of a third party. Our exposure under these user agreements is unknown</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color w:val="auto"/>
        </w:rPr>
        <w:t>as this would involve estimating future claims against the Company that have not yet occurred. However, based on our experience, we expect the risk of a material loss to be remote.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we did not have any off-balance sheet arrangements.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79"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Summary of Significant Accounting Policies” to our consolidated financial statements included elsewhere in this prospectus.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contingent consideration payable and current and deferred income taxes.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71"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In determining the fair value of the assets acquired and the liabilities assumed, we considered a report of a third-party valuation expert. Management is responsible for these internal and third-party valuations and appraisals and they are continuing to review the amounts and allocations to finalize these amounts. We have one year from the date of the Refinitiv Transaction to finalize these amounts.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ectPr>
          <w:pgSz w:w="11900" w:h="16838" w:orient="portrait"/>
          <w:cols w:equalWidth="0" w:num="1">
            <w:col w:w="10219"/>
          </w:cols>
          <w:pgMar w:left="240" w:top="131" w:right="1440" w:bottom="1440" w:gutter="0" w:footer="0" w:header="0"/>
        </w:sectPr>
      </w:pP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using a discounted cash flow or a revenues and earnings multiple approach.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Once the product is ready for its intended use,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earn subscription fees primarily for granting clients access to our markets for trading and market data.</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are generally generated on a fixed price basis.</w:t>
      </w:r>
    </w:p>
    <w:p>
      <w:pPr>
        <w:spacing w:after="0" w:line="103" w:lineRule="exact"/>
        <w:rPr>
          <w:sz w:val="20"/>
          <w:szCs w:val="20"/>
          <w:color w:val="auto"/>
        </w:rPr>
      </w:pPr>
    </w:p>
    <w:p>
      <w:pPr>
        <w:ind w:left="1260" w:right="839" w:firstLine="360"/>
        <w:spacing w:after="0" w:line="264"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7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On January 1, 2018, we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we were required to make significant judgements for the Refinitiv market data fees. Significant judgements used in accounting for this contract include:</w:t>
      </w:r>
    </w:p>
    <w:p>
      <w:pPr>
        <w:spacing w:after="0" w:line="134" w:lineRule="exact"/>
        <w:rPr>
          <w:sz w:val="20"/>
          <w:szCs w:val="20"/>
          <w:color w:val="auto"/>
        </w:rPr>
      </w:pPr>
    </w:p>
    <w:p>
      <w:pPr>
        <w:ind w:left="1980" w:right="1019" w:hanging="352"/>
        <w:spacing w:after="0" w:line="277"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02"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16" w:lineRule="exact"/>
        <w:rPr>
          <w:rFonts w:ascii="Arial" w:cs="Arial" w:eastAsia="Arial" w:hAnsi="Arial"/>
          <w:sz w:val="18"/>
          <w:szCs w:val="18"/>
          <w:color w:val="auto"/>
        </w:rPr>
      </w:pPr>
    </w:p>
    <w:p>
      <w:pPr>
        <w:ind w:left="1980" w:right="1019" w:hanging="352"/>
        <w:spacing w:after="0" w:line="312" w:lineRule="auto"/>
        <w:tabs>
          <w:tab w:leader="none" w:pos="1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stock-based compensation that our employees receive are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 The fair value of the equity instruments is determined in accordance with the American Institute of Certified Public Accountants Practice Aid, Valuation of Privately Held Company Securities Issued as Compensation. Factors that are considered in determining the fair value include forecasted future cash flows, the weighted average cost of capital, and the performance multiples of comparable companies.</w:t>
      </w:r>
    </w:p>
    <w:p>
      <w:pPr>
        <w:spacing w:after="0" w:line="61" w:lineRule="exact"/>
        <w:rPr>
          <w:sz w:val="20"/>
          <w:szCs w:val="20"/>
          <w:color w:val="auto"/>
        </w:rPr>
      </w:pPr>
    </w:p>
    <w:p>
      <w:pPr>
        <w:ind w:left="1260" w:right="1199" w:firstLine="360"/>
        <w:spacing w:after="0" w:line="312" w:lineRule="auto"/>
        <w:rPr>
          <w:sz w:val="20"/>
          <w:szCs w:val="20"/>
          <w:color w:val="auto"/>
        </w:rPr>
      </w:pPr>
      <w:r>
        <w:rPr>
          <w:rFonts w:ascii="Arial" w:cs="Arial" w:eastAsia="Arial" w:hAnsi="Arial"/>
          <w:sz w:val="16"/>
          <w:szCs w:val="16"/>
          <w:color w:val="auto"/>
        </w:rPr>
        <w:t>On December 31, 2018, certain PRSUs, which previously were cash-settled, were converted to equity-settled PRSUs. The conversion was at fair value, using a unit price consistent with the share price of the Company. As a result of the modification, an additional $19.1 million was recorded in equity.</w:t>
      </w:r>
    </w:p>
    <w:p>
      <w:pPr>
        <w:spacing w:after="0" w:line="25" w:lineRule="exact"/>
        <w:rPr>
          <w:sz w:val="20"/>
          <w:szCs w:val="20"/>
          <w:color w:val="auto"/>
        </w:rPr>
      </w:pPr>
    </w:p>
    <w:p>
      <w:pPr>
        <w:ind w:left="1260" w:right="759" w:firstLine="360"/>
        <w:spacing w:after="0" w:line="251" w:lineRule="auto"/>
        <w:rPr>
          <w:sz w:val="20"/>
          <w:szCs w:val="20"/>
          <w:color w:val="auto"/>
        </w:rPr>
      </w:pPr>
      <w:r>
        <w:rPr>
          <w:rFonts w:ascii="Arial" w:cs="Arial" w:eastAsia="Arial" w:hAnsi="Arial"/>
          <w:sz w:val="16"/>
          <w:szCs w:val="16"/>
          <w:color w:val="auto"/>
        </w:rPr>
        <w:t>In October 2018, following the closing of the Refinitiv Transaction, we made a special award of options to management and other employees (the “Special Option Award”) under our Option Plan. In accounting for the options issued under this plan, we measure and recognize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our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additional paid-in capital. We expect the non-cash stock-based compensation expense associated with the Special Option Award to be between approximately $33.5 million and $35.7 million, which is expected to be expensed beginning in the second quarter of 2019 and continuing over the following three years. For more information, please see “Executive Compensation — Narrative Disclosure to Summary Compensation Table — Amended and Restated Tradeweb Markets Inc. 2018 Share Option Plan.”</w:t>
      </w:r>
    </w:p>
    <w:p>
      <w:pPr>
        <w:spacing w:after="0" w:line="7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use the Black-Scholes pricing model to value some of our share-based payment awards. 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are currently a multiple member limited liability company taxed as a partnership and accordingly we are not required to maintain an income tax provision on our earnings. Therefore, the remaining tax effects of our activities accrue directly to our partners.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 After the consummation of this offering, we will become subject to U.S. federal, state and local income taxes with respect to our allocable share of any taxable income of Tradeweb Markets LLC and will be taxed at prevailing corporate tax rates.</w:t>
      </w:r>
    </w:p>
    <w:p>
      <w:pPr>
        <w:spacing w:after="0" w:line="70" w:lineRule="exact"/>
        <w:rPr>
          <w:sz w:val="20"/>
          <w:szCs w:val="20"/>
          <w:color w:val="auto"/>
        </w:rPr>
      </w:pPr>
    </w:p>
    <w:p>
      <w:pPr>
        <w:ind w:left="1260" w:right="1099" w:firstLine="360"/>
        <w:spacing w:after="0" w:line="312" w:lineRule="auto"/>
        <w:rPr>
          <w:sz w:val="20"/>
          <w:szCs w:val="20"/>
          <w:color w:val="auto"/>
        </w:rPr>
      </w:pPr>
      <w:r>
        <w:rPr>
          <w:rFonts w:ascii="Arial" w:cs="Arial" w:eastAsia="Arial" w:hAnsi="Arial"/>
          <w:sz w:val="16"/>
          <w:szCs w:val="16"/>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39"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color w:val="auto"/>
        </w:rPr>
        <w:t>On December 22, 2017, the President signed into law the Tax Cuts and Jobs Act (“TCJA”) effective for tax years ending after December 31, 2017. This legislation replaces the prior corporate tax rate structure</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with a flat 21% rate, effective in 2018. There were many other future impacts of the tax reform such as the repeal</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the corporate alternative minimum tax rate, tax loss carryback and carryforward limitations. This legislation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During 2018, we finalized our calculations related to the impacts of the TCJA with no adjustment to our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previously recorded provisional tax expense.</w:t>
      </w:r>
    </w:p>
    <w:p>
      <w:pPr>
        <w:spacing w:after="0" w:line="103"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 corporations end. We have elected to treat taxes due on future U.S. inclusions in taxable income under the GILTI provision as a current period expense when incurred.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4"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In 2014, we issued Class A Shares and unvested Class P-1(A)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P-1(C) Shares. The proceeds from the issuance of these shares were included in members’ capital. The Class A Shares and Class C Shares issued in connection with the investment equally participate in the earnings of the Company together with the other Class A Shares, Class P(A) Shares, Class C Shares and Class P(C) Shares of the Company. Most of the holders of Class A shares have the right to appoint members to the board of managers of the Company. The Class P-1(A) Shares and Class P-1(C) Shares do not have any earnings participation rights, nor do any of the Class P-1(A) Shares have the right to appoint members to the board of managers, until they vest. The Class P-1(A) Shares and Class P-1(C) Shares vested in July 2018 upon the achievement of specific revenue earnout milestones related to the growth of our credit products, as defined by the agreement, from August 2014 through the vesting date of July 2018.</w:t>
      </w:r>
    </w:p>
    <w:p>
      <w:pPr>
        <w:spacing w:after="0" w:line="80"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Prior to the July 2018 vesting, we recognized contingent consideration with respect to the potential vesting of Class P-1(A) Shares and Class P-1(C) Shares as a contra-revenue adjustment in accordance with ASC 605-50-45-2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 month 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5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As a result of achieving these milestones, the final earnout amount was calculated based on the credit revenues during the twelve months ended July 31, 2018. On July 31, 2018, members’ capital increased by $150.5 million as a result of the vesting of the Class P-1(A) Shares and employee equity compensation payable increased by $5.7 million as a result of the vesting of the Class P-1(C) Shares. The value of the vested Class P-1(C) Shares is included in employee equity compensation payable because the Class P-1(C) have been owned for less than six months by employees who have the ability to exercise a put option of those shares under certain conditions under their control.</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1259" w:firstLine="360"/>
        <w:spacing w:after="0" w:line="342" w:lineRule="auto"/>
        <w:rPr>
          <w:sz w:val="20"/>
          <w:szCs w:val="20"/>
          <w:color w:val="auto"/>
        </w:rPr>
      </w:pPr>
      <w:r>
        <w:rPr>
          <w:rFonts w:ascii="Arial" w:cs="Arial" w:eastAsia="Arial" w:hAnsi="Arial"/>
          <w:sz w:val="16"/>
          <w:szCs w:val="16"/>
          <w:color w:val="auto"/>
        </w:rPr>
        <w:t>See “Note 2 — Summary of Significant Accounting Policies” to our consolidated financial statements included elsewhere in this prospectus for a discussion of recent accounting pronouncements.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Inflation</w:t>
      </w:r>
    </w:p>
    <w:p>
      <w:pPr>
        <w:spacing w:after="0" w:line="108"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04" w:lineRule="exact"/>
        <w:rPr>
          <w:sz w:val="20"/>
          <w:szCs w:val="20"/>
          <w:color w:val="auto"/>
        </w:rPr>
      </w:pPr>
    </w:p>
    <w:p>
      <w:pPr>
        <w:ind w:left="1260" w:right="979" w:firstLine="360"/>
        <w:spacing w:after="0" w:line="255"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 During the 2018 Successor Period, the 2018 Predecessor Period and the year ended December 31, 2017, approximately 28.6%, 28.6% and 24.7%, respectively, of our gross revenue and 15.1%, 17.0% and 15.6%, respectively, of our operating expenses were denominated in currencies other than the U.S. dollar, almost entirely the Euro for gross revenue and the British pound sterling for operating expenses.</w:t>
      </w:r>
    </w:p>
    <w:p>
      <w:pPr>
        <w:spacing w:after="0" w:line="8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71"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Fluctuations in foreign currency rates increased our gross revenue by approximately $0.5 million and $9.6 million, respectively, for the 2018 Successor Period and the 2018 Predecessor Period and increased our operating income by approximately $2.2 million and $11.2 million, respectively, for the 2018 Successor Period and the 2018 Predecessor Period. Based on actual results for the 2018 Successor Period and the 2018 Predecessor Period, a hypothetical 10% increase or decrease in the U.S. dollar against all other currencies would have decreased or increased gross revenue by approximately $5.1 million and $14.3 million, respectively, and operating income by approximately $2.8 million and $8.6 million, respectively.</w:t>
      </w:r>
    </w:p>
    <w:p>
      <w:pPr>
        <w:spacing w:after="0" w:line="70"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Fluctuations in foreign currency rates increased our gross revenues by approximately $1.2 million for the year ended December 31, 2017, and increased our operating income by approximately $4.3 million for the year ended December 31, 2017. Based on actual results for the year ended December 31, 2017, a hypothetical 10% increase or decrease in the U.S. dollar against all other currencies would have decreased or increased gross revenues by approximately $13.9 million and operating income by approximately $7.4 million.</w:t>
      </w:r>
    </w:p>
    <w:p>
      <w:pPr>
        <w:spacing w:after="0" w:line="50"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We have derivative risk relating to our foreign currency forward contracts. We enter into foreign currency forward contracts to mitigate our U.S. dollar and British pound sterling versus Euro exposure, generally with a duration of less than fourteen months. We do not use derivative instruments for trading or speculative purposes. As of December 31, 2018 and December 31, 2017, the notional amount of our foreign currency forward contracts was $1.7 million and $80.0 million, respectively.</w:t>
      </w:r>
    </w:p>
    <w:p>
      <w:pPr>
        <w:spacing w:after="0" w:line="6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At December 31, 2018 and December 31, 2017, we established an allowance for doubtful accounts of $1.2 million and $0.9 million, respectively, with regard to these receivables.</w:t>
      </w:r>
    </w:p>
    <w:p>
      <w:pPr>
        <w:spacing w:after="0" w:line="79" w:lineRule="exact"/>
        <w:rPr>
          <w:sz w:val="20"/>
          <w:szCs w:val="20"/>
          <w:color w:val="auto"/>
        </w:rPr>
      </w:pPr>
    </w:p>
    <w:p>
      <w:pPr>
        <w:ind w:left="1260" w:right="1039" w:firstLine="360"/>
        <w:spacing w:after="0" w:line="312" w:lineRule="auto"/>
        <w:rPr>
          <w:sz w:val="20"/>
          <w:szCs w:val="20"/>
          <w:color w:val="auto"/>
        </w:rPr>
      </w:pPr>
      <w:r>
        <w:rPr>
          <w:rFonts w:ascii="Arial" w:cs="Arial" w:eastAsia="Arial" w:hAnsi="Arial"/>
          <w:sz w:val="16"/>
          <w:szCs w:val="16"/>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39"/>
        <w:spacing w:after="0" w:line="264" w:lineRule="auto"/>
        <w:rPr>
          <w:sz w:val="20"/>
          <w:szCs w:val="20"/>
          <w:color w:val="auto"/>
        </w:rPr>
      </w:pPr>
      <w:r>
        <w:rPr>
          <w:rFonts w:ascii="Arial" w:cs="Arial" w:eastAsia="Arial" w:hAnsi="Arial"/>
          <w:sz w:val="18"/>
          <w:szCs w:val="18"/>
          <w:color w:val="auto"/>
        </w:rPr>
        <w:t>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73"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08" w:lineRule="exact"/>
        <w:rPr>
          <w:sz w:val="20"/>
          <w:szCs w:val="20"/>
          <w:color w:val="auto"/>
        </w:rPr>
      </w:pPr>
    </w:p>
    <w:p>
      <w:pPr>
        <w:ind w:left="1260" w:right="779" w:firstLine="360"/>
        <w:spacing w:after="0" w:line="297" w:lineRule="auto"/>
        <w:rPr>
          <w:sz w:val="20"/>
          <w:szCs w:val="20"/>
          <w:color w:val="auto"/>
        </w:rPr>
      </w:pPr>
      <w:r>
        <w:rPr>
          <w:rFonts w:ascii="Arial" w:cs="Arial" w:eastAsia="Arial" w:hAnsi="Arial"/>
          <w:sz w:val="16"/>
          <w:szCs w:val="16"/>
          <w:color w:val="auto"/>
        </w:rPr>
        <w:t>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process of improving our internal controls has required and will continue to require us to expend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85"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We continue to evaluate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 not be required to engage an auditor to report on our internal controls over financial reporting. We will be required to comply with the management certification requirements of Section 404 in our annual report on Form 10-K for the year following our first annual report that is filed with the SEC (subject to any change in applicable SEC rules). We will be required to comply with Section 404 in full (including an auditor attestation on management’s internal controls report) in our annual report on Form 10-K at the later of the year following our first annual report required to be filed with the SEC or the date on which we are no longer an emerging growth company (subject to any change in applicable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$549 billion across more than 40 products.</w:t>
      </w:r>
    </w:p>
    <w:p>
      <w:pPr>
        <w:spacing w:after="0" w:line="65" w:lineRule="exact"/>
        <w:rPr>
          <w:sz w:val="20"/>
          <w:szCs w:val="20"/>
          <w:color w:val="auto"/>
        </w:rPr>
      </w:pPr>
    </w:p>
    <w:p>
      <w:pPr>
        <w:jc w:val="both"/>
        <w:ind w:left="1260" w:right="819" w:firstLine="360"/>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64135</wp:posOffset>
            </wp:positionV>
            <wp:extent cx="3387725" cy="23495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87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74"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4" w:lineRule="exact"/>
        <w:rPr>
          <w:sz w:val="20"/>
          <w:szCs w:val="20"/>
          <w:color w:val="auto"/>
        </w:rPr>
      </w:pPr>
    </w:p>
    <w:p>
      <w:pPr>
        <w:jc w:val="both"/>
        <w:ind w:left="1260" w:right="1019" w:firstLine="360"/>
        <w:spacing w:after="0" w:line="312"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97" w:lineRule="auto"/>
        <w:rPr>
          <w:sz w:val="20"/>
          <w:szCs w:val="20"/>
          <w:color w:val="auto"/>
        </w:rPr>
      </w:pPr>
      <w:r>
        <w:rPr>
          <w:rFonts w:ascii="Arial" w:cs="Arial" w:eastAsia="Arial" w:hAnsi="Arial"/>
          <w:sz w:val="16"/>
          <w:szCs w:val="16"/>
          <w:color w:val="auto"/>
        </w:rPr>
        <w:t>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2018, we had annual compound average daily trading volume growth of 12.5% and annual compound gross revenue growth of 12.2%. Approximately 48.0% of our gross revenue for the combined year ended December 31, 2018 was fixed and generated from subscription fees and minimum volume floors. For the combined year ended December 31, 2018 and the year ended December 31, 2017, respectively, our gross revenue was $684.4 million and $563.0 million, an increase of 21.6%. For the 2018 Successor Period, the 2018 Predecessor Period and the year ended December 31, 2017, respectively, our net income was $29.3 million, $130.2 million and $83.6 million, our Adjusted EBITDA was $65.2 million, $215.0 million and $215.9 million, with an Adjusted EBITDA margin of 36.5%, 42.5% and 38.3%, and our Adjusted Net Income was $52.0 million, $175.6 million and $173.0 million. For the definitions of Adjusted EBITDA, Adjusted EBITDA margin and Adjusted Net Income and reconciliations to net income, their most directly comparable financial measure presented in accordance with GAAP, see footnote 7 in “Prospectus Summary — Summary Historical and Pro Forma Consolidated Financial and Other Data.”</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0" w:lineRule="exact"/>
        <w:rPr>
          <w:sz w:val="20"/>
          <w:szCs w:val="20"/>
          <w:color w:val="auto"/>
        </w:rPr>
      </w:pPr>
    </w:p>
    <w:p>
      <w:pPr>
        <w:ind w:left="1260" w:right="1079" w:firstLine="360"/>
        <w:spacing w:after="0" w:line="312" w:lineRule="auto"/>
        <w:rPr>
          <w:sz w:val="20"/>
          <w:szCs w:val="20"/>
          <w:color w:val="auto"/>
        </w:rPr>
      </w:pPr>
      <w:r>
        <w:rPr>
          <w:rFonts w:ascii="Arial" w:cs="Arial" w:eastAsia="Arial" w:hAnsi="Arial"/>
          <w:sz w:val="16"/>
          <w:szCs w:val="16"/>
          <w:color w:val="auto"/>
        </w:rPr>
        <w:t>While our cornerstone products continue to be some of the first products we launched, including U.S. Treasuries, European government bonds and TBA MBS, we have continued to solve trading inefficiencies by adding new products across our rates, credit, money markets and equities asset classes. As a result of</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expanding our offerings, we have increased our opportunities in related addressable markets, where estimated average daily trading volumes have grown from approximately $0.6 trillion in 1998 to $4.0 trillion through the first nine months of 2018, according to industry sources and management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131445</wp:posOffset>
            </wp:positionV>
            <wp:extent cx="5059680" cy="25901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05968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Based on industry sources and management estimates, we estimate that the global notional value outstanding for rates and credit was approximately $590 trillion as of June 2018. When combined with money markets and equities, the market size for our platforms increases to an estimated notional value of approximately $605 trillion. The markets in which we participate are actively traded, and we estimate that trading in rates, credit, ETFs and money markets generated average daily trading volumes of approximately $1.9 trillion, $0.1 trillion, $0.1 trillion and $1.9 trillion, respectively, through the first nine months of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87"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5% and 21%, respectively, over the last decade, according to SIFMA and BIS. The U.S. and European ETF markets have each grown annually at nearly 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6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w:t>
      </w:r>
    </w:p>
    <w:p>
      <w:pPr>
        <w:spacing w:after="0" w:line="2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579"/>
        <w:spacing w:after="0" w:line="308" w:lineRule="auto"/>
        <w:rPr>
          <w:sz w:val="20"/>
          <w:szCs w:val="20"/>
          <w:color w:val="auto"/>
        </w:rPr>
      </w:pPr>
      <w:r>
        <w:rPr>
          <w:rFonts w:ascii="Arial" w:cs="Arial" w:eastAsia="Arial" w:hAnsi="Arial"/>
          <w:sz w:val="17"/>
          <w:szCs w:val="17"/>
          <w:color w:val="auto"/>
        </w:rPr>
        <w:t>throughout the global 24-hour trading day as market participants have become increasingly global and comprehensive, trading across multiple geographies, asset classes and currencies.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5"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70"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Act, Basel III and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requirements have driven dealers to reduce the size of their balance sheets and utilize the distribution and scale provided by electronic trading venues.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for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7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w:t>
      </w:r>
    </w:p>
    <w:p>
      <w:pPr>
        <w:sectPr>
          <w:pgSz w:w="11900" w:h="16838" w:orient="portrait"/>
          <w:cols w:equalWidth="0" w:num="1">
            <w:col w:w="10219"/>
          </w:cols>
          <w:pgMar w:left="240" w:top="131" w:right="1440" w:bottom="1440" w:gutter="0" w:footer="0" w:header="0"/>
        </w:sectPr>
      </w:pP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63"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63"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63"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76"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41,600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44"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We are continuously developing new offerings and solutions to meet the changing needs of our clients and will benefit from helping them comply with new regulations. For example, in January 2018, we launched our APA reporting service in response to demand by our clients to satisfy new off-venue and OTC reporting requirements under MiFID II. We now operate one of the largest fixed income APA services with over 100 clients, including 20 leading global banks, and expect to expand our APA service in the coming years.</w:t>
      </w: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Market Share</w:t>
      </w:r>
    </w:p>
    <w:p>
      <w:pPr>
        <w:spacing w:after="0" w:line="117"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39"/>
        <w:spacing w:after="0" w:line="264" w:lineRule="auto"/>
        <w:rPr>
          <w:sz w:val="20"/>
          <w:szCs w:val="20"/>
          <w:color w:val="auto"/>
        </w:rPr>
      </w:pPr>
      <w:r>
        <w:rPr>
          <w:rFonts w:ascii="Arial" w:cs="Arial" w:eastAsia="Arial" w:hAnsi="Arial"/>
          <w:sz w:val="18"/>
          <w:szCs w:val="18"/>
          <w:color w:val="auto"/>
        </w:rPr>
        <w:t>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3"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0"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81" w:lineRule="exact"/>
        <w:rPr>
          <w:sz w:val="20"/>
          <w:szCs w:val="20"/>
          <w:color w:val="auto"/>
        </w:rPr>
      </w:pPr>
    </w:p>
    <w:p>
      <w:pPr>
        <w:ind w:left="1260" w:right="1139" w:firstLine="360"/>
        <w:spacing w:after="0" w:line="312"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Client Sectors</w:t>
      </w:r>
    </w:p>
    <w:p>
      <w:pPr>
        <w:spacing w:after="0" w:line="108"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over 20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57"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platforms. We facilitated over $549 billion in average daily trading volume for 2018 across more than 40 products, and we have multi-year agreements with many of our significant dealer clients.</w:t>
      </w:r>
    </w:p>
    <w:p>
      <w:pPr>
        <w:spacing w:after="0" w:line="79"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Given our technological capabilities, the diversity of our client sectors and the breadth of our products and trading protocols, we believe we are well positioned to capitalize on this emerging trend.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Institutional</w:t>
      </w:r>
    </w:p>
    <w:p>
      <w:pPr>
        <w:spacing w:after="0" w:line="104" w:lineRule="exact"/>
        <w:rPr>
          <w:sz w:val="20"/>
          <w:szCs w:val="20"/>
          <w:color w:val="auto"/>
        </w:rPr>
      </w:pPr>
    </w:p>
    <w:p>
      <w:pPr>
        <w:ind w:left="1260" w:right="859" w:firstLine="360"/>
        <w:spacing w:after="0" w:line="271" w:lineRule="auto"/>
        <w:rPr>
          <w:sz w:val="20"/>
          <w:szCs w:val="20"/>
          <w:color w:val="auto"/>
        </w:rPr>
      </w:pPr>
      <w:r>
        <w:rPr>
          <w:rFonts w:ascii="Arial" w:cs="Arial" w:eastAsia="Arial" w:hAnsi="Arial"/>
          <w:sz w:val="17"/>
          <w:szCs w:val="17"/>
          <w:color w:val="auto"/>
        </w:rPr>
        <w:t>Tradeweb Institutional offers dealer-to-client and all-to-all trading and related solutions to over 1,900 liquidity-taking clients. Our clients include leading asset managers, hedge funds, insurance companies, regional dealers and central banks/sovereign entities. The Tradeweb Institutional platform serves 95% of the world’s largest 100 asset managers, over 80% of the top 25 insurance companies and over 50 central banks/sovereign entities with more than 140 dealers providing liquidity. Tradeweb Institutional offers trading in a wide variety of products, including U.S. Treasuries, European government bonds, TBA MBS, global interest rate swaps, global corporate bonds and ETFs. Our trading protocols include RFQ, Request-for-Market, Request-for-Stream, list trading, compression, blast all-to-all, Click-to-Trade and inventory-based.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Wholesale</w:t>
      </w:r>
    </w:p>
    <w:p>
      <w:pPr>
        <w:spacing w:after="0" w:line="104"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provide fully electronic, hybrid and voice trading for the wholesale community on our Dealerweb platform. Our clients include more than 300 dealers with more than 90 dealers actively trading on our electronic and hybrid markets. Nearly all of our electronic and hybrid dealer clients also trade on the Tradeweb Institutional and Tradeweb Direct platforms. Dealerweb’s leading markets include TBA MBS, global credit, U.S. Treasuries, repurchase agreements and U.S. dollar-denominated swaps.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25% growth in the number of e-participants on our wholesale client sector markets since the first quarter of 2016.</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Retail</w:t>
      </w:r>
    </w:p>
    <w:p>
      <w:pPr>
        <w:spacing w:after="0" w:line="10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Tradeweb Direct, our regulated Alternative Trading System (“ATS”), offers financial advisors and their retail clients access to micro-lot liquidity provided by our network of broker-dealers. Tradeweb Direct serves over 54,000 financial advisors at more than 200 retail brokerage and advisory firms. In addition, certain Tradeweb Direct clients provide access to more than 64,000 retail clients through white-labeled, web-based front ends. Tradeweb Direct also provides access to its ATS to large and middle-market asset managers. Tradeweb Direct offers trading in a range of products, including U.S. corporate bonds, municipal</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99"/>
        <w:spacing w:after="0" w:line="264" w:lineRule="auto"/>
        <w:rPr>
          <w:sz w:val="20"/>
          <w:szCs w:val="20"/>
          <w:color w:val="auto"/>
        </w:rPr>
      </w:pPr>
      <w:r>
        <w:rPr>
          <w:rFonts w:ascii="Arial" w:cs="Arial" w:eastAsia="Arial" w:hAnsi="Arial"/>
          <w:sz w:val="18"/>
          <w:szCs w:val="18"/>
          <w:color w:val="auto"/>
        </w:rPr>
        <w:t>bonds and certificates of deposit (CDs), using our Click-to-Trade, inventory-based and RFQ trading protocols. Participants on Tradeweb Direct have the ability to connect to our marketplaces via workstations or APIs or through access to websites that are white-labeled for our clients.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Asset Classes and Products</w:t>
      </w:r>
    </w:p>
    <w:p>
      <w:pPr>
        <w:spacing w:after="0" w:line="108"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color w:val="auto"/>
        </w:rPr>
        <w:t>For the full year ended December 31, 2018, approximately 87% of our gross revenue was generated from fees and commissions earned from our asset class and product offerings. We offer efficient and transparent trading across a diverse range of asset classes:</w:t>
      </w:r>
    </w:p>
    <w:p>
      <w:pPr>
        <w:spacing w:after="0" w:line="150" w:lineRule="exact"/>
        <w:rPr>
          <w:sz w:val="20"/>
          <w:szCs w:val="20"/>
          <w:color w:val="auto"/>
        </w:rPr>
      </w:pPr>
    </w:p>
    <w:p>
      <w:pPr>
        <w:jc w:val="both"/>
        <w:ind w:left="1980" w:right="859" w:hanging="352"/>
        <w:spacing w:after="0" w:line="266"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Rates (55%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facilitate trading in major government securities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U.S. Treasury securities, European government bonds, mortgage-backed securities, interest rate swaps and agency/supranational securities and other rates products.</w:t>
      </w:r>
    </w:p>
    <w:p>
      <w:pPr>
        <w:spacing w:after="0" w:line="135" w:lineRule="exact"/>
        <w:rPr>
          <w:rFonts w:ascii="Arial" w:cs="Arial" w:eastAsia="Arial" w:hAnsi="Arial"/>
          <w:sz w:val="18"/>
          <w:szCs w:val="18"/>
          <w:color w:val="auto"/>
        </w:rPr>
      </w:pPr>
    </w:p>
    <w:p>
      <w:pPr>
        <w:ind w:left="1980" w:right="939" w:hanging="352"/>
        <w:spacing w:after="0" w:line="266"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 (20%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deep pools of liquidity for our clients in U.S. and</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high grade and high yield bonds, municipal bonds, index, single name and sovereign credit default swaps and other credit products.</w:t>
      </w:r>
    </w:p>
    <w:p>
      <w:pPr>
        <w:spacing w:after="0" w:line="135" w:lineRule="exact"/>
        <w:rPr>
          <w:rFonts w:ascii="Arial" w:cs="Arial" w:eastAsia="Arial" w:hAnsi="Arial"/>
          <w:sz w:val="18"/>
          <w:szCs w:val="18"/>
          <w:color w:val="auto"/>
        </w:rPr>
      </w:pPr>
    </w:p>
    <w:p>
      <w:pPr>
        <w:ind w:left="1980" w:right="859" w:hanging="352"/>
        <w:spacing w:after="0" w:line="266"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Markets (5%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a broad range of money market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commercial paper, agency discount notes, repurchase agreements, certificates of deposit and treasury bills and other money markets products.</w:t>
      </w:r>
    </w:p>
    <w:p>
      <w:pPr>
        <w:spacing w:after="0" w:line="149" w:lineRule="exact"/>
        <w:rPr>
          <w:rFonts w:ascii="Arial" w:cs="Arial" w:eastAsia="Arial" w:hAnsi="Arial"/>
          <w:sz w:val="18"/>
          <w:szCs w:val="18"/>
          <w:color w:val="auto"/>
        </w:rPr>
      </w:pPr>
    </w:p>
    <w:p>
      <w:pPr>
        <w:ind w:left="1980" w:right="1239" w:hanging="352"/>
        <w:spacing w:after="0" w:line="282"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Equities (6%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Our equity trading products include global ETFs,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and other equities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88900</wp:posOffset>
            </wp:positionV>
            <wp:extent cx="5085715" cy="275272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08571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Geographies</w:t>
      </w:r>
    </w:p>
    <w:p>
      <w:pPr>
        <w:spacing w:after="0" w:line="108" w:lineRule="exact"/>
        <w:rPr>
          <w:sz w:val="20"/>
          <w:szCs w:val="20"/>
          <w:color w:val="auto"/>
        </w:rPr>
      </w:pPr>
    </w:p>
    <w:p>
      <w:pPr>
        <w:jc w:val="both"/>
        <w:ind w:left="1260" w:right="919" w:firstLine="360"/>
        <w:spacing w:after="0" w:line="264" w:lineRule="auto"/>
        <w:rPr>
          <w:sz w:val="20"/>
          <w:szCs w:val="20"/>
          <w:color w:val="auto"/>
        </w:rPr>
      </w:pPr>
      <w:r>
        <w:rPr>
          <w:rFonts w:ascii="Arial" w:cs="Arial" w:eastAsia="Arial" w:hAnsi="Arial"/>
          <w:sz w:val="18"/>
          <w:szCs w:val="18"/>
          <w:color w:val="auto"/>
        </w:rPr>
        <w:t>We have a global footprint, serving clients, including over 1,900 institutional liquidity-taking clients, in 62 countries across the Americas, EMEA (Europe, Middle East and Africa) and APAC (Asia Pacific) regions and with offices in North America, Europe and Asia. By region:</w:t>
      </w:r>
    </w:p>
    <w:p>
      <w:pPr>
        <w:spacing w:after="0" w:line="141" w:lineRule="exact"/>
        <w:rPr>
          <w:sz w:val="20"/>
          <w:szCs w:val="20"/>
          <w:color w:val="auto"/>
        </w:rPr>
      </w:pPr>
    </w:p>
    <w:p>
      <w:pPr>
        <w:ind w:left="1980" w:right="87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serve over 900 clients in the Americas, including 8 central banks / sovereign entities across North, Central and South America.</w:t>
      </w:r>
    </w:p>
    <w:p>
      <w:pPr>
        <w:spacing w:after="0" w:line="143"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serve over 700 clients in EMEA, including 42 central banks / sovereign entities across Europe, the Middle East and North Africa.</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979" w:hanging="352"/>
        <w:spacing w:after="0" w:line="277"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serve nearly 300 clients in APAC, including 12 central banks / sovereign entities across Asia, the Pacific, Oceania and the Indian sub-continent.</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addition, we currently support trading across 24 currencies globally.</w:t>
      </w:r>
    </w:p>
    <w:p>
      <w:pPr>
        <w:spacing w:after="0" w:line="11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Solutions</w:t>
      </w:r>
    </w:p>
    <w:p>
      <w:pPr>
        <w:spacing w:after="0" w:line="10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126" w:lineRule="exact"/>
        <w:rPr>
          <w:sz w:val="20"/>
          <w:szCs w:val="20"/>
          <w:color w:val="auto"/>
        </w:rPr>
      </w:pPr>
    </w:p>
    <w:p>
      <w:pPr>
        <w:ind w:left="1980" w:right="999" w:hanging="352"/>
        <w:spacing w:after="0" w:line="290" w:lineRule="auto"/>
        <w:tabs>
          <w:tab w:leader="none" w:pos="1980"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Pre-Trade Data and Analytics</w:t>
      </w:r>
      <w:r>
        <w:rPr>
          <w:rFonts w:ascii="Arial" w:cs="Arial" w:eastAsia="Arial" w:hAnsi="Arial"/>
          <w:sz w:val="16"/>
          <w:szCs w:val="16"/>
          <w:b w:val="1"/>
          <w:bCs w:val="1"/>
          <w:color w:val="auto"/>
        </w:rPr>
        <w:t xml:space="preserve">: </w:t>
      </w:r>
      <w:r>
        <w:rPr>
          <w:rFonts w:ascii="Arial" w:cs="Arial" w:eastAsia="Arial" w:hAnsi="Arial"/>
          <w:sz w:val="16"/>
          <w:szCs w:val="16"/>
          <w:color w:val="auto"/>
        </w:rPr>
        <w:t>We provide clients with accurate, real-time market data and</w:t>
      </w:r>
      <w:r>
        <w:rPr>
          <w:rFonts w:ascii="Arial" w:cs="Arial" w:eastAsia="Arial" w:hAnsi="Arial"/>
          <w:sz w:val="16"/>
          <w:szCs w:val="16"/>
          <w:b w:val="1"/>
          <w:bCs w:val="1"/>
          <w:color w:val="auto"/>
        </w:rPr>
        <w:t xml:space="preserve"> </w:t>
      </w:r>
      <w:r>
        <w:rPr>
          <w:rFonts w:ascii="Arial" w:cs="Arial" w:eastAsia="Arial" w:hAnsi="Arial"/>
          <w:sz w:val="16"/>
          <w:szCs w:val="16"/>
          <w:color w:val="auto"/>
        </w:rPr>
        <w:t>streaming price updates across more than 40 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more than 10,000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119" w:lineRule="exact"/>
        <w:rPr>
          <w:rFonts w:ascii="Arial" w:cs="Arial" w:eastAsia="Arial" w:hAnsi="Arial"/>
          <w:sz w:val="16"/>
          <w:szCs w:val="16"/>
          <w:color w:val="auto"/>
        </w:rPr>
      </w:pPr>
    </w:p>
    <w:p>
      <w:pPr>
        <w:ind w:left="1980" w:right="879" w:hanging="352"/>
        <w:spacing w:after="0" w:line="281" w:lineRule="auto"/>
        <w:tabs>
          <w:tab w:leader="none" w:pos="1980"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Trade 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Trade execution is at the core of our business. We provide marketplaces and tools</w:t>
      </w:r>
      <w:r>
        <w:rPr>
          <w:rFonts w:ascii="Arial" w:cs="Arial" w:eastAsia="Arial" w:hAnsi="Arial"/>
          <w:sz w:val="17"/>
          <w:szCs w:val="17"/>
          <w:b w:val="1"/>
          <w:bCs w:val="1"/>
          <w:color w:val="auto"/>
        </w:rPr>
        <w:t xml:space="preserve"> </w:t>
      </w:r>
      <w:r>
        <w:rPr>
          <w:rFonts w:ascii="Arial" w:cs="Arial" w:eastAsia="Arial" w:hAnsi="Arial"/>
          <w:sz w:val="17"/>
          <w:szCs w:val="17"/>
          <w:color w:val="auto"/>
        </w:rPr>
        <w:t>that facilitate trading by our clients and streamline their related workflows. Our market specialists and technology team work closely with our clients to continuously innovate and improve their trading practices. The trading protocols we currently offer on our platforms include:</w:t>
      </w:r>
    </w:p>
    <w:p>
      <w:pPr>
        <w:spacing w:after="0" w:line="128" w:lineRule="exact"/>
        <w:rPr>
          <w:rFonts w:ascii="Arial" w:cs="Arial" w:eastAsia="Arial" w:hAnsi="Arial"/>
          <w:sz w:val="17"/>
          <w:szCs w:val="17"/>
          <w:color w:val="auto"/>
        </w:rPr>
      </w:pPr>
    </w:p>
    <w:p>
      <w:pPr>
        <w:ind w:left="2340" w:right="939" w:hanging="351"/>
        <w:spacing w:after="0" w:line="293" w:lineRule="auto"/>
        <w:tabs>
          <w:tab w:leader="none" w:pos="2340" w:val="left"/>
        </w:tabs>
        <w:numPr>
          <w:ilvl w:val="1"/>
          <w:numId w:val="81"/>
        </w:numPr>
        <w:rPr>
          <w:rFonts w:ascii="Arial" w:cs="Arial" w:eastAsia="Arial" w:hAnsi="Arial"/>
          <w:sz w:val="16"/>
          <w:szCs w:val="16"/>
          <w:color w:val="auto"/>
        </w:rPr>
      </w:pPr>
      <w:r>
        <w:rPr>
          <w:rFonts w:ascii="Arial" w:cs="Arial" w:eastAsia="Arial" w:hAnsi="Arial"/>
          <w:sz w:val="16"/>
          <w:szCs w:val="16"/>
          <w:i w:val="1"/>
          <w:iCs w:val="1"/>
          <w:u w:val="single" w:color="auto"/>
          <w:color w:val="auto"/>
        </w:rPr>
        <w:t>Request-for-quote</w:t>
      </w:r>
      <w:r>
        <w:rPr>
          <w:rFonts w:ascii="Arial" w:cs="Arial" w:eastAsia="Arial" w:hAnsi="Arial"/>
          <w:sz w:val="16"/>
          <w:szCs w:val="16"/>
          <w:i w:val="1"/>
          <w:iCs w:val="1"/>
          <w:color w:val="auto"/>
        </w:rPr>
        <w:t xml:space="preserve">. </w:t>
      </w:r>
      <w:r>
        <w:rPr>
          <w:rFonts w:ascii="Arial" w:cs="Arial" w:eastAsia="Arial" w:hAnsi="Arial"/>
          <w:sz w:val="16"/>
          <w:szCs w:val="16"/>
          <w:color w:val="auto"/>
        </w:rPr>
        <w:t>Our multi-dealer request-for-quote, or RFQ, protocol provides institutional</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with the ability to hold a real-time 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p>
    <w:p>
      <w:pPr>
        <w:spacing w:after="0" w:line="124" w:lineRule="exact"/>
        <w:rPr>
          <w:rFonts w:ascii="Arial" w:cs="Arial" w:eastAsia="Arial" w:hAnsi="Arial"/>
          <w:sz w:val="16"/>
          <w:szCs w:val="16"/>
          <w:color w:val="auto"/>
        </w:rPr>
      </w:pPr>
    </w:p>
    <w:p>
      <w:pPr>
        <w:ind w:left="2340" w:right="819" w:hanging="351"/>
        <w:spacing w:after="0" w:line="255" w:lineRule="auto"/>
        <w:tabs>
          <w:tab w:leader="none" w:pos="2340" w:val="left"/>
        </w:tabs>
        <w:numPr>
          <w:ilvl w:val="1"/>
          <w:numId w:val="81"/>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Request-for-market</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request-for-market, or RFM, protocol provides institutional clients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request a two-sided market 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52" w:lineRule="exact"/>
        <w:rPr>
          <w:rFonts w:ascii="Arial" w:cs="Arial" w:eastAsia="Arial" w:hAnsi="Arial"/>
          <w:sz w:val="18"/>
          <w:szCs w:val="18"/>
          <w:color w:val="auto"/>
        </w:rPr>
      </w:pPr>
    </w:p>
    <w:p>
      <w:pPr>
        <w:ind w:left="2340" w:right="1039" w:hanging="351"/>
        <w:spacing w:after="0" w:line="264" w:lineRule="auto"/>
        <w:tabs>
          <w:tab w:leader="none" w:pos="2340" w:val="left"/>
        </w:tabs>
        <w:numPr>
          <w:ilvl w:val="1"/>
          <w:numId w:val="81"/>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Request-for-stream</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request-for-stream, or RFS, protocol allows multiple dealers to show</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continuously updating rates, in line with market movements, during a client’s request window.</w:t>
      </w:r>
    </w:p>
    <w:p>
      <w:pPr>
        <w:spacing w:after="0" w:line="140" w:lineRule="exact"/>
        <w:rPr>
          <w:rFonts w:ascii="Arial" w:cs="Arial" w:eastAsia="Arial" w:hAnsi="Arial"/>
          <w:sz w:val="18"/>
          <w:szCs w:val="18"/>
          <w:color w:val="auto"/>
        </w:rPr>
      </w:pPr>
    </w:p>
    <w:p>
      <w:pPr>
        <w:ind w:left="2340" w:right="759" w:hanging="351"/>
        <w:spacing w:after="0" w:line="279" w:lineRule="auto"/>
        <w:tabs>
          <w:tab w:leader="none" w:pos="2340" w:val="left"/>
        </w:tabs>
        <w:numPr>
          <w:ilvl w:val="1"/>
          <w:numId w:val="81"/>
        </w:numPr>
        <w:rPr>
          <w:rFonts w:ascii="Arial" w:cs="Arial" w:eastAsia="Arial" w:hAnsi="Arial"/>
          <w:sz w:val="17"/>
          <w:szCs w:val="17"/>
          <w:color w:val="auto"/>
        </w:rPr>
      </w:pPr>
      <w:r>
        <w:rPr>
          <w:rFonts w:ascii="Arial" w:cs="Arial" w:eastAsia="Arial" w:hAnsi="Arial"/>
          <w:sz w:val="17"/>
          <w:szCs w:val="17"/>
          <w:i w:val="1"/>
          <w:iCs w:val="1"/>
          <w:u w:val="single" w:color="auto"/>
          <w:color w:val="auto"/>
        </w:rPr>
        <w:t>List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Used by clients with multiple transactions to complete, our list trading protocol is a</w:t>
      </w:r>
      <w:r>
        <w:rPr>
          <w:rFonts w:ascii="Arial" w:cs="Arial" w:eastAsia="Arial" w:hAnsi="Arial"/>
          <w:sz w:val="17"/>
          <w:szCs w:val="17"/>
          <w:i w:val="1"/>
          <w:iCs w:val="1"/>
          <w:color w:val="auto"/>
        </w:rPr>
        <w:t xml:space="preserve"> </w:t>
      </w:r>
      <w:r>
        <w:rPr>
          <w:rFonts w:ascii="Arial" w:cs="Arial" w:eastAsia="Arial" w:hAnsi="Arial"/>
          <w:sz w:val="17"/>
          <w:szCs w:val="17"/>
          <w:color w:val="auto"/>
        </w:rPr>
        <w:t>highly efficient workflow tool. By executing many trades at once, clients can request prices from multiple dealers to extract the best price and complete the hedging of the trades at one time, saving significant manual effort compared to executing on the telephone.</w:t>
      </w:r>
    </w:p>
    <w:p>
      <w:pPr>
        <w:spacing w:after="0" w:line="130" w:lineRule="exact"/>
        <w:rPr>
          <w:rFonts w:ascii="Arial" w:cs="Arial" w:eastAsia="Arial" w:hAnsi="Arial"/>
          <w:sz w:val="17"/>
          <w:szCs w:val="17"/>
          <w:color w:val="auto"/>
        </w:rPr>
      </w:pPr>
    </w:p>
    <w:p>
      <w:pPr>
        <w:jc w:val="both"/>
        <w:ind w:left="2340" w:right="1119" w:hanging="351"/>
        <w:spacing w:after="0" w:line="312" w:lineRule="auto"/>
        <w:tabs>
          <w:tab w:leader="none" w:pos="2340" w:val="left"/>
        </w:tabs>
        <w:numPr>
          <w:ilvl w:val="1"/>
          <w:numId w:val="81"/>
        </w:numPr>
        <w:rPr>
          <w:rFonts w:ascii="Arial" w:cs="Arial" w:eastAsia="Arial" w:hAnsi="Arial"/>
          <w:sz w:val="16"/>
          <w:szCs w:val="16"/>
          <w:color w:val="auto"/>
        </w:rPr>
      </w:pPr>
      <w:r>
        <w:rPr>
          <w:rFonts w:ascii="Arial" w:cs="Arial" w:eastAsia="Arial" w:hAnsi="Arial"/>
          <w:sz w:val="16"/>
          <w:szCs w:val="16"/>
          <w:i w:val="1"/>
          <w:iCs w:val="1"/>
          <w:u w:val="single" w:color="auto"/>
          <w:color w:val="auto"/>
        </w:rPr>
        <w:t>Compression</w:t>
      </w:r>
      <w:r>
        <w:rPr>
          <w:rFonts w:ascii="Arial" w:cs="Arial" w:eastAsia="Arial" w:hAnsi="Arial"/>
          <w:sz w:val="16"/>
          <w:szCs w:val="16"/>
          <w:color w:val="auto"/>
        </w:rPr>
        <w:t>. Clients utilize our interest rate swap compression tool as an efficient means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number of line items they have outstanding at a clearinghouse by netting offsetting positions in a single transaction. This functionality allows clients to submit up to 250 line</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340" w:right="859"/>
        <w:spacing w:after="0" w:line="259" w:lineRule="auto"/>
        <w:rPr>
          <w:sz w:val="20"/>
          <w:szCs w:val="20"/>
          <w:color w:val="auto"/>
        </w:rPr>
      </w:pPr>
      <w:r>
        <w:rPr>
          <w:rFonts w:ascii="Arial" w:cs="Arial" w:eastAsia="Arial" w:hAnsi="Arial"/>
          <w:sz w:val="18"/>
          <w:szCs w:val="18"/>
          <w:color w:val="auto"/>
        </w:rPr>
        <w:t>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granular swaps.</w:t>
      </w:r>
    </w:p>
    <w:p>
      <w:pPr>
        <w:spacing w:after="0" w:line="133" w:lineRule="exact"/>
        <w:rPr>
          <w:sz w:val="20"/>
          <w:szCs w:val="20"/>
          <w:color w:val="auto"/>
        </w:rPr>
      </w:pPr>
    </w:p>
    <w:p>
      <w:pPr>
        <w:ind w:left="2340" w:right="879" w:hanging="351"/>
        <w:spacing w:after="0" w:line="290" w:lineRule="auto"/>
        <w:tabs>
          <w:tab w:leader="none" w:pos="2340" w:val="left"/>
        </w:tabs>
        <w:numPr>
          <w:ilvl w:val="0"/>
          <w:numId w:val="82"/>
        </w:numPr>
        <w:rPr>
          <w:rFonts w:ascii="Arial" w:cs="Arial" w:eastAsia="Arial" w:hAnsi="Arial"/>
          <w:sz w:val="16"/>
          <w:szCs w:val="16"/>
          <w:color w:val="auto"/>
        </w:rPr>
      </w:pPr>
      <w:r>
        <w:rPr>
          <w:rFonts w:ascii="Arial" w:cs="Arial" w:eastAsia="Arial" w:hAnsi="Arial"/>
          <w:sz w:val="16"/>
          <w:szCs w:val="16"/>
          <w:i w:val="1"/>
          <w:iCs w:val="1"/>
          <w:u w:val="single" w:color="auto"/>
          <w:color w:val="auto"/>
        </w:rPr>
        <w:t>Blast all-to-all</w:t>
      </w:r>
      <w:r>
        <w:rPr>
          <w:rFonts w:ascii="Arial" w:cs="Arial" w:eastAsia="Arial" w:hAnsi="Arial"/>
          <w:sz w:val="16"/>
          <w:szCs w:val="16"/>
          <w:i w:val="1"/>
          <w:iCs w:val="1"/>
          <w:color w:val="auto"/>
        </w:rPr>
        <w:t xml:space="preserve">. </w:t>
      </w:r>
      <w:r>
        <w:rPr>
          <w:rFonts w:ascii="Arial" w:cs="Arial" w:eastAsia="Arial" w:hAnsi="Arial"/>
          <w:sz w:val="16"/>
          <w:szCs w:val="16"/>
          <w:color w:val="auto"/>
        </w:rPr>
        <w:t>Our Blast all-to-all, or A2A, protocol allows clients to send RFQ trade inquiries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market 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98" w:lineRule="exact"/>
        <w:rPr>
          <w:rFonts w:ascii="Arial" w:cs="Arial" w:eastAsia="Arial" w:hAnsi="Arial"/>
          <w:sz w:val="16"/>
          <w:szCs w:val="16"/>
          <w:color w:val="auto"/>
        </w:rPr>
      </w:pPr>
    </w:p>
    <w:p>
      <w:pPr>
        <w:ind w:left="2340" w:right="799" w:hanging="351"/>
        <w:spacing w:after="0" w:line="259" w:lineRule="auto"/>
        <w:tabs>
          <w:tab w:leader="none" w:pos="2340"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Click-to-trade</w:t>
      </w:r>
      <w:r>
        <w:rPr>
          <w:rFonts w:ascii="Arial" w:cs="Arial" w:eastAsia="Arial" w:hAnsi="Arial"/>
          <w:sz w:val="18"/>
          <w:szCs w:val="18"/>
          <w:i w:val="1"/>
          <w:iCs w:val="1"/>
          <w:color w:val="auto"/>
        </w:rPr>
        <w:t xml:space="preserve">. </w:t>
      </w:r>
      <w:r>
        <w:rPr>
          <w:rFonts w:ascii="Arial" w:cs="Arial" w:eastAsia="Arial" w:hAnsi="Arial"/>
          <w:sz w:val="18"/>
          <w:szCs w:val="18"/>
          <w:color w:val="auto"/>
        </w:rPr>
        <w:t>Our click-to-trade, or CTT, protocol enables a liquidity-taking client to view a set</w:t>
      </w:r>
      <w:r>
        <w:rPr>
          <w:rFonts w:ascii="Arial" w:cs="Arial" w:eastAsia="Arial" w:hAnsi="Arial"/>
          <w:sz w:val="18"/>
          <w:szCs w:val="18"/>
          <w:i w:val="1"/>
          <w:iCs w:val="1"/>
          <w:color w:val="auto"/>
        </w:rPr>
        <w:t xml:space="preserve"> </w:t>
      </w:r>
      <w:r>
        <w:rPr>
          <w:rFonts w:ascii="Arial" w:cs="Arial" w:eastAsia="Arial" w:hAnsi="Arial"/>
          <w:sz w:val="18"/>
          <w:szCs w:val="18"/>
          <w:color w:val="auto"/>
        </w:rPr>
        <w:t>of prices in real-time and click on the price and the dealer with whom they wish to execute. This trading protocol is especially popular with clients that are looking to view a range of executable, real-time prices across dealers.</w:t>
      </w:r>
    </w:p>
    <w:p>
      <w:pPr>
        <w:spacing w:after="0" w:line="119" w:lineRule="exact"/>
        <w:rPr>
          <w:rFonts w:ascii="Arial" w:cs="Arial" w:eastAsia="Arial" w:hAnsi="Arial"/>
          <w:sz w:val="18"/>
          <w:szCs w:val="18"/>
          <w:color w:val="auto"/>
        </w:rPr>
      </w:pPr>
    </w:p>
    <w:p>
      <w:pPr>
        <w:ind w:left="2340" w:right="759" w:hanging="351"/>
        <w:spacing w:after="0" w:line="276" w:lineRule="auto"/>
        <w:tabs>
          <w:tab w:leader="none" w:pos="2340" w:val="left"/>
        </w:tabs>
        <w:numPr>
          <w:ilvl w:val="0"/>
          <w:numId w:val="82"/>
        </w:numPr>
        <w:rPr>
          <w:rFonts w:ascii="Arial" w:cs="Arial" w:eastAsia="Arial" w:hAnsi="Arial"/>
          <w:sz w:val="17"/>
          <w:szCs w:val="17"/>
          <w:color w:val="auto"/>
        </w:rPr>
      </w:pPr>
      <w:r>
        <w:rPr>
          <w:rFonts w:ascii="Arial" w:cs="Arial" w:eastAsia="Arial" w:hAnsi="Arial"/>
          <w:sz w:val="17"/>
          <w:szCs w:val="17"/>
          <w:i w:val="1"/>
          <w:iCs w:val="1"/>
          <w:u w:val="single" w:color="auto"/>
          <w:color w:val="auto"/>
        </w:rPr>
        <w:t>Session-based</w:t>
      </w:r>
      <w:r>
        <w:rPr>
          <w:rFonts w:ascii="Arial" w:cs="Arial" w:eastAsia="Arial" w:hAnsi="Arial"/>
          <w:sz w:val="17"/>
          <w:szCs w:val="17"/>
          <w:color w:val="auto"/>
        </w:rPr>
        <w:t>. Sweep, our session-based trading protocol, allows clients to manage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and balance 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05" w:lineRule="exact"/>
        <w:rPr>
          <w:rFonts w:ascii="Arial" w:cs="Arial" w:eastAsia="Arial" w:hAnsi="Arial"/>
          <w:sz w:val="17"/>
          <w:szCs w:val="17"/>
          <w:color w:val="auto"/>
        </w:rPr>
      </w:pPr>
    </w:p>
    <w:p>
      <w:pPr>
        <w:ind w:left="2340" w:right="819" w:hanging="351"/>
        <w:spacing w:after="0" w:line="259" w:lineRule="auto"/>
        <w:tabs>
          <w:tab w:leader="none" w:pos="2340"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Central Limit Order Book</w:t>
      </w:r>
      <w:r>
        <w:rPr>
          <w:rFonts w:ascii="Arial" w:cs="Arial" w:eastAsia="Arial" w:hAnsi="Arial"/>
          <w:sz w:val="18"/>
          <w:szCs w:val="18"/>
          <w:i w:val="1"/>
          <w:iCs w:val="1"/>
          <w:color w:val="auto"/>
        </w:rPr>
        <w:t xml:space="preserve">. </w:t>
      </w:r>
      <w:r>
        <w:rPr>
          <w:rFonts w:ascii="Arial" w:cs="Arial" w:eastAsia="Arial" w:hAnsi="Arial"/>
          <w:sz w:val="18"/>
          <w:szCs w:val="18"/>
          <w:color w:val="auto"/>
        </w:rPr>
        <w:t>Our central limit order book, or CLOB, is a continuous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protocol that allows clients to trade on firm bids and offers from other market participants, as well as enter their own resting bids and offers for display to the market participants, typically anonymously.</w:t>
      </w:r>
    </w:p>
    <w:p>
      <w:pPr>
        <w:spacing w:after="0" w:line="119" w:lineRule="exact"/>
        <w:rPr>
          <w:rFonts w:ascii="Arial" w:cs="Arial" w:eastAsia="Arial" w:hAnsi="Arial"/>
          <w:sz w:val="18"/>
          <w:szCs w:val="18"/>
          <w:color w:val="auto"/>
        </w:rPr>
      </w:pPr>
    </w:p>
    <w:p>
      <w:pPr>
        <w:ind w:left="2340" w:right="859" w:hanging="351"/>
        <w:spacing w:after="0" w:line="273" w:lineRule="auto"/>
        <w:tabs>
          <w:tab w:leader="none" w:pos="2340" w:val="left"/>
        </w:tabs>
        <w:numPr>
          <w:ilvl w:val="0"/>
          <w:numId w:val="82"/>
        </w:numPr>
        <w:rPr>
          <w:rFonts w:ascii="Arial" w:cs="Arial" w:eastAsia="Arial" w:hAnsi="Arial"/>
          <w:sz w:val="17"/>
          <w:szCs w:val="17"/>
          <w:color w:val="auto"/>
        </w:rPr>
      </w:pPr>
      <w:r>
        <w:rPr>
          <w:rFonts w:ascii="Arial" w:cs="Arial" w:eastAsia="Arial" w:hAnsi="Arial"/>
          <w:sz w:val="17"/>
          <w:szCs w:val="17"/>
          <w:i w:val="1"/>
          <w:iCs w:val="1"/>
          <w:u w:val="single" w:color="auto"/>
          <w:color w:val="auto"/>
        </w:rPr>
        <w:t>Directed streams</w:t>
      </w:r>
      <w:r>
        <w:rPr>
          <w:rFonts w:ascii="Arial" w:cs="Arial" w:eastAsia="Arial" w:hAnsi="Arial"/>
          <w:sz w:val="17"/>
          <w:szCs w:val="17"/>
          <w:i w:val="1"/>
          <w:iCs w:val="1"/>
          <w:color w:val="auto"/>
        </w:rPr>
        <w:t xml:space="preserve">. </w:t>
      </w:r>
      <w:r>
        <w:rPr>
          <w:rFonts w:ascii="Arial" w:cs="Arial" w:eastAsia="Arial" w:hAnsi="Arial"/>
          <w:sz w:val="17"/>
          <w:szCs w:val="17"/>
          <w:color w:val="auto"/>
        </w:rPr>
        <w:t>Our directed streams protocol, which is currently used by our wholesale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10" w:lineRule="exact"/>
        <w:rPr>
          <w:rFonts w:ascii="Arial" w:cs="Arial" w:eastAsia="Arial" w:hAnsi="Arial"/>
          <w:sz w:val="17"/>
          <w:szCs w:val="17"/>
          <w:color w:val="auto"/>
        </w:rPr>
      </w:pPr>
    </w:p>
    <w:p>
      <w:pPr>
        <w:ind w:left="2340" w:right="979" w:hanging="351"/>
        <w:spacing w:after="0" w:line="297" w:lineRule="auto"/>
        <w:tabs>
          <w:tab w:leader="none" w:pos="2340" w:val="left"/>
        </w:tabs>
        <w:numPr>
          <w:ilvl w:val="0"/>
          <w:numId w:val="82"/>
        </w:numPr>
        <w:rPr>
          <w:rFonts w:ascii="Arial" w:cs="Arial" w:eastAsia="Arial" w:hAnsi="Arial"/>
          <w:sz w:val="16"/>
          <w:szCs w:val="16"/>
          <w:color w:val="auto"/>
        </w:rPr>
      </w:pPr>
      <w:r>
        <w:rPr>
          <w:rFonts w:ascii="Arial" w:cs="Arial" w:eastAsia="Arial" w:hAnsi="Arial"/>
          <w:sz w:val="16"/>
          <w:szCs w:val="16"/>
          <w:i w:val="1"/>
          <w:iCs w:val="1"/>
          <w:u w:val="single" w:color="auto"/>
          <w:color w:val="auto"/>
        </w:rPr>
        <w:t>Inventory-based</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inventory-based protocol allows liquidity-providing clients to submit a</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bids and 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our credit and some money marketplaces.</w:t>
      </w:r>
    </w:p>
    <w:p>
      <w:pPr>
        <w:spacing w:after="0" w:line="104" w:lineRule="exact"/>
        <w:rPr>
          <w:rFonts w:ascii="Arial" w:cs="Arial" w:eastAsia="Arial" w:hAnsi="Arial"/>
          <w:sz w:val="16"/>
          <w:szCs w:val="16"/>
          <w:color w:val="auto"/>
        </w:rPr>
      </w:pPr>
    </w:p>
    <w:p>
      <w:pPr>
        <w:ind w:left="2340" w:right="1079" w:hanging="351"/>
        <w:spacing w:after="0" w:line="259" w:lineRule="auto"/>
        <w:tabs>
          <w:tab w:leader="none" w:pos="2340"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Voice</w:t>
      </w:r>
      <w:r>
        <w:rPr>
          <w:rFonts w:ascii="Arial" w:cs="Arial" w:eastAsia="Arial" w:hAnsi="Arial"/>
          <w:sz w:val="18"/>
          <w:szCs w:val="18"/>
          <w:i w:val="1"/>
          <w:iCs w:val="1"/>
          <w:color w:val="auto"/>
        </w:rPr>
        <w:t xml:space="preserve">. </w:t>
      </w:r>
      <w:r>
        <w:rPr>
          <w:rFonts w:ascii="Arial" w:cs="Arial" w:eastAsia="Arial" w:hAnsi="Arial"/>
          <w:sz w:val="18"/>
          <w:szCs w:val="18"/>
          <w:color w:val="auto"/>
        </w:rPr>
        <w:t>Voice-brokered products in our wholesale client sector include, among other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treasuries, MBS, municipal bonds and repurchase agreements. Our voice brokers provide anonymity and insight for sell side traders and give us valuable high-touch relationships and market understanding and access.</w:t>
      </w:r>
    </w:p>
    <w:p>
      <w:pPr>
        <w:spacing w:after="0" w:line="79" w:lineRule="exact"/>
        <w:rPr>
          <w:sz w:val="20"/>
          <w:szCs w:val="20"/>
          <w:color w:val="auto"/>
        </w:rPr>
      </w:pPr>
    </w:p>
    <w:p>
      <w:pPr>
        <w:ind w:left="1980" w:right="879"/>
        <w:spacing w:after="0" w:line="272" w:lineRule="auto"/>
        <w:rPr>
          <w:sz w:val="20"/>
          <w:szCs w:val="20"/>
          <w:color w:val="auto"/>
        </w:rPr>
      </w:pPr>
      <w:r>
        <w:rPr>
          <w:rFonts w:ascii="Arial" w:cs="Arial" w:eastAsia="Arial" w:hAnsi="Arial"/>
          <w:sz w:val="17"/>
          <w:szCs w:val="17"/>
          <w:color w:val="auto"/>
        </w:rPr>
        <w:t>Tradeweb Automated Intelligent Execution is an innovative automated trading technology that allows clients to execute large volumes of trade tickets at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980" w:right="759" w:hanging="352"/>
        <w:spacing w:after="0" w:line="289" w:lineRule="auto"/>
        <w:tabs>
          <w:tab w:leader="none" w:pos="1980" w:val="left"/>
        </w:tabs>
        <w:numPr>
          <w:ilvl w:val="0"/>
          <w:numId w:val="83"/>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Our trade processing technology allows our clients to increase productivity,</w:t>
      </w:r>
      <w:r>
        <w:rPr>
          <w:rFonts w:ascii="Arial" w:cs="Arial" w:eastAsia="Arial" w:hAnsi="Arial"/>
          <w:sz w:val="16"/>
          <w:szCs w:val="16"/>
          <w:b w:val="1"/>
          <w:bCs w:val="1"/>
          <w:color w:val="auto"/>
        </w:rPr>
        <w:t xml:space="preserve"> </w:t>
      </w:r>
      <w:r>
        <w:rPr>
          <w:rFonts w:ascii="Arial" w:cs="Arial" w:eastAsia="Arial" w:hAnsi="Arial"/>
          <w:sz w:val="16"/>
          <w:szCs w:val="16"/>
          <w:color w:val="auto"/>
        </w:rPr>
        <w:t>reduce risk and improve overall performance. Our 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20" w:lineRule="exact"/>
        <w:rPr>
          <w:rFonts w:ascii="Arial" w:cs="Arial" w:eastAsia="Arial" w:hAnsi="Arial"/>
          <w:sz w:val="16"/>
          <w:szCs w:val="16"/>
          <w:color w:val="auto"/>
        </w:rPr>
      </w:pPr>
    </w:p>
    <w:p>
      <w:pPr>
        <w:ind w:left="1980" w:right="759" w:hanging="352"/>
        <w:spacing w:after="0" w:line="253"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Post-Trade Data, Analytics and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comprehensive post-trade services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cost analysis, or 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Alliances</w:t>
      </w:r>
    </w:p>
    <w:p>
      <w:pPr>
        <w:spacing w:after="0" w:line="108"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As part of our culture of collaborative innovation, throughout our history we have also initiated several formal strategic alliances. These alliances have taken several forms, including distribution partnerships, technological alliances and revenue sharing and other financial arrangements. The alliances have allowed us to accelerate our entry into certain new markets, leverage scale of other parties or simply maximize opportunities through joint projects.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for educating clients more broadly on the benefits of electronic trading, including how to optimize their trading performance and efficiency through our various trading protocols.</w:t>
      </w:r>
    </w:p>
    <w:p>
      <w:pPr>
        <w:spacing w:after="0" w:line="7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Given the breadth of our global client network, trading volume activity and engagement with regulatory bodies, we regularly work to help educate market participants on market trends,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81"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Additionally, we employ various marketing strategies to strengthen our brand position and explain our offerings, including our public website, advertising, digital and social media, earned media, direct marketing, promotional mailings, industry conferences and hosted events.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The markets for our solutions continue to evolve and are competitive in the asset classes, products and geographies in which we operate. We compete with a broad range of market participants globally. Some of these market participants can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70"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150" w:lineRule="exact"/>
        <w:rPr>
          <w:sz w:val="20"/>
          <w:szCs w:val="20"/>
          <w:color w:val="auto"/>
        </w:rPr>
      </w:pPr>
    </w:p>
    <w:p>
      <w:pPr>
        <w:ind w:left="1980" w:right="779" w:hanging="352"/>
        <w:spacing w:after="0" w:line="255"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electronic trading platforms</w:t>
      </w:r>
      <w:r>
        <w:rPr>
          <w:rFonts w:ascii="Arial" w:cs="Arial" w:eastAsia="Arial" w:hAnsi="Arial"/>
          <w:sz w:val="18"/>
          <w:szCs w:val="18"/>
          <w:b w:val="1"/>
          <w:bCs w:val="1"/>
          <w:color w:val="auto"/>
        </w:rPr>
        <w:t xml:space="preserve">: </w:t>
      </w:r>
      <w:r>
        <w:rPr>
          <w:rFonts w:ascii="Arial" w:cs="Arial" w:eastAsia="Arial" w:hAnsi="Arial"/>
          <w:sz w:val="18"/>
          <w:szCs w:val="18"/>
          <w:color w:val="auto"/>
        </w:rPr>
        <w:t>We compete with a number of other electronic trading venues.</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include MarketAxess, Bloomberg, London Stock Exchange Group (“LSEG”) (MTS BondsPro), ICE (Bondpoint, TMC Bonds, Creditex) and others in the credit and municipal markets; Bloomberg, LSEG (MTS BondVision), Nasdaq (Nasdaq Fixed Income), CME Group (NEX Group) and others in the rates and derivatives markets; and ITG (RFQ-hub) and Bloomberg in the equities and ETF markets. Additionally, new platform providers have entered the market, such as Trumid, trueEX, LiquidityEdge and Liquidnet.</w:t>
      </w:r>
    </w:p>
    <w:p>
      <w:pPr>
        <w:spacing w:after="0" w:line="148" w:lineRule="exact"/>
        <w:rPr>
          <w:rFonts w:ascii="Arial" w:cs="Arial" w:eastAsia="Arial" w:hAnsi="Arial"/>
          <w:sz w:val="18"/>
          <w:szCs w:val="18"/>
          <w:color w:val="auto"/>
        </w:rPr>
      </w:pPr>
    </w:p>
    <w:p>
      <w:pPr>
        <w:ind w:left="1980" w:right="819" w:hanging="352"/>
        <w:spacing w:after="0" w:line="274" w:lineRule="auto"/>
        <w:tabs>
          <w:tab w:leader="none" w:pos="1980" w:val="left"/>
        </w:tabs>
        <w:numPr>
          <w:ilvl w:val="0"/>
          <w:numId w:val="84"/>
        </w:numPr>
        <w:rPr>
          <w:rFonts w:ascii="Arial" w:cs="Arial" w:eastAsia="Arial" w:hAnsi="Arial"/>
          <w:sz w:val="17"/>
          <w:szCs w:val="17"/>
          <w:color w:val="auto"/>
        </w:rPr>
      </w:pPr>
      <w:r>
        <w:rPr>
          <w:rFonts w:ascii="Arial" w:cs="Arial" w:eastAsia="Arial" w:hAnsi="Arial"/>
          <w:sz w:val="17"/>
          <w:szCs w:val="17"/>
          <w:b w:val="1"/>
          <w:bCs w:val="1"/>
          <w:u w:val="single" w:color="auto"/>
          <w:color w:val="auto"/>
        </w:rPr>
        <w:t>Exchanges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recent years, exchanges have pursued acquisitions that have put them in 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us. For example, ICE recently acquired BondPoint and TMC Bonds, retail-focused platforms, and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p>
    <w:p>
      <w:pPr>
        <w:spacing w:after="0" w:line="133" w:lineRule="exact"/>
        <w:rPr>
          <w:rFonts w:ascii="Arial" w:cs="Arial" w:eastAsia="Arial" w:hAnsi="Arial"/>
          <w:sz w:val="17"/>
          <w:szCs w:val="17"/>
          <w:color w:val="auto"/>
        </w:rPr>
      </w:pPr>
    </w:p>
    <w:p>
      <w:pPr>
        <w:ind w:left="1980" w:right="799" w:hanging="352"/>
        <w:spacing w:after="0" w:line="298" w:lineRule="auto"/>
        <w:tabs>
          <w:tab w:leader="none" w:pos="1980" w:val="left"/>
        </w:tabs>
        <w:numPr>
          <w:ilvl w:val="0"/>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Inter-dealer brokers</w:t>
      </w:r>
      <w:r>
        <w:rPr>
          <w:rFonts w:ascii="Arial" w:cs="Arial" w:eastAsia="Arial" w:hAnsi="Arial"/>
          <w:sz w:val="16"/>
          <w:szCs w:val="16"/>
          <w:b w:val="1"/>
          <w:bCs w:val="1"/>
          <w:color w:val="auto"/>
        </w:rPr>
        <w:t xml:space="preserve">: </w:t>
      </w:r>
      <w:r>
        <w:rPr>
          <w:rFonts w:ascii="Arial" w:cs="Arial" w:eastAsia="Arial" w:hAnsi="Arial"/>
          <w:sz w:val="16"/>
          <w:szCs w:val="16"/>
          <w:color w:val="auto"/>
        </w:rPr>
        <w:t>We compete with inter-dealer brokers, particularly in our wholesale markets in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such as MBS, U.S. Treasuries, U.S. repo and products traded on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27" w:lineRule="exact"/>
        <w:rPr>
          <w:rFonts w:ascii="Arial" w:cs="Arial" w:eastAsia="Arial" w:hAnsi="Arial"/>
          <w:sz w:val="16"/>
          <w:szCs w:val="16"/>
          <w:color w:val="auto"/>
        </w:rPr>
      </w:pPr>
    </w:p>
    <w:p>
      <w:pPr>
        <w:ind w:left="1980" w:right="819" w:hanging="352"/>
        <w:spacing w:after="0" w:line="261"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Single-bank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Major global and regional investment and commercial banks offer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electronic trade execution through proprietary trading systems. Many of these banks expend considerable resources on product development, sales and support to promote their single-bank systems.</w:t>
      </w:r>
    </w:p>
    <w:p>
      <w:pPr>
        <w:spacing w:after="0" w:line="139" w:lineRule="exact"/>
        <w:rPr>
          <w:rFonts w:ascii="Arial" w:cs="Arial" w:eastAsia="Arial" w:hAnsi="Arial"/>
          <w:sz w:val="18"/>
          <w:szCs w:val="18"/>
          <w:color w:val="auto"/>
        </w:rPr>
      </w:pPr>
    </w:p>
    <w:p>
      <w:pPr>
        <w:ind w:left="1980" w:right="899" w:hanging="352"/>
        <w:spacing w:after="0" w:line="258"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Dealers</w:t>
      </w:r>
      <w:r>
        <w:rPr>
          <w:rFonts w:ascii="Arial" w:cs="Arial" w:eastAsia="Arial" w:hAnsi="Arial"/>
          <w:sz w:val="18"/>
          <w:szCs w:val="18"/>
          <w:b w:val="1"/>
          <w:bCs w:val="1"/>
          <w:color w:val="auto"/>
        </w:rPr>
        <w:t xml:space="preserve">: </w:t>
      </w:r>
      <w:r>
        <w:rPr>
          <w:rFonts w:ascii="Arial" w:cs="Arial" w:eastAsia="Arial" w:hAnsi="Arial"/>
          <w:sz w:val="18"/>
          <w:szCs w:val="18"/>
          <w:color w:val="auto"/>
        </w:rPr>
        <w:t>Many of our markets are still traded through traditional voice-based protocols.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43" w:lineRule="exact"/>
        <w:rPr>
          <w:rFonts w:ascii="Arial" w:cs="Arial" w:eastAsia="Arial" w:hAnsi="Arial"/>
          <w:sz w:val="18"/>
          <w:szCs w:val="18"/>
          <w:color w:val="auto"/>
        </w:rPr>
      </w:pPr>
    </w:p>
    <w:p>
      <w:pPr>
        <w:ind w:left="1980" w:right="819" w:hanging="352"/>
        <w:spacing w:after="0" w:line="261"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data and information vendors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data and information providers, such as Bloomberg,</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Interactive Data Corporation (now part of ICE) and IHS Markit, have a pervasive presence across the financial trading community. Their data and pre-and post-trade analytics compete with offerings we provide to support trading on our marketplaces.</w:t>
      </w:r>
    </w:p>
    <w:p>
      <w:pPr>
        <w:spacing w:after="0" w:line="76" w:lineRule="exact"/>
        <w:rPr>
          <w:sz w:val="20"/>
          <w:szCs w:val="20"/>
          <w:color w:val="auto"/>
        </w:rPr>
      </w:pPr>
    </w:p>
    <w:p>
      <w:pPr>
        <w:jc w:val="both"/>
        <w:ind w:left="1260" w:right="919" w:firstLine="360"/>
        <w:spacing w:after="0" w:line="312" w:lineRule="auto"/>
        <w:rPr>
          <w:sz w:val="20"/>
          <w:szCs w:val="20"/>
          <w:color w:val="auto"/>
        </w:rPr>
      </w:pPr>
      <w:r>
        <w:rPr>
          <w:rFonts w:ascii="Arial" w:cs="Arial" w:eastAsia="Arial" w:hAnsi="Arial"/>
          <w:sz w:val="16"/>
          <w:szCs w:val="16"/>
          <w:color w:val="auto"/>
        </w:rPr>
        <w:t>We face intense competition, and we expect competition with a broad range of competitors to continue to intensify in the future. See “Risk Factors — Risks Relating to Our Business and Industry — Failure to compete successfully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Proprietary Technology</w:t>
      </w:r>
    </w:p>
    <w:p>
      <w:pPr>
        <w:spacing w:after="0" w:line="108" w:lineRule="exact"/>
        <w:rPr>
          <w:sz w:val="20"/>
          <w:szCs w:val="20"/>
          <w:color w:val="auto"/>
        </w:rPr>
      </w:pPr>
    </w:p>
    <w:p>
      <w:pPr>
        <w:jc w:val="both"/>
        <w:ind w:left="1260" w:right="1019" w:firstLine="360"/>
        <w:spacing w:after="0" w:line="288" w:lineRule="auto"/>
        <w:rPr>
          <w:sz w:val="20"/>
          <w:szCs w:val="20"/>
          <w:color w:val="auto"/>
        </w:rPr>
      </w:pPr>
      <w:r>
        <w:rPr>
          <w:rFonts w:ascii="Arial" w:cs="Arial" w:eastAsia="Arial" w:hAnsi="Arial"/>
          <w:sz w:val="16"/>
          <w:szCs w:val="16"/>
          <w:color w:val="auto"/>
        </w:rPr>
        <w:t>Over the past 20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w:t>
      </w:r>
    </w:p>
    <w:p>
      <w:pPr>
        <w:ind w:left="1260" w:right="799"/>
        <w:spacing w:after="0" w:line="253" w:lineRule="auto"/>
        <w:rPr>
          <w:sz w:val="20"/>
          <w:szCs w:val="20"/>
          <w:color w:val="auto"/>
        </w:rPr>
      </w:pPr>
      <w:r>
        <w:rPr>
          <w:rFonts w:ascii="Arial" w:cs="Arial" w:eastAsia="Arial" w:hAnsi="Arial"/>
          <w:sz w:val="18"/>
          <w:szCs w:val="18"/>
          <w:color w:val="auto"/>
        </w:rPr>
        <w:t>Critical to our ability to collaborate with clients and remain at the forefront of evolving market trends is our team of approximately 300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83"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73"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79" w:lineRule="exact"/>
        <w:rPr>
          <w:sz w:val="20"/>
          <w:szCs w:val="20"/>
          <w:color w:val="auto"/>
        </w:rPr>
      </w:pPr>
    </w:p>
    <w:p>
      <w:pPr>
        <w:jc w:val="both"/>
        <w:ind w:left="1260" w:right="959" w:firstLine="360"/>
        <w:spacing w:after="0" w:line="264"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69" w:lineRule="exact"/>
        <w:rPr>
          <w:sz w:val="20"/>
          <w:szCs w:val="20"/>
          <w:color w:val="auto"/>
        </w:rPr>
      </w:pPr>
    </w:p>
    <w:p>
      <w:pPr>
        <w:ind w:left="1980" w:right="819" w:hanging="352"/>
        <w:spacing w:after="0" w:line="298" w:lineRule="auto"/>
        <w:tabs>
          <w:tab w:leader="none" w:pos="1980"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Nimble product development in collaboration with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Our approach to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facilitates continuous releases of important 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46" w:lineRule="exact"/>
        <w:rPr>
          <w:rFonts w:ascii="Arial" w:cs="Arial" w:eastAsia="Arial" w:hAnsi="Arial"/>
          <w:sz w:val="16"/>
          <w:szCs w:val="16"/>
          <w:color w:val="auto"/>
        </w:rPr>
      </w:pPr>
    </w:p>
    <w:p>
      <w:pPr>
        <w:ind w:left="1980" w:right="779" w:hanging="352"/>
        <w:spacing w:after="0" w:line="258"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Scalable architecture</w:t>
      </w:r>
      <w:r>
        <w:rPr>
          <w:rFonts w:ascii="Arial" w:cs="Arial" w:eastAsia="Arial" w:hAnsi="Arial"/>
          <w:sz w:val="18"/>
          <w:szCs w:val="18"/>
          <w:b w:val="1"/>
          <w:bCs w:val="1"/>
          <w:color w:val="auto"/>
        </w:rPr>
        <w:t xml:space="preserve">: </w:t>
      </w:r>
      <w:r>
        <w:rPr>
          <w:rFonts w:ascii="Arial" w:cs="Arial" w:eastAsia="Arial" w:hAnsi="Arial"/>
          <w:sz w:val="18"/>
          <w:szCs w:val="18"/>
          <w:color w:val="auto"/>
        </w:rPr>
        <w:t>Our scalable architecture was designed to address increased trading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evolving 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75" w:lineRule="exact"/>
        <w:rPr>
          <w:rFonts w:ascii="Arial" w:cs="Arial" w:eastAsia="Arial" w:hAnsi="Arial"/>
          <w:sz w:val="18"/>
          <w:szCs w:val="18"/>
          <w:color w:val="auto"/>
        </w:rPr>
      </w:pPr>
    </w:p>
    <w:p>
      <w:pPr>
        <w:ind w:left="1980" w:right="939" w:hanging="352"/>
        <w:spacing w:after="0" w:line="281" w:lineRule="auto"/>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Strong disaster recovery and business continuity planning</w:t>
      </w:r>
      <w:r>
        <w:rPr>
          <w:rFonts w:ascii="Arial" w:cs="Arial" w:eastAsia="Arial" w:hAnsi="Arial"/>
          <w:sz w:val="17"/>
          <w:szCs w:val="17"/>
          <w:b w:val="1"/>
          <w:bCs w:val="1"/>
          <w:color w:val="auto"/>
        </w:rPr>
        <w:t xml:space="preserve">: </w:t>
      </w:r>
      <w:r>
        <w:rPr>
          <w:rFonts w:ascii="Arial" w:cs="Arial" w:eastAsia="Arial" w:hAnsi="Arial"/>
          <w:sz w:val="17"/>
          <w:szCs w:val="17"/>
          <w:color w:val="auto"/>
        </w:rPr>
        <w:t>We maintain redundant networks,</w:t>
      </w:r>
      <w:r>
        <w:rPr>
          <w:rFonts w:ascii="Arial" w:cs="Arial" w:eastAsia="Arial" w:hAnsi="Arial"/>
          <w:sz w:val="17"/>
          <w:szCs w:val="17"/>
          <w:b w:val="1"/>
          <w:bCs w:val="1"/>
          <w:color w:val="auto"/>
        </w:rPr>
        <w:t xml:space="preserve"> </w:t>
      </w:r>
      <w:r>
        <w:rPr>
          <w:rFonts w:ascii="Arial" w:cs="Arial" w:eastAsia="Arial" w:hAnsi="Arial"/>
          <w:sz w:val="17"/>
          <w:szCs w:val="17"/>
          <w:color w:val="auto"/>
        </w:rPr>
        <w:t>hardware, data centers and alternate operational facilities to address interruptions. We have eight datacenters across the United States, the United Kingdom and Japan. Our data center infrastructure is designed to be resilient and responsive with built-in redundancies.</w:t>
      </w:r>
    </w:p>
    <w:p>
      <w:pPr>
        <w:spacing w:after="0" w:line="60" w:lineRule="exact"/>
        <w:rPr>
          <w:rFonts w:ascii="Arial" w:cs="Arial" w:eastAsia="Arial" w:hAnsi="Arial"/>
          <w:sz w:val="17"/>
          <w:szCs w:val="17"/>
          <w:color w:val="auto"/>
        </w:rPr>
      </w:pPr>
    </w:p>
    <w:p>
      <w:pPr>
        <w:ind w:left="1980" w:right="759"/>
        <w:spacing w:after="0" w:line="288" w:lineRule="auto"/>
        <w:rPr>
          <w:rFonts w:ascii="Arial" w:cs="Arial" w:eastAsia="Arial" w:hAnsi="Arial"/>
          <w:sz w:val="17"/>
          <w:szCs w:val="17"/>
          <w:color w:val="auto"/>
        </w:rPr>
      </w:pPr>
      <w:r>
        <w:rPr>
          <w:rFonts w:ascii="Arial" w:cs="Arial" w:eastAsia="Arial" w:hAnsi="Arial"/>
          <w:sz w:val="16"/>
          <w:szCs w:val="16"/>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57" w:lineRule="exact"/>
        <w:rPr>
          <w:rFonts w:ascii="Arial" w:cs="Arial" w:eastAsia="Arial" w:hAnsi="Arial"/>
          <w:sz w:val="17"/>
          <w:szCs w:val="17"/>
          <w:color w:val="auto"/>
        </w:rPr>
      </w:pPr>
    </w:p>
    <w:p>
      <w:pPr>
        <w:ind w:left="1980" w:right="919" w:hanging="352"/>
        <w:spacing w:after="0" w:line="274" w:lineRule="auto"/>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Ongoing security, system monitoring and alerting</w:t>
      </w:r>
      <w:r>
        <w:rPr>
          <w:rFonts w:ascii="Arial" w:cs="Arial" w:eastAsia="Arial" w:hAnsi="Arial"/>
          <w:sz w:val="17"/>
          <w:szCs w:val="17"/>
          <w:b w:val="1"/>
          <w:bCs w:val="1"/>
          <w:color w:val="auto"/>
        </w:rPr>
        <w:t xml:space="preserve">: </w:t>
      </w:r>
      <w:r>
        <w:rPr>
          <w:rFonts w:ascii="Arial" w:cs="Arial" w:eastAsia="Arial" w:hAnsi="Arial"/>
          <w:sz w:val="17"/>
          <w:szCs w:val="17"/>
          <w:color w:val="auto"/>
        </w:rPr>
        <w:t>We prioritize security throughout our</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operations and 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39"/>
        <w:spacing w:after="0" w:line="276" w:lineRule="auto"/>
        <w:rPr>
          <w:sz w:val="20"/>
          <w:szCs w:val="20"/>
          <w:color w:val="auto"/>
        </w:rPr>
      </w:pPr>
      <w:r>
        <w:rPr>
          <w:rFonts w:ascii="Arial" w:cs="Arial" w:eastAsia="Arial" w:hAnsi="Arial"/>
          <w:sz w:val="17"/>
          <w:szCs w:val="17"/>
          <w:color w:val="auto"/>
        </w:rPr>
        <w:t>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left="1260" w:right="1159" w:firstLine="360"/>
        <w:spacing w:after="0" w:line="264"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73"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85"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In addition, we own, or have filed applications for, the rights to trade names, trademarks, copyrights, domain names and service marks that we use in the marketing of products and services to clients. We have registered for trademarks in many of our markets, including our major markets, with registrations pending in others. Trademarks registered include, but are not limited to, “Tradeweb,” “Dealerweb,” and “Tradeweb Direct.”</w:t>
      </w:r>
    </w:p>
    <w:p>
      <w:pPr>
        <w:spacing w:after="0" w:line="46"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Many aspects of our business are subject to regulation in a number of jurisdictions, including the United States, the United Kingdom, the Netherlands, Japan, Hong Kong and Singapore.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71"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8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in certain markets. While we generally believe the net impact of the laws, rules and regulations may be positive for our business, it is possible that unintended consequences may materially adversely affect us in ways yet to be determined. See “Risk Factors — Risks Relating to Our Business and Industry — Our business, and the businesses of many of our clients, could be materially adversely affected by new laws, rules or regulations or changes in existing laws, rules or regulations, including the interpretation and enforcement thereof.”</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Regulation</w:t>
      </w:r>
    </w:p>
    <w:p>
      <w:pPr>
        <w:spacing w:after="0" w:line="104"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59"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8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NFA, a self-regulatory organization that regulates certain CFTC registrants.</w:t>
      </w:r>
    </w:p>
    <w:p>
      <w:pPr>
        <w:spacing w:after="0" w:line="74"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Following the 2008 financial crisis, legislators and regulators in the United States adopted new laws and regulations, including the Dodd-Frank Act. Various rules and regulations promulgated following the financial crisis, such as the Volcker Rule and additional bank capital and liquidity requirements, could adversely affect our bank and bank-affiliated dealer clients’ ability to make markets in a variety of products, thereby negatively impacting the level of liquidity and pricing available on our platforms.</w:t>
      </w:r>
    </w:p>
    <w:p>
      <w:pPr>
        <w:spacing w:after="0" w:line="64" w:lineRule="exact"/>
        <w:rPr>
          <w:sz w:val="20"/>
          <w:szCs w:val="20"/>
          <w:color w:val="auto"/>
        </w:rPr>
      </w:pPr>
    </w:p>
    <w:p>
      <w:pPr>
        <w:jc w:val="both"/>
        <w:ind w:left="1260" w:right="959" w:firstLine="360"/>
        <w:spacing w:after="0" w:line="286" w:lineRule="auto"/>
        <w:rPr>
          <w:sz w:val="20"/>
          <w:szCs w:val="20"/>
          <w:color w:val="auto"/>
        </w:rPr>
      </w:pPr>
      <w:r>
        <w:rPr>
          <w:rFonts w:ascii="Arial" w:cs="Arial" w:eastAsia="Arial" w:hAnsi="Arial"/>
          <w:sz w:val="17"/>
          <w:szCs w:val="17"/>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regulations in this area, most of which are in effect. The SEC has also finalized many of its security-based swap regulations, although a significant number are not yet in effect.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As these rules require SEFs to maintain robust front-end and back-office IT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but not yet finalized its rules relating to the registration and regulation of security-based swap execution facilities (“SBSEFs”). If and when the SEC finalizes these rules, we expect that certain of our subsidiaries may be required to register as SBSEFs.</w:t>
      </w:r>
    </w:p>
    <w:p>
      <w:pPr>
        <w:spacing w:after="0" w:line="61"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current administration under President Trump and the Republican Party have sought, and already passed legislation, to roll-back key pieces of the Dodd-Frank Act in an effort to loosen certain regulatory restrictions on financial institutions. Although the current administration has indicated a goal of further reforming aspects of its existing financial services regulations,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 and we continue to expect the industry to be more heavily regulated than it was prior to the 2008 financial crisis.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0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Outside of the United States, we are currently regulated by: the FCA in the United Kingdom, the DNB and the AFM in the Netherlands, the Japan Financial Services Agency (the “JFSA”), the Japan Securities Dealers Association (the “JSDA”), the Securities &amp; Futures Commission (the “SFC”) of Hong Kong, the Monetary Authority of Singapore (the “MAS”), the Investment Industry Regulatory Organization of Canada and provincial regulators in Canada. We currently have an exemption from the Australian Securities and Investment Commission in Australia (the “ASIC”).</w:t>
      </w:r>
    </w:p>
    <w:p>
      <w:pPr>
        <w:spacing w:after="0" w:line="85"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FCA’s strategic objective is to ensure that the relevant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of FSMA, individuals or companies that seek to acquire or increase their control in a firm that the FCA regulates is required to obtain prior approval from the FCA.</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legal framework in the Netherlands for financial undertakings is predominantly included in the Dutch Financial Supervision Act (</w:t>
      </w:r>
      <w:r>
        <w:rPr>
          <w:rFonts w:ascii="Arial" w:cs="Arial" w:eastAsia="Arial" w:hAnsi="Arial"/>
          <w:sz w:val="17"/>
          <w:szCs w:val="17"/>
          <w:i w:val="1"/>
          <w:iCs w:val="1"/>
          <w:color w:val="auto"/>
        </w:rPr>
        <w:t>Wet op het financieel toezicht</w:t>
      </w:r>
      <w:r>
        <w:rPr>
          <w:rFonts w:ascii="Arial" w:cs="Arial" w:eastAsia="Arial" w:hAnsi="Arial"/>
          <w:sz w:val="17"/>
          <w:szCs w:val="17"/>
          <w:color w:val="auto"/>
        </w:rPr>
        <w:t xml:space="preserve"> or “FSA”). The AFM, like DNB, is an autonomous administrative authority with independent responsibility for fulfilling its supervisory function. Pursuant to section 2:96 of the FSA, the AFM authorizes investment firms. The AFM is legally responsible for business supervision.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DNB and the AFM co-operate under the provisions of the FSA and have concluded a covenant on the co-operation and co-ordination of supervision and other related tasks.</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Much of our derivatives volumes continue to be executed by non-U.S. based clients outside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United States and is subject to local regulations. In particular, the European Union has recently enhanced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existing laws and developed new rules and regulations targeted at the financial services industry, including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MiFID II and MiFIR, which were implemented in January 2018 and which introduced significant changes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 financial markets designed to facilitate more efficient markets and greater transparency for participants.</w:t>
      </w:r>
    </w:p>
    <w:p>
      <w:pPr>
        <w:spacing w:after="0" w:line="114" w:lineRule="exact"/>
        <w:rPr>
          <w:sz w:val="20"/>
          <w:szCs w:val="20"/>
          <w:color w:val="auto"/>
        </w:rPr>
      </w:pPr>
    </w:p>
    <w:p>
      <w:pPr>
        <w:jc w:val="both"/>
        <w:ind w:left="1260" w:right="819" w:firstLine="360"/>
        <w:spacing w:after="0" w:line="291" w:lineRule="auto"/>
        <w:rPr>
          <w:sz w:val="20"/>
          <w:szCs w:val="20"/>
          <w:color w:val="auto"/>
        </w:rPr>
      </w:pPr>
      <w:r>
        <w:rPr>
          <w:rFonts w:ascii="Arial" w:cs="Arial" w:eastAsia="Arial" w:hAnsi="Arial"/>
          <w:sz w:val="16"/>
          <w:szCs w:val="16"/>
          <w:color w:val="auto"/>
        </w:rPr>
        <w:t>Among the other aspects of the regulations, MiFID II and MiFIR: (i) require a significant part of the market in certain derivative instruments to trade on regulated trading venues which are subject to transparency regimes,</w:t>
      </w:r>
    </w:p>
    <w:p>
      <w:pPr>
        <w:ind w:left="5240" w:right="3159" w:hanging="3972"/>
        <w:spacing w:after="0" w:line="589" w:lineRule="auto"/>
        <w:tabs>
          <w:tab w:leader="none" w:pos="153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enhance pre- and post-trade transparency for instruments within the scope of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83450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88" w:lineRule="auto"/>
        <w:rPr>
          <w:sz w:val="20"/>
          <w:szCs w:val="20"/>
          <w:color w:val="auto"/>
        </w:rPr>
      </w:pPr>
      <w:r>
        <w:rPr>
          <w:rFonts w:ascii="Arial" w:cs="Arial" w:eastAsia="Arial" w:hAnsi="Arial"/>
          <w:sz w:val="16"/>
          <w:szCs w:val="16"/>
          <w:color w:val="auto"/>
        </w:rPr>
        <w:t>the requirements which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w:t>
      </w:r>
    </w:p>
    <w:p>
      <w:pPr>
        <w:ind w:left="1260" w:right="819" w:firstLine="8"/>
        <w:spacing w:after="0" w:line="252" w:lineRule="auto"/>
        <w:tabs>
          <w:tab w:leader="none" w:pos="15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for the establishment a consolidated tape for certain trade data, (vi) improve technology synchronization and best execution and (vii) 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to MiFID. In addition, the new regulated execution venue category introduced by MiFID II known as the Organized Trading Facility (“OTF”) (in addition to the venue category of Multilateral Trading Facility (“MTF”) for electronic trading) is intended to capture much of the voices and hybrid oriented trading within the EU.</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currently “passport” our UK authorized subsidiary’s FCA regulatory permissions throughout the European Economic Area (“EEA”) and as such this was, until recently, our sole MiFID investment firm with such permissions operating in Europe. In March 2017, following the United Kingdom’s vote to leave the EU, the U.K. Prime Minister gave the European Council of the EU formal written notification of the United Kingdom’s intention to leave the EU, triggering the withdrawal process under Article 50 of the Lisbon Treaty. The effects of Brexit will depend on any agreements the United Kingdom makes to retain access to EU markets, including for financial services, either during a transitional period or more permanently. Negotiations to determine the future terms of the United Kingdom’s relationship with the EU, including the terms of access to EU financial markets, are continuing. We are making all reasonable preparations to ensure, in any scenario, that services can continue to be provided in the UK and throughout the EEA, post-Brexit. Accordingly, we have established a new legal entity in the Netherlands, Tradeweb EU B.V., and will offer services from a new Amsterdam office. We received approval in early 2019 from Dutch regulatory authorities to operate an MTF, an OTF and an APA, essentially replicating our current UK regulatory permissions. As a result of this approval, we now operate two MTFs, two OTFs and two APAs in Europe, increasing the complexity of the business.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04"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Certain of our subsidiaries are subject to jurisdictional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Status of Tradeweb Entities</w:t>
      </w:r>
    </w:p>
    <w:p>
      <w:pPr>
        <w:spacing w:after="0" w:line="104" w:lineRule="exact"/>
        <w:rPr>
          <w:sz w:val="20"/>
          <w:szCs w:val="20"/>
          <w:color w:val="auto"/>
        </w:rPr>
      </w:pPr>
    </w:p>
    <w:p>
      <w:pPr>
        <w:ind w:left="1260" w:right="939" w:firstLine="360"/>
        <w:spacing w:after="0" w:line="342" w:lineRule="auto"/>
        <w:rPr>
          <w:sz w:val="20"/>
          <w:szCs w:val="20"/>
          <w:color w:val="auto"/>
        </w:rPr>
      </w:pPr>
      <w:r>
        <w:rPr>
          <w:rFonts w:ascii="Arial" w:cs="Arial" w:eastAsia="Arial" w:hAnsi="Arial"/>
          <w:sz w:val="16"/>
          <w:szCs w:val="16"/>
          <w:color w:val="auto"/>
        </w:rPr>
        <w:t>Our operations span jurisdictions across North America, Europe and Asia, and we operate through various regulated entities. The current regulatory status of many of our business entities is described below.</w:t>
      </w:r>
    </w:p>
    <w:p>
      <w:pPr>
        <w:spacing w:after="0" w:line="16" w:lineRule="exact"/>
        <w:rPr>
          <w:sz w:val="20"/>
          <w:szCs w:val="20"/>
          <w:color w:val="auto"/>
        </w:rPr>
      </w:pPr>
    </w:p>
    <w:p>
      <w:pPr>
        <w:ind w:left="1260" w:right="999" w:firstLine="360"/>
        <w:spacing w:after="0" w:line="259" w:lineRule="auto"/>
        <w:rPr>
          <w:sz w:val="20"/>
          <w:szCs w:val="20"/>
          <w:color w:val="auto"/>
        </w:rPr>
      </w:pPr>
      <w:r>
        <w:rPr>
          <w:rFonts w:ascii="Arial" w:cs="Arial" w:eastAsia="Arial" w:hAnsi="Arial"/>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79"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formally exempt from registration by the ASIC with a pending application with ASIC for an Overseas Australian Market Operator License.</w:t>
      </w:r>
    </w:p>
    <w:p>
      <w:pPr>
        <w:spacing w:after="0" w:line="79"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Dealerweb Inc. is an SEC-registered broker-dealer, operates an ATS and is a member of FINRA and MSRB. Dealerweb Inc. is also a CFTC-registered introducing broker and a member of NFA. Dealerweb Inc. is recognized as a foreign trading venue in Switzerland.</w:t>
      </w:r>
    </w:p>
    <w:p>
      <w:pPr>
        <w:spacing w:after="0" w:line="73" w:lineRule="exact"/>
        <w:rPr>
          <w:sz w:val="20"/>
          <w:szCs w:val="20"/>
          <w:color w:val="auto"/>
        </w:rPr>
      </w:pPr>
    </w:p>
    <w:p>
      <w:pPr>
        <w:ind w:left="1260" w:right="1419" w:firstLine="360"/>
        <w:spacing w:after="0" w:line="308" w:lineRule="auto"/>
        <w:rPr>
          <w:sz w:val="20"/>
          <w:szCs w:val="20"/>
          <w:color w:val="auto"/>
        </w:rPr>
      </w:pPr>
      <w:r>
        <w:rPr>
          <w:rFonts w:ascii="Arial" w:cs="Arial" w:eastAsia="Arial" w:hAnsi="Arial"/>
          <w:sz w:val="17"/>
          <w:szCs w:val="17"/>
          <w:color w:val="auto"/>
        </w:rPr>
        <w:t>DW SEF LLC is a CFTC-registered SEF. DW SEF LLC is formally exempt from registration in the Canadian province of Ontario and is recognized as a foreign trading venue in Switzerland.</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79" w:firstLine="360"/>
        <w:spacing w:after="0" w:line="264" w:lineRule="auto"/>
        <w:rPr>
          <w:sz w:val="20"/>
          <w:szCs w:val="20"/>
          <w:color w:val="auto"/>
        </w:rPr>
      </w:pPr>
      <w:r>
        <w:rPr>
          <w:rFonts w:ascii="Arial" w:cs="Arial" w:eastAsia="Arial" w:hAnsi="Arial"/>
          <w:sz w:val="18"/>
          <w:szCs w:val="18"/>
          <w:color w:val="auto"/>
        </w:rPr>
        <w:t>Tradeweb Direct LLC is an SEC-registered broker-dealer, operates an ATS and is a member of FINRA and MSRB. Tradeweb Direct LLC relies on the international dealer exemption in the Canadian provinces of Ontario and Quebec.</w:t>
      </w:r>
    </w:p>
    <w:p>
      <w:pPr>
        <w:spacing w:after="0" w:line="73" w:lineRule="exact"/>
        <w:rPr>
          <w:sz w:val="20"/>
          <w:szCs w:val="20"/>
          <w:color w:val="auto"/>
        </w:rPr>
      </w:pPr>
    </w:p>
    <w:p>
      <w:pPr>
        <w:ind w:left="1260" w:right="739" w:firstLine="360"/>
        <w:spacing w:after="0" w:line="302" w:lineRule="auto"/>
        <w:rPr>
          <w:sz w:val="20"/>
          <w:szCs w:val="20"/>
          <w:color w:val="auto"/>
        </w:rPr>
      </w:pPr>
      <w:r>
        <w:rPr>
          <w:rFonts w:ascii="Arial" w:cs="Arial" w:eastAsia="Arial" w:hAnsi="Arial"/>
          <w:sz w:val="16"/>
          <w:szCs w:val="16"/>
          <w:color w:val="auto"/>
        </w:rPr>
        <w:t>Tradeweb Europe Limited is authorized and regulated in the United Kingdom by the FCA as a MiFID Investment Firm. It has permissions to operate an MTF, an OTF and an APA. Tradeweb Europe Limited passports its permissions under MiFID and accordingly provides services throughout the EEA. In addition, Tradeweb Europe Limited is also registered with the CFTC as an introducing broker and is a member of NFA.</w:t>
      </w:r>
    </w:p>
    <w:p>
      <w:pPr>
        <w:spacing w:after="0" w:line="46"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62"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Hong Kong branch of Tradeweb Europe Limited is regulated by the SFC as an Automated Trading Service.</w:t>
      </w:r>
    </w:p>
    <w:p>
      <w:pPr>
        <w:spacing w:after="0" w:line="62" w:lineRule="exact"/>
        <w:rPr>
          <w:sz w:val="20"/>
          <w:szCs w:val="20"/>
          <w:color w:val="auto"/>
        </w:rPr>
      </w:pPr>
    </w:p>
    <w:p>
      <w:pPr>
        <w:jc w:val="both"/>
        <w:ind w:left="1260" w:right="1059" w:firstLine="360"/>
        <w:spacing w:after="0" w:line="264" w:lineRule="auto"/>
        <w:rPr>
          <w:sz w:val="20"/>
          <w:szCs w:val="20"/>
          <w:color w:val="auto"/>
        </w:rPr>
      </w:pPr>
      <w:r>
        <w:rPr>
          <w:rFonts w:ascii="Arial" w:cs="Arial" w:eastAsia="Arial" w:hAnsi="Arial"/>
          <w:sz w:val="18"/>
          <w:szCs w:val="18"/>
          <w:color w:val="auto"/>
        </w:rPr>
        <w:t>The Australia branch of Tradeweb Europe Limited is currently exempt from registration with ASIC, but, following amendments to the Australian Corporations Act, an application for an Overseas Australian Market Operator License is pending with ASIC.</w:t>
      </w:r>
    </w:p>
    <w:p>
      <w:pPr>
        <w:spacing w:after="0" w:line="73"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w:t>
      </w:r>
    </w:p>
    <w:p>
      <w:pPr>
        <w:spacing w:after="0" w:line="79"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70" w:lineRule="exact"/>
        <w:rPr>
          <w:sz w:val="20"/>
          <w:szCs w:val="20"/>
          <w:color w:val="auto"/>
        </w:rPr>
      </w:pPr>
    </w:p>
    <w:p>
      <w:pPr>
        <w:ind w:left="1260" w:right="959" w:firstLine="360"/>
        <w:spacing w:after="0" w:line="264" w:lineRule="auto"/>
        <w:rPr>
          <w:sz w:val="20"/>
          <w:szCs w:val="20"/>
          <w:color w:val="auto"/>
        </w:rPr>
      </w:pPr>
      <w:r>
        <w:rPr>
          <w:rFonts w:ascii="Arial" w:cs="Arial" w:eastAsia="Arial" w:hAnsi="Arial"/>
          <w:sz w:val="18"/>
          <w:szCs w:val="18"/>
          <w:color w:val="auto"/>
        </w:rPr>
        <w:t>Tradeweb EU B.V. is authorized and regulated by the DNB and AFM as a MiFID Investment Firm with permissions to operate an MTF and an OTF. Tradeweb EU B.V. will passport its permissions under MiFID and accordingly will provide services throughout the EU and the EEA.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As of December 31, 2018, we had 919 employees, 681 of whom were based in the United States and 238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Our corporate headquarters is located in New York, New York. As of December 31, 2018, our principal offices consisted of the following properties: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Square feet</w:t>
            </w: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Lease expiration date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Use</w:t>
            </w:r>
          </w:p>
        </w:tc>
      </w:tr>
      <w:tr>
        <w:trPr>
          <w:trHeight w:val="26"/>
        </w:trPr>
        <w:tc>
          <w:tcPr>
            <w:tcW w:w="3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41,062</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5/31/2021</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Jersey City, New Jersey</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65,242</w:t>
            </w:r>
          </w:p>
        </w:tc>
        <w:tc>
          <w:tcPr>
            <w:tcW w:w="220" w:type="dxa"/>
            <w:vAlign w:val="bottom"/>
          </w:tcPr>
          <w:p>
            <w:pPr>
              <w:spacing w:after="0"/>
              <w:rPr>
                <w:sz w:val="22"/>
                <w:szCs w:val="22"/>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12/31/2027</w:t>
            </w:r>
          </w:p>
        </w:tc>
        <w:tc>
          <w:tcPr>
            <w:tcW w:w="2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Office Space</w:t>
            </w: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United Kingdom</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16,259</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9/30/2024</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-496570</wp:posOffset>
            </wp:positionV>
            <wp:extent cx="13716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-496570</wp:posOffset>
            </wp:positionV>
            <wp:extent cx="13716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-496570</wp:posOffset>
            </wp:positionV>
            <wp:extent cx="1371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also lease offices in Los Angeles, California, Boca Raton, Florida and Garden City, New York. Through a shared services agreement with Refinitiv, we lease offices in Boston, Massachusetts and Chicago, Illinois and, outside the United States, in Amsterdam, Tokyo, Hong Kong, Shanghai and Singapore.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infrastructure operates out of third-party data centers in Secaucus, New Jersey, Weehawken,</w:t>
      </w:r>
    </w:p>
    <w:p>
      <w:pPr>
        <w:spacing w:after="0" w:line="23" w:lineRule="exact"/>
        <w:rPr>
          <w:sz w:val="20"/>
          <w:szCs w:val="20"/>
          <w:color w:val="auto"/>
        </w:rPr>
      </w:pPr>
    </w:p>
    <w:p>
      <w:pPr>
        <w:ind w:left="1260" w:right="919"/>
        <w:spacing w:after="0" w:line="290" w:lineRule="auto"/>
        <w:rPr>
          <w:sz w:val="20"/>
          <w:szCs w:val="20"/>
          <w:color w:val="auto"/>
        </w:rPr>
      </w:pPr>
      <w:r>
        <w:rPr>
          <w:rFonts w:ascii="Arial" w:cs="Arial" w:eastAsia="Arial" w:hAnsi="Arial"/>
          <w:sz w:val="17"/>
          <w:szCs w:val="17"/>
          <w:color w:val="auto"/>
        </w:rPr>
        <w:t>New Jersey, Piscataway, New Jersey, Chicago, Illinois and Elk Grove, Illinois and, outside the United States, in Hounslow, United Kingdom, Slough, United Kingdom, Saitama, Japan and Tokyo, Japan.</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and other factors.</w:t>
      </w:r>
    </w:p>
    <w:p>
      <w:pPr>
        <w:spacing w:after="0" w:line="72"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IDC Matter</w:t>
      </w:r>
    </w:p>
    <w:p>
      <w:pPr>
        <w:spacing w:after="0" w:line="10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7"/>
          <w:szCs w:val="17"/>
          <w:i w:val="1"/>
          <w:iCs w:val="1"/>
          <w:color w:val="auto"/>
        </w:rPr>
        <w:t>IDC Financial Publishing Inc. v. BondDesk</w:t>
      </w:r>
      <w:r>
        <w:rPr>
          <w:rFonts w:ascii="Arial" w:cs="Arial" w:eastAsia="Arial" w:hAnsi="Arial"/>
          <w:sz w:val="17"/>
          <w:szCs w:val="17"/>
          <w:color w:val="auto"/>
        </w:rPr>
        <w:t xml:space="preserve"> </w:t>
      </w:r>
      <w:r>
        <w:rPr>
          <w:rFonts w:ascii="Arial" w:cs="Arial" w:eastAsia="Arial" w:hAnsi="Arial"/>
          <w:sz w:val="17"/>
          <w:szCs w:val="17"/>
          <w:i w:val="1"/>
          <w:iCs w:val="1"/>
          <w:color w:val="auto"/>
        </w:rPr>
        <w:t>Group LLC, et al.</w:t>
      </w:r>
      <w:r>
        <w:rPr>
          <w:rFonts w:ascii="Arial" w:cs="Arial" w:eastAsia="Arial" w:hAnsi="Arial"/>
          <w:sz w:val="17"/>
          <w:szCs w:val="17"/>
          <w:color w:val="auto"/>
        </w:rPr>
        <w:t>, Case No. 2:15-cv-01085-PP, relating to the distribution of IDC’s financial strength ratings over</w:t>
      </w:r>
      <w:r>
        <w:rPr>
          <w:rFonts w:ascii="Arial" w:cs="Arial" w:eastAsia="Arial" w:hAnsi="Arial"/>
          <w:sz w:val="17"/>
          <w:szCs w:val="17"/>
          <w:i w:val="1"/>
          <w:iCs w:val="1"/>
          <w:color w:val="auto"/>
        </w:rPr>
        <w:t xml:space="preserve"> </w:t>
      </w:r>
      <w:r>
        <w:rPr>
          <w:rFonts w:ascii="Arial" w:cs="Arial" w:eastAsia="Arial" w:hAnsi="Arial"/>
          <w:sz w:val="17"/>
          <w:szCs w:val="17"/>
          <w:color w:val="auto"/>
        </w:rPr>
        <w:t>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 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 The Tradeweb Parties and Fidelity have moved for summary judgment dismissing IDC’s claims and rejecting its damage theory as speculative and contrary to the evidence, and IDC has sought partial summary judgment dismissing several of the Tradeweb Parties’ and Fidelity’s affirmative defenses. Those motions remain pending. The case is scheduled for trial in July 2019. We intend to continue to vigorously defend what we believe to be meritless and excessive claims.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Treasuries Matter</w:t>
      </w:r>
    </w:p>
    <w:p>
      <w:pPr>
        <w:spacing w:after="0" w:line="104"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Treasuries Securities Auction Antitrust Litigation</w:t>
      </w:r>
      <w:r>
        <w:rPr>
          <w:rFonts w:ascii="Arial" w:cs="Arial" w:eastAsia="Arial" w:hAnsi="Arial"/>
          <w:sz w:val="17"/>
          <w:szCs w:val="17"/>
          <w:color w:val="auto"/>
        </w:rPr>
        <w:t>, No. 1:15-md-2673 (S.D.N.Y.) (PGG). In November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97" w:lineRule="auto"/>
        <w:rPr>
          <w:sz w:val="20"/>
          <w:szCs w:val="20"/>
          <w:color w:val="auto"/>
        </w:rPr>
      </w:pPr>
      <w:r>
        <w:rPr>
          <w:rFonts w:ascii="Arial" w:cs="Arial" w:eastAsia="Arial" w:hAnsi="Arial"/>
          <w:sz w:val="16"/>
          <w:szCs w:val="16"/>
          <w:color w:val="auto"/>
        </w:rPr>
        <w:t>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5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85" w:lineRule="exact"/>
        <w:rPr>
          <w:sz w:val="20"/>
          <w:szCs w:val="20"/>
          <w:color w:val="auto"/>
        </w:rPr>
      </w:pPr>
    </w:p>
    <w:p>
      <w:pPr>
        <w:ind w:left="1260" w:right="999" w:firstLine="360"/>
        <w:spacing w:after="0" w:line="286" w:lineRule="auto"/>
        <w:rPr>
          <w:sz w:val="20"/>
          <w:szCs w:val="20"/>
          <w:color w:val="auto"/>
        </w:rPr>
      </w:pPr>
      <w:r>
        <w:rPr>
          <w:rFonts w:ascii="Arial" w:cs="Arial" w:eastAsia="Arial" w:hAnsi="Arial"/>
          <w:sz w:val="17"/>
          <w:szCs w:val="17"/>
          <w:color w:val="auto"/>
        </w:rPr>
        <w:t>Defendants filed motions to dismiss in February 2018, including a separate motion to dismiss filed by the Tradeweb Parties. The motions to dismiss are pending. We believe that we have meritorious defenses to the claims set forth in the complaint and intend to continue to vigorously defend our position.</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Swaps Matter</w:t>
      </w:r>
    </w:p>
    <w:p>
      <w:pPr>
        <w:spacing w:after="0" w:line="10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6"/>
          <w:szCs w:val="16"/>
          <w:i w:val="1"/>
          <w:iCs w:val="1"/>
          <w:color w:val="auto"/>
        </w:rPr>
        <w:t>Public School Teachers’</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and Retirement Fund of Chicago v. Bank of America Corporation, Case No. 15-cv-09219 (S.D.N.Y.)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plaintiffs, including Tera Group Inc. and Javelin Capital Markets LLC, filed lawsuits and, ultimately, the cases were consolidated under the caption </w:t>
      </w:r>
      <w:r>
        <w:rPr>
          <w:rFonts w:ascii="Arial" w:cs="Arial" w:eastAsia="Arial" w:hAnsi="Arial"/>
          <w:sz w:val="16"/>
          <w:szCs w:val="16"/>
          <w:i w:val="1"/>
          <w:iCs w:val="1"/>
          <w:color w:val="auto"/>
        </w:rPr>
        <w:t>In re Interest Rate Swaps Antitrust Litigation, No. 1:16-md-2704</w:t>
      </w:r>
      <w:r>
        <w:rPr>
          <w:rFonts w:ascii="Arial" w:cs="Arial" w:eastAsia="Arial" w:hAnsi="Arial"/>
          <w:sz w:val="16"/>
          <w:szCs w:val="16"/>
          <w:color w:val="auto"/>
        </w:rPr>
        <w:t>.</w:t>
      </w:r>
    </w:p>
    <w:p>
      <w:pPr>
        <w:spacing w:after="0" w:line="59"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80" w:lineRule="exact"/>
        <w:rPr>
          <w:sz w:val="20"/>
          <w:szCs w:val="20"/>
          <w:color w:val="auto"/>
        </w:rPr>
      </w:pPr>
    </w:p>
    <w:p>
      <w:pPr>
        <w:ind w:left="1260" w:right="739" w:firstLine="360"/>
        <w:spacing w:after="0" w:line="288" w:lineRule="auto"/>
        <w:rPr>
          <w:sz w:val="20"/>
          <w:szCs w:val="20"/>
          <w:color w:val="auto"/>
        </w:rPr>
      </w:pPr>
      <w:r>
        <w:rPr>
          <w:rFonts w:ascii="Arial" w:cs="Arial" w:eastAsia="Arial" w:hAnsi="Arial"/>
          <w:sz w:val="16"/>
          <w:szCs w:val="16"/>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is actively engaged in third-party discovery and has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81" w:lineRule="exact"/>
        <w:rPr>
          <w:sz w:val="20"/>
          <w:szCs w:val="20"/>
          <w:color w:val="auto"/>
        </w:rPr>
      </w:pPr>
    </w:p>
    <w:p>
      <w:pPr>
        <w:ind w:left="1260" w:right="819" w:firstLine="360"/>
        <w:spacing w:after="0" w:line="288" w:lineRule="auto"/>
        <w:rPr>
          <w:sz w:val="20"/>
          <w:szCs w:val="20"/>
          <w:color w:val="auto"/>
        </w:rPr>
      </w:pPr>
      <w:r>
        <w:rPr>
          <w:rFonts w:ascii="Arial" w:cs="Arial" w:eastAsia="Arial" w:hAnsi="Arial"/>
          <w:sz w:val="16"/>
          <w:szCs w:val="16"/>
          <w:color w:val="auto"/>
        </w:rPr>
        <w:t>The following table sets forth information about our executive officers and directors, including their ages as of March 22, 2019. With respect to our directors, each biography contains information regarding the person’s service as a director, business experience, director positions held currently or at any time during the past</w:t>
      </w:r>
    </w:p>
    <w:p>
      <w:pPr>
        <w:jc w:val="both"/>
        <w:ind w:left="1260" w:right="799"/>
        <w:spacing w:after="0" w:line="255" w:lineRule="auto"/>
        <w:rPr>
          <w:sz w:val="20"/>
          <w:szCs w:val="20"/>
          <w:color w:val="auto"/>
        </w:rPr>
      </w:pPr>
      <w:r>
        <w:rPr>
          <w:rFonts w:ascii="Arial" w:cs="Arial" w:eastAsia="Arial" w:hAnsi="Arial"/>
          <w:sz w:val="18"/>
          <w:szCs w:val="18"/>
          <w:color w:val="auto"/>
        </w:rPr>
        <w:t>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860" w:type="dxa"/>
            <w:vAlign w:val="bottom"/>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Lee Olesky</w:t>
            </w:r>
          </w:p>
        </w:tc>
        <w:tc>
          <w:tcPr>
            <w:tcW w:w="22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6"/>
                <w:szCs w:val="16"/>
                <w:color w:val="auto"/>
              </w:rPr>
            </w:pPr>
          </w:p>
        </w:tc>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William (“Billy”) Hult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Enrico Bruni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Head of Europe and Asia Business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Global Head of Corporate Development</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James (“Jay”) Spencer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Robert Warshaw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Martin Brand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 Chairman of the Board of Directors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John Finley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Scott Ganeles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Paula Madoff</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Thomas Pluta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Debra Walton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Brian West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63"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Mr. Olesky is our co-founder and has served as Tradeweb’s Chief Executive Officer and on the board of directors since its formation. Mr. Olesky has been the Chief Executive Officer since September 2008 and on the board of directors of TWM LLC since January 2008. After being our founding Chairman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7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Mr. Hult has served as Tradeweb’s President since its formation and has served on its board of directors since March 2019. Mr. Hult has served as the President and on the board of directors of TWM LLC since September 2008. Mr. Hult joined Tradeweb in July 2000 as a product manager and oversaw the creation of 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 Mr. Hult was selected to serve on our board of directors because of the perspective, management, industry experience and operational expertise in our business that he has developed as our President.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63" w:lineRule="exact"/>
        <w:rPr>
          <w:sz w:val="20"/>
          <w:szCs w:val="20"/>
          <w:color w:val="auto"/>
        </w:rPr>
      </w:pPr>
    </w:p>
    <w:p>
      <w:pPr>
        <w:ind w:left="1260" w:right="1399" w:firstLine="360"/>
        <w:spacing w:after="0" w:line="342" w:lineRule="auto"/>
        <w:rPr>
          <w:sz w:val="20"/>
          <w:szCs w:val="20"/>
          <w:color w:val="auto"/>
        </w:rPr>
      </w:pPr>
      <w:r>
        <w:rPr>
          <w:rFonts w:ascii="Arial" w:cs="Arial" w:eastAsia="Arial" w:hAnsi="Arial"/>
          <w:sz w:val="16"/>
          <w:szCs w:val="16"/>
          <w:color w:val="auto"/>
        </w:rPr>
        <w:t>Mr. Bruni has served as Managing Director, Head of Europe and Asia Business of TWM LLC since February 2013 and, following the completion of the Reorganization Transactions, will serve in the same</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99"/>
        <w:spacing w:after="0" w:line="257" w:lineRule="auto"/>
        <w:rPr>
          <w:sz w:val="20"/>
          <w:szCs w:val="20"/>
          <w:color w:val="auto"/>
        </w:rPr>
      </w:pPr>
      <w:r>
        <w:rPr>
          <w:rFonts w:ascii="Arial" w:cs="Arial" w:eastAsia="Arial" w:hAnsi="Arial"/>
          <w:sz w:val="18"/>
          <w:szCs w:val="18"/>
          <w:color w:val="auto"/>
        </w:rPr>
        <w:t>position at Tradeweb.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10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Mr. Maisey has served as Managing Director, Global Head of Corporate Development of TWM LLC since May 2016 and, following the completion of the Reorganization Transactions, will serve in the same position at Tradeweb.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Jay Spencer</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Mr. Spencer has served as Chief Technology Officer of TWM LLC since February 2008 and, following completion of the Reorganization Transactions, will serve in the same position at Tradeweb. Prior to joining Tradeweb, from 2003 to 2007, Mr. Spencer was Global Chief Information Officer for ICAP and a member of its Global Executive Management team. Previously, Mr. Spencer was the founding Chief Technology Officer of BrokerTec, a position he held from 1999 to 2003, where he worked closely with Mr. Olesky in establishing the business. His extensive electronic trading experience also includes senior product and executive positions at EJV Partners and Fidelity. He received a B.A from the University of North Carolina at Chapel Hill and an M.B.A. from Wake Forest University.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104"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Mr. Zucker has served as Tradeweb’s Chief Administrative Officer since its formation and as the Chief Administrative Officer of TWM LLC since November 2009 and, following the completion of the Reorganization Transactions, will serve in the same position at Tradeweb. He joined the company in 2002 as General Counsel. Prior to joining Tradeweb, from 1999 to 2002, Mr. Zucker worked in the Corporate Department of Willkie Farr &amp; Gallagher LLP, an international law firm, providing legal, regulatory and</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securities law support exclusively to Bloomberg LP. He also worked in the Corporate Department of Robinson, Silverman, Pearce, Aronsohn and Berman LLP (now Bryan Cave Leighton Paisner LLP) from 1996 to 1999, where he specialized in general corporate and securities matters. He received a B.A. from Tufts University and a J.D. from Hofstra University School of Law.</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Martin Brand</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Mr. Brand has served as Chairman of Tradeweb’s board of directors since March 2019. Mr. Brand is a Senior Managing Director in the Private Equity Group at Blackstone and has held various positions at Blackstone since 2003. Mr. Brand leads the private equity investments in financial institutions, and co-leads private equity investments in technology. In addition, he is a member of the Investment Committee of Blackstone’s Tactical Opportunities funds. Mr. Brand also serves as a director of Kronos, Inc., Exeter Finance Corporation, Paysafe Group Ltd, Refinitiv and First Eagle Investment Management. Mr. Brand serves on the board of directors of the Park Avenue Armory. He is a Trustee of the American Academy, Berlin. Prior to joining Blackstone, he served as a consultant with McKinsey &amp; Company and a derivatives trader with Goldman, Sachs &amp; Co. Mr. Brand received a B.A./M.A. in Mathematics and Computation from Oxford University and an M.B.A. from the Harvard Business School. Mr. Brand was selected to serve on our board of directors because of his significant experience leading private equity investments in financial institutions and extensive board experience.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John Finley</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Mr. Finley has served on Tradeweb’s board of directors since March 2019. Mr. Finley is a Senior Managing Director and Chief Legal Officer of Blackstone and a member of Blackstone's Management Committee. Before joining Blackstone in 2010, Mr. Finley had been a partner with Simpson Thacher &amp; Bartlett for 22 years where he was a member of that law firm’s Executive Committee and Co-Head of Global Mergers &amp; Acquisitions. Mr. Finley is a member of the Advisory Board of the Harvard Law School Program on Corporate Governance, the National Advisory Board of the Netter Center for Community Partnerships of the University of Pennsylvania and the Board of Advisors of the University of Pennsylvania Institute of Law and Economics. He is also a guest lecturer at Harvard Law School. He has served on the Committee of Securities Regulation of the New York State Bar Association and the Board of Advisors of the Knight-Bagehot Fellowship in Economics and Business Journalism at Columbia University. Mr. Finley received a B.S. in Economics from the Wharton School of the University of Pennsylvania, a B.A. in History from the College of Arts and Sciences of the University of Pennsylvania, and a J.D. from Harvard Law School. Mr. Finley was selected to serve on our board of directors because of his extensive business, management and legal experience.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Ganeles</w:t>
      </w:r>
    </w:p>
    <w:p>
      <w:pPr>
        <w:spacing w:after="0" w:line="104"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Mr. Ganeles has served on Tradeweb’s board of directors since March 2019. Mr. Ganeles was the Chief Executive Officer of i-Deal from December 2000 until it merged with Hemscott in 2006 to form Ipreo Holdings LLC. 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 Mr. Ganeles was selected to serve on our board of directors because of his extensive business and management experience and thorough knowledge of our industry.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Paula Madoff</w:t>
      </w:r>
    </w:p>
    <w:p>
      <w:pPr>
        <w:spacing w:after="0" w:line="104"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Ms. Madoff has served on Tradeweb’s board of directors since March 2019. Ms. Madoff currently serves as an Advisor to Goldman Sachs (“Goldman”). She had been employed by Goldman for 24 years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 Ms. Madoff serves as a non-executive director on the boards of KKR Real Estate Finance Trust Inc., Great-West Lifeco (GWO) and ICE Benchmark Administration, where she is also Chair of the ICE LIBOR</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Oversight Committee. She held several additional leadership positions at Goldman, including Co-Chair of the Retirement Committee, overseeing 401(k) and pension plan assets; CEO of Goldman Sachs Mitsui Marine Derivatives Products, L.P.; and was a member of its Securities Division Operating Committee and Firmwide New Activity Committee. Before joining Goldman, Ms. Madoff worked in Corporate and Real Estate Finance at Bankers Trust and in Mergers and Acquisitions at Wasserstein Perella &amp; Co. Ms. Madoff is a 2018 David Rockefeller Fellow, a Director of Hudson River Park Friends, a member of the Harvard Business School Alumni Board, a member of the Harvard Kennedy School Women’s Leadership Board, and an Advisory Board Member of the NYU Hospital Child Study Center. Ms. Madoff received a B.A. degree in Economics, cum laude, from Lafayette College and an M.B.A. from the Harvard Business School. Ms. Madoff was selected to serve on our board of directors because of her deep bench of knowledge and experience working with sales and distributions for Goldman’s interest rate products and mortgages, as well as her significant service on boards and board committees.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Thomas Pluta</w:t>
      </w:r>
    </w:p>
    <w:p>
      <w:pPr>
        <w:spacing w:after="0" w:line="104"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Mr. Pluta has served on Tradeweb’s board of directors since March 2019 and on TWM LLC’s board of managers since December 2017. Mr. Pluta has served as Co-Head of the Global Rates Trading business at J.P. Morgan since April 2015. Prior to that, Mr. Pluta was Global Head of Short Term Interest Rate Trading at J.P. Morgan between January 2014 and April 2015. In addition to his 24 year career at J.P. Morgan managing trading teams across the Global Rates, Emerging Markets and Foreign Exchange businesses, he serves as the Corporate and Investment Bank lead for the firm-wide LIBOR Transition Program. A champion for advancing the people agenda at J.P. Morgan, Mr. Pluta has been actively engaged throughout his career, and holds leadership positions in various diversity &amp; inclusion, recruiting, and culture-building efforts. He received a B.A. in Economics from Yale University and an M.B.A. in General Management from the Harvard Business School. Mr. Pluta was selected to serve on our board of directors because of his significant trading and management experience and deep knowledge of our industry.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Debra Walton</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Ms. Walton has served on Tradeweb’s board of directors since March 2019 and on TWM LLC’s board of managers since July 2016. Ms. Walton has served as Chief Revenue Officer of Refinitiv since December 2018. From 2003 through November 2018, Ms. Walton held senior executive positions across product, content, sales and marketing at Refinitiv and the Financial &amp; Risk business division of Thomson Reuters. Prior to Thomson Reuters, Ms. Walton held senior executive roles at Cantor Fitzgerald, Nucleus Financial and Dow Jones Telerate. Ms. Walton has served as an advisory board member of Springboard since March 2013. Ms. Walton was selected to serve on our board of directors because of her extensive business and management experience and valuable knowledge and experience in our industry.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Brian West</w:t>
      </w:r>
    </w:p>
    <w:p>
      <w:pPr>
        <w:spacing w:after="0" w:line="104"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color w:val="auto"/>
        </w:rPr>
        <w:t>Mr. West has served on Tradeweb’s board of directors since March 2019. Mr. West has served as Chief Financial Officer of Refinitiv since November 2018. Prior to that, Mr. West was the Chief Financial Officer and Executive Vice President of Operations of Oscar Insurance Corporation between January 2016 and November 2018. Prior to that, Mr. West was the Chief Operating Officer of Nielsen Holdings plc between March 2014 and January 2016 and the Chief Financial Officer of Nielsen Holdings plc (or its predecessor) from February 2007 to March 2014. Prior to joining Nielsen Holdings plc, Mr. West was employed by the General Electric Company as the Chief Financial Officer of its GE Aviation division from June 2005 to February 2007. Prior to that, Mr. West held several senior financial positions across General Electric Company businesses, including NBC and Plastics. Mr. West is a veteran of General Electric Company’s financial leadership program and spent more than 16 years with General Electric Company. In the past, Mr. West served as a director and Chair of the Audit Committee of Getty Images. He received a B.S. degree in finance from Siena College and an M.B.A. from Columbia University. Mr. West was selected to serve on our board of directors because of his extensive financial knowledge, including from his service as Chief Financial Officer at GE Aviation, Nielsen Holdings plc, Oscar Insurance Corporation and, most recently, at Refinitiv.</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10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consists of nine directors. Our amended and restated certificate of incorporation and amended and restated bylaws will provide for a classified board of directors consisting of three classes of directors, each serving staggered three-year terms as follows:</w:t>
      </w:r>
    </w:p>
    <w:p>
      <w:pPr>
        <w:spacing w:after="0" w:line="160" w:lineRule="exact"/>
        <w:rPr>
          <w:sz w:val="20"/>
          <w:szCs w:val="20"/>
          <w:color w:val="auto"/>
        </w:rPr>
      </w:pPr>
    </w:p>
    <w:p>
      <w:pPr>
        <w:ind w:left="1980" w:right="919" w:hanging="352"/>
        <w:spacing w:after="0" w:line="277"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Class I directors will be Mr. Finley, Mr. Ganeles and Ms. Walton and their terms will expire at the annual meeting of stockholders to be held in 2020;</w:t>
      </w:r>
    </w:p>
    <w:p>
      <w:pPr>
        <w:spacing w:after="0" w:line="129"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Class II directors will be Ms. Madoff, Mr. Pluta and Mr. West and their terms will expire at the annual meeting of stockholders to be held in 2021; and</w:t>
      </w:r>
    </w:p>
    <w:p>
      <w:pPr>
        <w:spacing w:after="0" w:line="129" w:lineRule="exact"/>
        <w:rPr>
          <w:rFonts w:ascii="Arial" w:cs="Arial" w:eastAsia="Arial" w:hAnsi="Arial"/>
          <w:sz w:val="18"/>
          <w:szCs w:val="18"/>
          <w:color w:val="auto"/>
        </w:rPr>
      </w:pPr>
    </w:p>
    <w:p>
      <w:pPr>
        <w:ind w:left="1980" w:right="1099" w:hanging="352"/>
        <w:spacing w:after="0" w:line="277"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Class III directors will be Mr. Brand, Mr. Hult and Mr. Olesky and their terms will expire at the annual meeting of stockholders to be held in 2022.</w:t>
      </w:r>
    </w:p>
    <w:p>
      <w:pPr>
        <w:spacing w:after="0" w:line="6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In addition, we intend to enter into the Stockholders Agreement with the Refinitiv Owners in connection with this offering. This agreement will grant the Refinitiv Owners the right to designate nominees to our board of directors subject to the maintenance of certain ownership requirements in us. See “Certain Relationships and Related Party Transactions — Related Party Transactions Entered Into in Connection With This Transaction — Stockholders Agreement” for additional information.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108"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Our board of directors has affirmatively determined that Mr. Ganeles and Ms. Madoff are independent directors under the rules of Nasdaq, and are independent directors as such term is defined in Rule 10A-3(b)(1) under the Exchange Act.</w:t>
      </w:r>
    </w:p>
    <w:p>
      <w:pPr>
        <w:spacing w:after="0" w:line="73"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After completion of this offering, the Refinitiv Owners, who will be parties to the Stockholders Agreement, will hold Class B common stock and Class D common stock collectively representing a majority of the combined voting power of our total outstanding common stock. As a result, we will be a “controlled company” within the meaning of the corporate governance standards of Nasdaq. Under these rules, a “controlled company” may elect not to comply with certain corporate governance requirements, including:</w:t>
      </w:r>
    </w:p>
    <w:p>
      <w:pPr>
        <w:spacing w:after="0" w:line="146" w:lineRule="exact"/>
        <w:rPr>
          <w:sz w:val="20"/>
          <w:szCs w:val="20"/>
          <w:color w:val="auto"/>
        </w:rPr>
      </w:pPr>
    </w:p>
    <w:p>
      <w:pPr>
        <w:ind w:left="1980" w:hanging="352"/>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40" w:lineRule="exact"/>
        <w:rPr>
          <w:rFonts w:ascii="Arial" w:cs="Arial" w:eastAsia="Arial" w:hAnsi="Arial"/>
          <w:sz w:val="18"/>
          <w:szCs w:val="18"/>
          <w:color w:val="auto"/>
        </w:rPr>
      </w:pPr>
    </w:p>
    <w:p>
      <w:pPr>
        <w:ind w:left="1980" w:right="1199" w:hanging="352"/>
        <w:spacing w:after="0" w:line="342" w:lineRule="auto"/>
        <w:tabs>
          <w:tab w:leader="none" w:pos="19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819" w:firstLine="360"/>
        <w:spacing w:after="0" w:line="291" w:lineRule="auto"/>
        <w:rPr>
          <w:sz w:val="20"/>
          <w:szCs w:val="20"/>
          <w:color w:val="auto"/>
        </w:rPr>
      </w:pPr>
      <w:r>
        <w:rPr>
          <w:rFonts w:ascii="Arial" w:cs="Arial" w:eastAsia="Arial" w:hAnsi="Arial"/>
          <w:sz w:val="16"/>
          <w:szCs w:val="16"/>
          <w:color w:val="auto"/>
        </w:rPr>
        <w:t>Following this offering, we intend to utilize certain of these exemptions. As a result, we will not have a majority of independent directors and our nominating and corporate governance committee and compensation committee will not consist entirely of independent directors. Accordingly, you will not have the same protections afforded to stockholders of companies that are subject to all of the applicable stock exchange rules. See “Risk Factors — Risks Relating to This Offering and Ownership of Our Class A Common Stock — We are a “controlled company” within the meaning of the corporate governance standards of Nasdaq and, as a result, will qualify for, and may rely on, exemptions from certain corporate governance requirements.”</w:t>
      </w: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Upon completion of this offering, our board of directors will have three committees: the audit committee; the compensation committee; and the nominating and corporate governance committee. Our board of directors may establish other committees to facilitate the management of our business. The expected composition and functions of the audit committee, compensation committee and nominating and corporate governance committee are described below.</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The members of the audit committee are Mr. West, as Chairman, Mr. Ganeles, and Ms. Madoff. Mr. West qualifies as our “audit committee financial expert” within the meaning of regulations adopted by the SEC. Our board of directors has also determined that Mr. Ganeles and Ms. Madoff are “independent” as defined under Nasdaq rules and the Exchange Act and rules and regulations promulgated thereunder. We expect a third new independent director to be placed on the audit committee within one year of the effective date of the registration statement of which this prospectus forms a part. The composition of our audit committee will satisfy the independence requirements of Nasdaq and the SEC within the applicable timeframe. 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60" w:right="1299" w:firstLine="360"/>
        <w:spacing w:after="0" w:line="276" w:lineRule="auto"/>
        <w:rPr>
          <w:sz w:val="20"/>
          <w:szCs w:val="20"/>
          <w:color w:val="auto"/>
        </w:rPr>
      </w:pPr>
      <w:r>
        <w:rPr>
          <w:rFonts w:ascii="Arial" w:cs="Arial" w:eastAsia="Arial" w:hAnsi="Arial"/>
          <w:sz w:val="17"/>
          <w:szCs w:val="17"/>
          <w:color w:val="auto"/>
        </w:rPr>
        <w:t>The members of the compensation committee are Mr. Brand, as Chairman, Mr. Finley, Mr. Ganeles, Ms. Madoff and Mr. West. The principal 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members of the nominating and corporate governance committee are Mr. Finley, as Chairman,</w:t>
      </w:r>
    </w:p>
    <w:p>
      <w:pPr>
        <w:spacing w:after="0" w:line="35" w:lineRule="exact"/>
        <w:rPr>
          <w:sz w:val="20"/>
          <w:szCs w:val="20"/>
          <w:color w:val="auto"/>
        </w:rPr>
      </w:pPr>
    </w:p>
    <w:p>
      <w:pPr>
        <w:ind w:left="1260" w:right="759"/>
        <w:spacing w:after="0" w:line="302" w:lineRule="auto"/>
        <w:rPr>
          <w:sz w:val="20"/>
          <w:szCs w:val="20"/>
          <w:color w:val="auto"/>
        </w:rPr>
      </w:pPr>
      <w:r>
        <w:rPr>
          <w:rFonts w:ascii="Arial" w:cs="Arial" w:eastAsia="Arial" w:hAnsi="Arial"/>
          <w:sz w:val="16"/>
          <w:szCs w:val="16"/>
          <w:color w:val="auto"/>
        </w:rPr>
        <w:t>Mr. Brand, and Ms. Madoff. 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have adopted a Code of Business Conduct and Ethics applicable to all of our directors, officers (including our principal executive officer, principal financial officer and principal accounting officer) and all global employees. Our Code of Business Conduct and Ethics is available on our website at www.tradeweb.com. In the event that we amend or waive certain provisions of our Code of Business Conduct and Ethics applicable to our principal executive officer, principal financial officer or principal accounting officer that requires disclosure under applicable SEC rules, we intend to disclose the same on our website. Our website is not part of this prospectus.</w:t>
      </w:r>
    </w:p>
    <w:p>
      <w:pPr>
        <w:spacing w:after="0" w:line="25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ind w:left="1260" w:right="1099" w:firstLine="360"/>
        <w:spacing w:after="0" w:line="259" w:lineRule="auto"/>
        <w:rPr>
          <w:sz w:val="20"/>
          <w:szCs w:val="20"/>
          <w:color w:val="auto"/>
        </w:rPr>
      </w:pPr>
      <w:r>
        <w:rPr>
          <w:rFonts w:ascii="Arial" w:cs="Arial" w:eastAsia="Arial" w:hAnsi="Arial"/>
          <w:sz w:val="18"/>
          <w:szCs w:val="18"/>
          <w:color w:val="auto"/>
        </w:rPr>
        <w:t>As an emerging growth company, Tradeweb has opted to comply with the executive compensation rules applicable to “smaller reporting companies,” as defined under the Securities Act. Those rules require compensation disclosure only for Tradeweb’s principal executive officer and its next two most highly compensated executive officers.</w:t>
      </w:r>
    </w:p>
    <w:p>
      <w:pPr>
        <w:spacing w:after="0" w:line="79"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tabular disclosure and discussion that follow describe Tradeweb’s executive compensation program during the most recently completed fiscal year ended December 31, 2018, with respect to Tradeweb’s named executive officers, including: Lee Olesky, Tradeweb’s Chief Executive Officer; William Hult, Tradeweb’s President; and James Spencer, Tradeweb’s Chief Technology Officer (collectively, Tradeweb’s “named executive officers”).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The following table sets forth the compensation paid to the named executive officers (the “NEOs”) that is attributable to services performed during fiscal year 2018.</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Incentive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Bonus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740" w:type="dxa"/>
            <w:vAlign w:val="bottom"/>
          </w:tcPr>
          <w:p>
            <w:pPr>
              <w:jc w:val="right"/>
              <w:ind w:right="163"/>
              <w:spacing w:after="0"/>
              <w:rPr>
                <w:sz w:val="20"/>
                <w:szCs w:val="20"/>
                <w:color w:val="auto"/>
              </w:rPr>
            </w:pPr>
            <w:r>
              <w:rPr>
                <w:rFonts w:ascii="Arial" w:cs="Arial" w:eastAsia="Arial" w:hAnsi="Arial"/>
                <w:sz w:val="14"/>
                <w:szCs w:val="14"/>
                <w:b w:val="1"/>
                <w:bCs w:val="1"/>
                <w:color w:val="auto"/>
              </w:rPr>
              <w:t>Total</w:t>
            </w:r>
          </w:p>
        </w:tc>
      </w:tr>
      <w:tr>
        <w:trPr>
          <w:trHeight w:val="186"/>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60" w:type="dxa"/>
            <w:vAlign w:val="bottom"/>
          </w:tcPr>
          <w:p>
            <w:pPr>
              <w:jc w:val="right"/>
              <w:ind w:right="83"/>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($)(5)</w:t>
            </w:r>
          </w:p>
        </w:tc>
        <w:tc>
          <w:tcPr>
            <w:tcW w:w="120" w:type="dxa"/>
            <w:vAlign w:val="bottom"/>
          </w:tcPr>
          <w:p>
            <w:pPr>
              <w:spacing w:after="0"/>
              <w:rPr>
                <w:sz w:val="16"/>
                <w:szCs w:val="16"/>
                <w:color w:val="auto"/>
              </w:rPr>
            </w:pPr>
          </w:p>
        </w:tc>
        <w:tc>
          <w:tcPr>
            <w:tcW w:w="74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r>
      <w:tr>
        <w:trPr>
          <w:trHeight w:val="26"/>
        </w:trPr>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Lee Olesky</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770,000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2,952,000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12,508,379</w:t>
            </w: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6,400,000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49,216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22,679,595</w:t>
            </w:r>
          </w:p>
        </w:tc>
      </w:tr>
      <w:tr>
        <w:trPr>
          <w:trHeight w:val="212"/>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Executive Officer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6"/>
        </w:trPr>
        <w:tc>
          <w:tcPr>
            <w:tcW w:w="2040" w:type="dxa"/>
            <w:vAlign w:val="bottom"/>
            <w:gridSpan w:val="3"/>
          </w:tcPr>
          <w:p>
            <w:pPr>
              <w:spacing w:after="0"/>
              <w:rPr>
                <w:sz w:val="20"/>
                <w:szCs w:val="20"/>
                <w:color w:val="auto"/>
              </w:rPr>
            </w:pPr>
            <w:r>
              <w:rPr>
                <w:rFonts w:ascii="Arial" w:cs="Arial" w:eastAsia="Arial" w:hAnsi="Arial"/>
                <w:sz w:val="16"/>
                <w:szCs w:val="16"/>
                <w:color w:val="auto"/>
              </w:rPr>
              <w:t>William Hult</w:t>
            </w:r>
          </w:p>
        </w:tc>
        <w:tc>
          <w:tcPr>
            <w:tcW w:w="420" w:type="dxa"/>
            <w:vAlign w:val="bottom"/>
            <w:gridSpan w:val="2"/>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660,000</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2,461,250</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6,700,918</w:t>
            </w: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5,700,000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46,950</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15,569,118</w:t>
            </w:r>
          </w:p>
        </w:tc>
      </w:tr>
      <w:tr>
        <w:trPr>
          <w:trHeight w:val="209"/>
        </w:trPr>
        <w:tc>
          <w:tcPr>
            <w:tcW w:w="2040" w:type="dxa"/>
            <w:vAlign w:val="bottom"/>
            <w:gridSpan w:val="3"/>
          </w:tcPr>
          <w:p>
            <w:pPr>
              <w:ind w:left="180"/>
              <w:spacing w:after="0"/>
              <w:rPr>
                <w:sz w:val="20"/>
                <w:szCs w:val="20"/>
                <w:color w:val="auto"/>
              </w:rPr>
            </w:pPr>
            <w:r>
              <w:rPr>
                <w:rFonts w:ascii="Arial" w:cs="Arial" w:eastAsia="Arial" w:hAnsi="Arial"/>
                <w:sz w:val="16"/>
                <w:szCs w:val="16"/>
                <w:color w:val="auto"/>
              </w:rPr>
              <w:t>President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Spencer</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400,000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1,800,000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1,250,838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3,942,857</w:t>
            </w:r>
          </w:p>
        </w:tc>
      </w:tr>
      <w:tr>
        <w:trPr>
          <w:trHeight w:val="212"/>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Technology Officer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-968375</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-968375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-968375</wp:posOffset>
            </wp:positionV>
            <wp:extent cx="514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-968375</wp:posOffset>
            </wp:positionV>
            <wp:extent cx="514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-968375</wp:posOffset>
            </wp:positionV>
            <wp:extent cx="514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-968375</wp:posOffset>
            </wp:positionV>
            <wp:extent cx="514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-968375</wp:posOffset>
            </wp:positionV>
            <wp:extent cx="514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-968375</wp:posOffset>
            </wp:positionV>
            <wp:extent cx="514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left="1620" w:right="879" w:hanging="352"/>
        <w:spacing w:after="0" w:line="264"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Spencer is entitled to a discretionary annual bonus as described below in “Narrative Disclosure to Summary Compensation Table—Annual Cash Incentive Awards,” which is anticipated to be paid in March 2019.</w:t>
      </w:r>
    </w:p>
    <w:p>
      <w:pPr>
        <w:spacing w:after="0" w:line="154" w:lineRule="exact"/>
        <w:rPr>
          <w:rFonts w:ascii="Arial" w:cs="Arial" w:eastAsia="Arial" w:hAnsi="Arial"/>
          <w:sz w:val="18"/>
          <w:szCs w:val="18"/>
          <w:color w:val="auto"/>
        </w:rPr>
      </w:pPr>
    </w:p>
    <w:p>
      <w:pPr>
        <w:ind w:left="1620" w:right="779" w:hanging="352"/>
        <w:spacing w:after="0" w:line="255"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amounts included in the “Stock Awards” column represent the grant date fair value of PRSU awards computed in accordance with FASB ASC Topic 718. Details and assumptions used in calculating the grant date fair value of the PRSU awards may be found in Note 11, “Stock-based Compensation Plans,” to the consolidated financial statements included elsewhere in this prospectus. In addition, assuming that the highest level of performance conditions will be achieved with respect to the PRSUs, the grant date fair value of these awards would have been $4,428,000 for Mr. Olesky, $3,691,875 for Mr. Hult and $675,000 for Mr. Spencer.</w:t>
      </w:r>
    </w:p>
    <w:p>
      <w:pPr>
        <w:spacing w:after="0" w:line="148" w:lineRule="exact"/>
        <w:rPr>
          <w:rFonts w:ascii="Arial" w:cs="Arial" w:eastAsia="Arial" w:hAnsi="Arial"/>
          <w:sz w:val="18"/>
          <w:szCs w:val="18"/>
          <w:color w:val="auto"/>
        </w:rPr>
      </w:pPr>
    </w:p>
    <w:p>
      <w:pPr>
        <w:ind w:left="1620" w:right="919" w:hanging="352"/>
        <w:spacing w:after="0" w:line="25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the section titled “Management Discussion and Analysis of Financial Condition and Results of Operations—Critical Accounting Policies and Estimates— Stock-Based Compensation.”</w:t>
      </w:r>
    </w:p>
    <w:p>
      <w:pPr>
        <w:spacing w:after="0" w:line="147" w:lineRule="exact"/>
        <w:rPr>
          <w:rFonts w:ascii="Arial" w:cs="Arial" w:eastAsia="Arial" w:hAnsi="Arial"/>
          <w:sz w:val="18"/>
          <w:szCs w:val="18"/>
          <w:color w:val="auto"/>
        </w:rPr>
      </w:pPr>
    </w:p>
    <w:p>
      <w:pPr>
        <w:ind w:left="1620" w:right="759" w:hanging="352"/>
        <w:spacing w:after="0" w:line="25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amounts included in the “Non-Equity Incentive Plan Compensation” column reflect Messrs. Olesky and Hult’s annual performance bonuses earned in respect of fiscal year 2018, which amounts are based on performance targets as set forth in their applicable employment agreements for such fiscal years as described below in “—Narrative Disclosure to Summary Compensation Table—Employment Agreements,” and are anticipated to be paid in March 2019.</w:t>
      </w:r>
    </w:p>
    <w:p>
      <w:pPr>
        <w:spacing w:after="0" w:line="147" w:lineRule="exact"/>
        <w:rPr>
          <w:rFonts w:ascii="Arial" w:cs="Arial" w:eastAsia="Arial" w:hAnsi="Arial"/>
          <w:sz w:val="18"/>
          <w:szCs w:val="18"/>
          <w:color w:val="auto"/>
        </w:rPr>
      </w:pPr>
    </w:p>
    <w:p>
      <w:pPr>
        <w:ind w:left="1620" w:right="779" w:hanging="352"/>
        <w:spacing w:after="0" w:line="286" w:lineRule="auto"/>
        <w:tabs>
          <w:tab w:leader="none" w:pos="1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amounts included in the “All Other Compensation” column represent (i) financial planning services, (ii) executive life insurance, (iii) group life insurance, (iv) matching contributions to the Company’s 401(k) plan, (v) executive long term disability insurance, (vi) excess liability insurance, and</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1079" w:firstLine="8"/>
        <w:spacing w:after="0" w:line="312" w:lineRule="auto"/>
        <w:tabs>
          <w:tab w:leader="none" w:pos="1975" w:val="left"/>
        </w:tabs>
        <w:numPr>
          <w:ilvl w:val="0"/>
          <w:numId w:val="91"/>
        </w:numPr>
        <w:rPr>
          <w:rFonts w:ascii="Arial" w:cs="Arial" w:eastAsia="Arial" w:hAnsi="Arial"/>
          <w:sz w:val="16"/>
          <w:szCs w:val="16"/>
          <w:color w:val="auto"/>
        </w:rPr>
      </w:pPr>
      <w:r>
        <w:rPr>
          <w:rFonts w:ascii="Arial" w:cs="Arial" w:eastAsia="Arial" w:hAnsi="Arial"/>
          <w:sz w:val="16"/>
          <w:szCs w:val="16"/>
          <w:color w:val="auto"/>
        </w:rPr>
        <w:t>for Messrs. Olesky and Hult, annual club membership dues. The value of any dividend equivalent rights accrued in respect of PRSU grants to the NEOs are not included in the “All Other Compensation” column because those amounts were factored into the grant date fair value for the relevant PRSU grants.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Messrs. Olesky and Hult are each party to an employment agreement with TWM LLC, summarized below.</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Chief Executive Officer (Lee Olesky)</w:t>
      </w:r>
    </w:p>
    <w:p>
      <w:pPr>
        <w:spacing w:after="0" w:line="104" w:lineRule="exact"/>
        <w:rPr>
          <w:sz w:val="20"/>
          <w:szCs w:val="20"/>
          <w:color w:val="auto"/>
        </w:rPr>
      </w:pPr>
    </w:p>
    <w:p>
      <w:pPr>
        <w:ind w:left="1260" w:right="799" w:firstLine="360"/>
        <w:spacing w:after="0" w:line="284" w:lineRule="auto"/>
        <w:rPr>
          <w:sz w:val="20"/>
          <w:szCs w:val="20"/>
          <w:color w:val="auto"/>
        </w:rPr>
      </w:pPr>
      <w:r>
        <w:rPr>
          <w:rFonts w:ascii="Arial" w:cs="Arial" w:eastAsia="Arial" w:hAnsi="Arial"/>
          <w:sz w:val="16"/>
          <w:szCs w:val="16"/>
          <w:color w:val="auto"/>
        </w:rPr>
        <w:t>TWM LLC is party to an employment agreement with Mr. Olesky (the “CEO Employment Agreement”) for the position of Chief Executive Officer of TWM LLC (“CEO”). For as long as he is CEO, Mr. Olesky is entitled to be a member of the board of directors of Tradeweb Markets Inc. (the “Board”). The CEO Employment Agreement provides for an initial term ending on December 31, 2020, subject to automatic one-year extensions unless either TWM LLC or Mr. Olesky provides written notice of intent not to renew at least 90 days prior to the expiration of the then applicable term. The CEO Employment Agreement provides for a base salary of $770,000 per year, subject to increase at the discretion of the Board and/or the compensation committee of the Board.</w:t>
      </w:r>
    </w:p>
    <w:p>
      <w:pPr>
        <w:spacing w:after="0" w:line="3"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Mr. Olesky is also eligible to participate in an annual bonus plan, with a target bonus opportunity of $3.5 million (the “CEO Target Bonus”). Achievement of the CEO Target Bonus is based on TWM LLC’s attainment of certain performance goals set annually by the Board. The actual amount paid to him can be greater or less than the CEO Target Bonus depending on the extent to which these goals are achieved (or exceeded). For 2018, achievement of the CEO Target Bonus was based on attainment of annual revenue targets and a minimum EBITDA threshold. Mr. Olesky is also entitled to participate in TWM LLC’s executive employee benefit plans, including its PRSU Plan (as described further below) or a similar equity-based plan, and is entitled to six weeks of paid vacation annually.</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The CEO Employment Agreement subjects Mr. Olesky to the following restrictive covenants: (i) non-solicitation of employees of TWM LLC and non-interference with customers and clients of TWM LLC during employment and the Non-Solicitation Period (as defined below); (ii) non-competition during employment and the CEO Non-Competition Period (as defined below); and (iii) perpetual non-disclosure of confidential information. The “CEO Non-Competition Period” means (x) in the event of a termination without Cause or resignation for Good Reason, eighteen (18) months following termination; and (y) in the event of a termination for any other reason, twelve (12) months following termination; provided, that, in the event Mr. Olesky resigns without Good Reason, Mr. Olesky’s service as a non-executive director or in a similar capacity with respect to a Restricted Enterprise (as defined in the CEO Employment Agreement) is not deemed to be a violation of the noncompetition restriction, unless the Restricted Enterprise is ICAP, MarketAxess, IHS Markit or Bloomberg, in which case such service is not permitted for six (6) months following termination. The definitions of “Cause” and “Good Reason” as defined in the CEO Employment Agreement are described below under “—Additional Narrative Disclosures —Potential Payments upon Termination or Change in Control.” The “Non-Solicitation Period” means, (x) in the event of a termination without Cause or resignation for Good Reason, eighteen (18) months following termination; and (y) in the event of a termination for any other reason, twelve (12) months following termination.</w:t>
      </w:r>
    </w:p>
    <w:p>
      <w:pPr>
        <w:spacing w:after="0" w:line="61" w:lineRule="exact"/>
        <w:rPr>
          <w:sz w:val="20"/>
          <w:szCs w:val="20"/>
          <w:color w:val="auto"/>
        </w:rPr>
      </w:pPr>
    </w:p>
    <w:p>
      <w:pPr>
        <w:jc w:val="both"/>
        <w:ind w:left="1260" w:right="779" w:firstLine="360"/>
        <w:spacing w:after="0" w:line="264" w:lineRule="auto"/>
        <w:rPr>
          <w:sz w:val="20"/>
          <w:szCs w:val="20"/>
          <w:color w:val="auto"/>
        </w:rPr>
      </w:pPr>
      <w:r>
        <w:rPr>
          <w:rFonts w:ascii="Arial" w:cs="Arial" w:eastAsia="Arial" w:hAnsi="Arial"/>
          <w:sz w:val="18"/>
          <w:szCs w:val="18"/>
          <w:color w:val="auto"/>
        </w:rPr>
        <w:t>The CEO Employment Agreement also provides for severance upon certain terminations of employment, as described below under “—Additional Narrative Disclosures—Potential Payments upon Termination or Change in Control.”</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President (William Hult)</w:t>
      </w:r>
    </w:p>
    <w:p>
      <w:pPr>
        <w:spacing w:after="0" w:line="104" w:lineRule="exact"/>
        <w:rPr>
          <w:sz w:val="20"/>
          <w:szCs w:val="20"/>
          <w:color w:val="auto"/>
        </w:rPr>
      </w:pPr>
    </w:p>
    <w:p>
      <w:pPr>
        <w:ind w:left="1260" w:right="999" w:firstLine="360"/>
        <w:spacing w:after="0" w:line="302" w:lineRule="auto"/>
        <w:rPr>
          <w:sz w:val="20"/>
          <w:szCs w:val="20"/>
          <w:color w:val="auto"/>
        </w:rPr>
      </w:pPr>
      <w:r>
        <w:rPr>
          <w:rFonts w:ascii="Arial" w:cs="Arial" w:eastAsia="Arial" w:hAnsi="Arial"/>
          <w:sz w:val="16"/>
          <w:szCs w:val="16"/>
          <w:color w:val="auto"/>
        </w:rPr>
        <w:t>TWM LLC is party to an employment agreement with Mr. Hult (the “President Employment Agreement” and together with the CEO Employment Agreement, the “Employment Agreements”) for the position of President of TWM LLC. For as long as he is President, Mr. Hult is entitled to be a member of the Board. The President Employment Agreement provides for an initial term ending on December 31, 2020,</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subject to automatic one-year extensions unless either TWM LLC or Mr. Hult provides written notice of intent not to renew at least 90 days prior to the expiration of the then applicable term. The President Employment Agreement provides for a base salary of $660,000 per year, subject to increase at the discretion of the Board and/or the compensation committee of the Board. Mr. Hult is also eligible to participate in an annual bonus plan, with a target bonus opportunity of $3,117,000 (the “President Target Bonus”). Achievement of the President Target Bonus is based on TWM LLC’s attainment of certain performance goals set annually by the Board. The actual amount paid to him can be greater or less than the President Target Bonus depending on the extent to which these goals are achieved (or exceeded). For 2018, achievement of the President Target Bonus was based on attainment of annual revenue targets and a minimum EBITDA threshold. Mr. Hult is also entitled to participate in TWM LLC’s executive employee benefit plans, including its PRSU Plan or a similar equity-based plan, and is entitled to six weeks of paid vacation annually.</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President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and (y) in the event of a termination for any other reason, twelve (12) months following termination. The definitions of “Cause” and “Good Reason” as defined in the President Employment Agreement are described below under “—Additional Narrative Disclosures—Potential Payments upon Termination or Change in Control.”</w:t>
      </w:r>
    </w:p>
    <w:p>
      <w:pPr>
        <w:spacing w:after="0" w:line="74" w:lineRule="exact"/>
        <w:rPr>
          <w:sz w:val="20"/>
          <w:szCs w:val="20"/>
          <w:color w:val="auto"/>
        </w:rPr>
      </w:pPr>
    </w:p>
    <w:p>
      <w:pPr>
        <w:ind w:left="1260" w:right="1419" w:firstLine="360"/>
        <w:spacing w:after="0" w:line="342" w:lineRule="auto"/>
        <w:rPr>
          <w:sz w:val="20"/>
          <w:szCs w:val="20"/>
          <w:color w:val="auto"/>
        </w:rPr>
      </w:pPr>
      <w:r>
        <w:rPr>
          <w:rFonts w:ascii="Arial" w:cs="Arial" w:eastAsia="Arial" w:hAnsi="Arial"/>
          <w:sz w:val="16"/>
          <w:szCs w:val="16"/>
          <w:color w:val="auto"/>
        </w:rPr>
        <w:t>The President Employment Agreement also provides for severance upon certain terminations of employment, as described below under “—Potential Payments upon Termination or Change in Control.”</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Spencer is eligible to receive an annual cash bonus in the discretion of TWM LLC’s CEO.</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Tradeweb Markets Inc. 2018 Share Option Plan</w:t>
      </w:r>
    </w:p>
    <w:p>
      <w:pPr>
        <w:spacing w:after="0" w:line="104"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The Board has adopted the Amended and Restated Tradeweb Markets Inc. 2018 Share Option Plan (previously the TWM LLC 2018 Share Option Plan), as may be amended from time to time (the “Option Plan”), under which there are 19,323,672 shares of Class A common stock of the Company (“Shares”) reserved for the issuance of options to purchase Shares (“Options”) (of which 18,137,082 shares of Class A common stock are currently subject to outstanding Options). The Option Plan was established to recruit and retain key employees and consultants and to motivate key employees, directors and consultants by providing such participating individuals with a proprietary interest in the performance of the Company.</w:t>
      </w:r>
    </w:p>
    <w:p>
      <w:pPr>
        <w:spacing w:after="0" w:line="70"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i w:val="1"/>
          <w:iCs w:val="1"/>
          <w:color w:val="auto"/>
        </w:rPr>
        <w:t xml:space="preserve">Shares Subject to the Plan. </w:t>
      </w:r>
      <w:r>
        <w:rPr>
          <w:rFonts w:ascii="Arial" w:cs="Arial" w:eastAsia="Arial" w:hAnsi="Arial"/>
          <w:sz w:val="18"/>
          <w:szCs w:val="18"/>
          <w:color w:val="auto"/>
        </w:rPr>
        <w:t>There are currently 19,323,672 Shares reserved for issuance under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“Reserved Shares”) (of which 18,137,082 shares of Class A common stock are currently subject to outstanding Options). Any Shares related to an Option that lapses or otherwise terminates without issuance of the Shares shall again be available for issuance. Under the Option Plan, as of the date of an IPO (including this offering) of the Company or any of its affiliates (as defined in the Option Plan), the Reserved Shares will no longer be subject to increase, subject to certain provisions of the Option Plan related to technical adjustments. If at any time the Reserved Shares exceed 8% of the fully diluted equity of the Company (excluding PRSUs granted prior to the date the Option Plan was adopted) (the “Share Cap”), the Reserved Shares will be reduced by such excess.</w:t>
      </w:r>
    </w:p>
    <w:p>
      <w:pPr>
        <w:spacing w:after="0" w:line="89"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Following an IPO, the Option Plan will be administered by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(the “Compensation Committee”). The Compensation Committee has the authority in its discretion to determine the employees, directors and consultants of the Company to whom Options may be granted and in what amounts. The Compensation Committee also has the authority in its discretion to determine the exercise price of Options, the vesting schedules and other conditions of Options, and the authority to interpret the Option Plan and to make any other determinations it deems necessary under the Option Plan. The Compensation Committee may correct any defect, supply any omission, or</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1439"/>
        <w:spacing w:after="0" w:line="286" w:lineRule="auto"/>
        <w:rPr>
          <w:sz w:val="20"/>
          <w:szCs w:val="20"/>
          <w:color w:val="auto"/>
        </w:rPr>
      </w:pPr>
      <w:r>
        <w:rPr>
          <w:rFonts w:ascii="Arial" w:cs="Arial" w:eastAsia="Arial" w:hAnsi="Arial"/>
          <w:sz w:val="17"/>
          <w:szCs w:val="17"/>
          <w:color w:val="auto"/>
        </w:rPr>
        <w:t>reconcile any inconsistency in the Option Plan or in any Option in the manner and to the extent it deems necessary to carry out the intent of the Option Plan. The Compensation Committee’s interpretations and determinations shall be final, binding and conclusive upon all persons.</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Plan Term.  </w:t>
      </w:r>
      <w:r>
        <w:rPr>
          <w:rFonts w:ascii="Arial" w:cs="Arial" w:eastAsia="Arial" w:hAnsi="Arial"/>
          <w:sz w:val="17"/>
          <w:szCs w:val="17"/>
          <w:color w:val="auto"/>
        </w:rPr>
        <w:t>The Option Plan became effective on August 6, 2018 and will terminate on the tenth (10th)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anniversary thereof, unless earlier terminated by the Board.</w:t>
      </w:r>
    </w:p>
    <w:p>
      <w:pPr>
        <w:spacing w:after="0" w:line="103"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exercise price for Options shall be determined by the Compensation Committee and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option agreement; provided, that the exercise price per Share under each Option shall not be less than the fair market value of a Share on the date the Option is granted.</w:t>
      </w:r>
    </w:p>
    <w:p>
      <w:pPr>
        <w:spacing w:after="0" w:line="73"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Options granted under the Option Plan shall be exercisable at such time and upon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may be set forth in the applicable option agreement, but shall not be exercisable after the expiration of 10 years from the date it is granted.</w:t>
      </w:r>
    </w:p>
    <w:p>
      <w:pPr>
        <w:spacing w:after="0" w:line="73"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The Compensation Committee shall determine the time or times at which an Option shall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vested and exercisable. To date, all outstanding Options granted under the Option Plan are subject to the following vesting provisions: (i) 50% of the Option vests over time based on continued employment (the “Time-Based Portion”), and (ii) 50% of the Option vests based on satisfying certain performance conditions (the “Performance-Based Portion”), each as further described below.</w:t>
      </w:r>
    </w:p>
    <w:p>
      <w:pPr>
        <w:spacing w:after="0" w:line="80"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Time-Based Portion vested 25% on January 1, 2019 and 25% will vest on each anniversary thereafter until January 2022, and vests in full upon a change of control (as defined in the Option Plan), subject to continued employment on each such date. The Time-Based Portion also vests upon the participant’s termination without Cause or resignation for Good Reason (as such terms are defined in the Option Plan) within 90 days prior to the consummation of a change in control.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71"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For the Performance-Based Portion, (i) 50% is eligible to vest in four equal installments in each of calendar years 2018, 2019, 2020 and 2021 based on achievement of Company EBITDA targets for the applicable calendar year, and (ii) 50% is eligible to vest in four equal installments in each of calendar years 2018, 2019, 2020 and 2021 based on the Company’s achievement for the relevant calendar year of certain revenue targets (the “Revenue-Based Portion”). If at least 80% of the applicable revenue target is achieved for a given year, the Revenue-Based Portion will vest as to 0%, based on 80% achievement of target, and 100%, based on full achievement of target, and performance achievement between 80% and 100% of target will vest based on straight-line interpolation from 0% to 100%. To the extent the relevant EBITDA targets and revenue targets are not achieved for any calendar year, the portion of the Performance-Based Portion eligible to become vested for such year shall become vested the first time the relevant EBITDA and revenue targets are fully achieved in a later year, if at all. The relevant EBITDA and revenue targets have been achieved at 100% for 2018, and therefore 25% of the Performance-Based Portion is currently vested. If a change in control occurs prior to the date the Compensation Committee determines whether the relevant performance conditions have been achieved for 2021,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Any remaining unvested portion will be forfeited upon such change of control.</w:t>
      </w:r>
    </w:p>
    <w:p>
      <w:pPr>
        <w:spacing w:after="0" w:line="62"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i w:val="1"/>
          <w:iCs w:val="1"/>
          <w:color w:val="auto"/>
        </w:rPr>
        <w:t xml:space="preserve">Termination of Employment; Retirement. </w:t>
      </w:r>
      <w:r>
        <w:rPr>
          <w:rFonts w:ascii="Arial" w:cs="Arial" w:eastAsia="Arial" w:hAnsi="Arial"/>
          <w:sz w:val="18"/>
          <w:szCs w:val="18"/>
          <w:color w:val="auto"/>
        </w:rPr>
        <w:t>The Compensation Committee may determine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Option following termination of employment. To date, all outstanding Options granted under the Option Plan are subject to the following terms upon certain terminations of employment.</w:t>
      </w:r>
    </w:p>
    <w:p>
      <w:pPr>
        <w:spacing w:after="0" w:line="73" w:lineRule="exact"/>
        <w:rPr>
          <w:sz w:val="20"/>
          <w:szCs w:val="20"/>
          <w:color w:val="auto"/>
        </w:rPr>
      </w:pPr>
    </w:p>
    <w:p>
      <w:pPr>
        <w:ind w:left="1260" w:right="1259" w:firstLine="360"/>
        <w:spacing w:after="0" w:line="302" w:lineRule="auto"/>
        <w:rPr>
          <w:sz w:val="20"/>
          <w:szCs w:val="20"/>
          <w:color w:val="auto"/>
        </w:rPr>
      </w:pPr>
      <w:r>
        <w:rPr>
          <w:rFonts w:ascii="Arial" w:cs="Arial" w:eastAsia="Arial" w:hAnsi="Arial"/>
          <w:sz w:val="16"/>
          <w:szCs w:val="16"/>
          <w:color w:val="auto"/>
        </w:rPr>
        <w:t>If a participant is terminated for Cause (as defined in the Option Plan) or is in breach of a restrictive covenant in favor of the Company, the Option will be terminated. Upon the termination of the participant’s employment for any reason other than Cause, the portion of the Option that is not vested on the date of termination shall be automatically cancelled by the Company and the vested portion of the Option shall</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86" w:lineRule="auto"/>
        <w:rPr>
          <w:sz w:val="20"/>
          <w:szCs w:val="20"/>
          <w:color w:val="auto"/>
        </w:rPr>
      </w:pPr>
      <w:r>
        <w:rPr>
          <w:rFonts w:ascii="Arial" w:cs="Arial" w:eastAsia="Arial" w:hAnsi="Arial"/>
          <w:sz w:val="16"/>
          <w:szCs w:val="16"/>
          <w:color w:val="auto"/>
        </w:rPr>
        <w:t>remain outstanding and exercisable for (i) in the case of the participant’s resignation without Good Reason, 45 days following the later of (x) the date of resignation and (y) the date on which the vested portion of the Option first becomes exercisable, (ii) in the case of a termination of the participant’s employment by the Company without Cause or by the participant for Good Reason, the ninety (90) day period following the later of</w:t>
      </w:r>
    </w:p>
    <w:p>
      <w:pPr>
        <w:spacing w:after="0" w:line="2" w:lineRule="exact"/>
        <w:rPr>
          <w:sz w:val="20"/>
          <w:szCs w:val="20"/>
          <w:color w:val="auto"/>
        </w:rPr>
      </w:pPr>
    </w:p>
    <w:p>
      <w:pPr>
        <w:jc w:val="both"/>
        <w:ind w:left="1260" w:right="899" w:firstLine="8"/>
        <w:spacing w:after="0" w:line="254" w:lineRule="auto"/>
        <w:tabs>
          <w:tab w:leader="none" w:pos="15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date of termination and (y) the date on which the vested portion of the Option first becomes exercisable, or (iii) in the case of a termination of the participant’s employment on account of death or Disability (as defined in the Option Plan), the one (1) year period following the later of (x) the date of termination and (y) the date on which the vested portion of the Option first becomes exercisable.</w:t>
      </w:r>
    </w:p>
    <w:p>
      <w:pPr>
        <w:spacing w:after="0" w:line="82"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If a participant’s employment has terminated due to retirement,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its term (or a breach of restrictive covenants) or until exercised, if earlier.</w:t>
      </w:r>
    </w:p>
    <w:p>
      <w:pPr>
        <w:spacing w:after="0" w:line="57" w:lineRule="exact"/>
        <w:rPr>
          <w:sz w:val="20"/>
          <w:szCs w:val="20"/>
          <w:color w:val="auto"/>
        </w:rPr>
      </w:pPr>
    </w:p>
    <w:p>
      <w:pPr>
        <w:ind w:left="1260" w:right="759" w:firstLine="360"/>
        <w:spacing w:after="0" w:line="284" w:lineRule="auto"/>
        <w:rPr>
          <w:sz w:val="20"/>
          <w:szCs w:val="20"/>
          <w:color w:val="auto"/>
        </w:rPr>
      </w:pPr>
      <w:r>
        <w:rPr>
          <w:rFonts w:ascii="Arial" w:cs="Arial" w:eastAsia="Arial" w:hAnsi="Arial"/>
          <w:sz w:val="16"/>
          <w:szCs w:val="16"/>
          <w:i w:val="1"/>
          <w:iCs w:val="1"/>
          <w:color w:val="auto"/>
        </w:rPr>
        <w:t xml:space="preserve">Method of Exercise of Options &amp; Withholding. </w:t>
      </w:r>
      <w:r>
        <w:rPr>
          <w:rFonts w:ascii="Arial" w:cs="Arial" w:eastAsia="Arial" w:hAnsi="Arial"/>
          <w:sz w:val="16"/>
          <w:szCs w:val="16"/>
          <w:color w:val="auto"/>
        </w:rPr>
        <w:t>The vested portion of any Option may be exercised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to the Company at its principal office written notice of intent to exercise (an “Exercise Notice”). The notice must specify the number of Shares with respect to which the Option is being exercised (the “Purchased Shares”) and must be accompanied by payment in full of the aggregate exercise price of the vested portion of the Option being exercised in cash or by check or wire transfer; provided, however, that payment of the aggregate exercise price may instead be made, in whole or in part, (A) by the delivery to the Company of a certificate or certificates, book-entry position or other applicable documentation representing Shares having a fair market value (defined as the closing price of a Share on the day before any relevant determination date as reported on the principal nationally recognized stock exchange on which the Shares are traded) on the date of exercise equal to the aggregate exercise price in respect of the Purchased Shares, duly endorsed, which delivery effectively transfers to the Company good and valid title to such Shares, free and clear of any pledge, commitment, lien, claim or other encumbrance (such Shares to be valued on the basis of the aggregate fair market value thereof on the date of such exercise); provided, that the Company is not then prohibited under applicable law, rules or regulations from purchasing or acquiring such Shares, (B) if such exercise occurs prior to the expiration of any underwriters’ lockup associated with an IPO (including this offering) and the participant’s service has not terminated or the participant was terminated without Cause or resigned for Good Reason, by a reduction in the number of Purchased Shares to be issued upon such exercise having a fair market value on the date of exercise equal to the aggregate exercise price in respect of the Purchased Shares, or (C) if such exercise occurs following the expiration of any underwriters’ lockup associated with an IPO,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foregoing clause (B)) and the Company has declined to do so. An Exercise Notice, once delivered, shall be irrevocable. If a participant’s service terminates other than for Cause following the delivery of an Exercise Notice, the Exercise Notice will be honored by the Company pursuant to the applicable provisions of the participant’s option agreement. For the avoidance of doubt, the participant will not have any rights to distributions or other rights of a shareholder with respect to Shares subject to the Option other than as explicitly set forth in the Option Plan until the participant has given written notice of exercise of the Option, has paid in full for such Shares and, if applicable, has satisfied any other conditions imposed by the Compensation Committee or pursuant to the Option Plan or the participant’s option agreement.</w:t>
      </w:r>
    </w:p>
    <w:p>
      <w:pPr>
        <w:spacing w:after="0" w:line="61"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As a condition to the exercise of any portion of the Option, the participant must, with respect to such exercise, remit to the Company any applicable withholding taxes, which the participant may remit by making a “cashless” or “net settlement” election as described below. Prior to the expiration of any underwriters’ lockup associated with an IPO, if the participant’s service has not terminated or the participant was terminated without Cause or resigned for Good Reason, the participant may choose to satisfy such obligations by electing at the time of exercise to reduce the number of Purchased Shares to be issued upon such exercise by a number of Shares having a fair market value on the date of exercise equal to the minimum withholding and employment taxes payable in respect of the Purchased Shares. Following the</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57" w:lineRule="auto"/>
        <w:rPr>
          <w:sz w:val="20"/>
          <w:szCs w:val="20"/>
          <w:color w:val="auto"/>
        </w:rPr>
      </w:pPr>
      <w:r>
        <w:rPr>
          <w:rFonts w:ascii="Arial" w:cs="Arial" w:eastAsia="Arial" w:hAnsi="Arial"/>
          <w:sz w:val="18"/>
          <w:szCs w:val="18"/>
          <w:color w:val="auto"/>
        </w:rPr>
        <w:t>expiration of any underwriters’ lockup associated with an IPO, the participant may satisfy such obligations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immediately preceding sentence) and the Company has declined to do so.</w:t>
      </w:r>
    </w:p>
    <w:p>
      <w:pPr>
        <w:spacing w:after="0" w:line="80"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i w:val="1"/>
          <w:iCs w:val="1"/>
          <w:color w:val="auto"/>
        </w:rPr>
        <w:t xml:space="preserve">Underwriters’ Lockup. </w:t>
      </w:r>
      <w:r>
        <w:rPr>
          <w:rFonts w:ascii="Arial" w:cs="Arial" w:eastAsia="Arial" w:hAnsi="Arial"/>
          <w:sz w:val="16"/>
          <w:szCs w:val="16"/>
          <w:color w:val="auto"/>
        </w:rPr>
        <w:t>The participant cannot transfer any Shares acquired by the participant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for a period commencing on the day the Company notifies the participant that the Company is in registration under the applicable securities laws until (i) 180 days following the pricing date of an IPO (including this offering) and (ii) 90 days after the pricing date of any subsequent offering or, in each case, (x) such longer period of time as may be reasonably requested by the underwriter(s) in connection with such IPO or subsequent offering and (y) if such IPO or subsequent offering is in connection with a sale or similar corporate transaction, such longer period of time as may be set forth in any lock-up or market stand-off agreement executed by the beneficial owners of at least twenty five percent (25%) of the outstanding Shares immediately before such sale or similar corporate transaction. The participant shall execute and deliver such agreements as may be reasonably requested by the Company or the underwriter(s) that are consistent with the foregoing or which are necessary to give further effect thereto. The Company may impose stop-transfer instructions with respect to the Shares subject to the foregoing restriction until the end of the applicable period.</w:t>
      </w:r>
    </w:p>
    <w:p>
      <w:pPr>
        <w:spacing w:after="0" w:line="61"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i w:val="1"/>
          <w:iCs w:val="1"/>
          <w:color w:val="auto"/>
        </w:rPr>
        <w:t xml:space="preserve">Adjustments Generally.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the participant, whether by adjusting the terms of (including the exercise price of and/or the number of Shares underlying) the Option, the Share Cap, the Reserved Shares or by such other means as the Compensation Committee shall determine.</w:t>
      </w:r>
    </w:p>
    <w:p>
      <w:pPr>
        <w:spacing w:after="0" w:line="58"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Change in Control. </w:t>
      </w:r>
      <w:r>
        <w:rPr>
          <w:rFonts w:ascii="Arial" w:cs="Arial" w:eastAsia="Arial" w:hAnsi="Arial"/>
          <w:sz w:val="16"/>
          <w:szCs w:val="16"/>
          <w:color w:val="auto"/>
        </w:rPr>
        <w:t>In the event of a change of control, (i) any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Compensation Committee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Compensation Committee or the parties to the change of control shall agree. In the event that provision is made in writing as aforesaid in connection with a change of control, the Option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 following the consummation of the change of control, or, to the extent permitted by Section 409A of the U.S. Internal Revenue Code of 1986, as amended (the “Code”), on a deferred basis, in each case as determined by the Compensation Committee in its discretion) in respect of each Share covered by the Option being cancelled in an amount equal to the excess, if any, of the per Share consideration to be paid or distributed to shareholders of the Company in the change of control (the value of any non-cash consideration to be determined by the Compensation Committee in good faith) over the exercise price of the Option. If the amount determined pursuant to the foregoing is zero or less, the affected Option may be cancelled without any payment therefor.</w:t>
      </w:r>
    </w:p>
    <w:p>
      <w:pPr>
        <w:spacing w:after="0" w:line="2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the Compensation Committee, an Option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or assignable by a participant in the Option Plan other than (i) an assignment or transfer to the participant’s spouse or descendants or any trust, limited partnership or other entity solely for the benefit of the participant or their spouse to descendants, provided that the transferee executes an option agreement, and (ii) by will or the laws of descent and distribution.</w:t>
      </w:r>
    </w:p>
    <w:p>
      <w:pPr>
        <w:spacing w:after="0" w:line="80"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i w:val="1"/>
          <w:iCs w:val="1"/>
          <w:color w:val="auto"/>
        </w:rPr>
        <w:t xml:space="preserve">Amendment or Termination of the Option Plan. </w:t>
      </w:r>
      <w:r>
        <w:rPr>
          <w:rFonts w:ascii="Arial" w:cs="Arial" w:eastAsia="Arial" w:hAnsi="Arial"/>
          <w:sz w:val="17"/>
          <w:szCs w:val="17"/>
          <w:color w:val="auto"/>
        </w:rPr>
        <w:t>The Board may amend, alter or discontinue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provided, however, that no alteration or discontinuation may be made without the consent of the participant if such action would diminish any of the rights of such participant under any Option. The Compensation Committee may amend the Option Plan (i) in such a manner as it reasonably deems necessary to comply with applicable law or to avoid the application of any tax penalty and (ii) without the consent of the participant, so long as any such amendment, alteration or discontinuation treats each similarly situated participant in a materially similar manner and has been approved by the CEO.</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Awards Outstanding under the Option Plan</w:t>
      </w:r>
    </w:p>
    <w:p>
      <w:pPr>
        <w:spacing w:after="0" w:line="104" w:lineRule="exact"/>
        <w:rPr>
          <w:sz w:val="20"/>
          <w:szCs w:val="20"/>
          <w:color w:val="auto"/>
        </w:rPr>
      </w:pPr>
    </w:p>
    <w:p>
      <w:pPr>
        <w:ind w:left="1260" w:right="839" w:firstLine="360"/>
        <w:spacing w:after="0" w:line="302" w:lineRule="auto"/>
        <w:rPr>
          <w:sz w:val="20"/>
          <w:szCs w:val="20"/>
          <w:color w:val="auto"/>
        </w:rPr>
      </w:pPr>
      <w:r>
        <w:rPr>
          <w:rFonts w:ascii="Arial" w:cs="Arial" w:eastAsia="Arial" w:hAnsi="Arial"/>
          <w:sz w:val="16"/>
          <w:szCs w:val="16"/>
          <w:color w:val="auto"/>
        </w:rPr>
        <w:t>Each of our NEOs has been granted nonqualified stock options to acquire Shares pursuant to the Option Plan. Each of Messrs. Olesky, Hult and Spencer were granted a nonqualified stock option to purchase 6,763,285, 3,623,188 and 676,329 Shares, respectively, on October 26, 2018. Each of the nonqualified stock option awards granted to Messrs. Olesky, Hult and Spencer was granted with an exercise price of $20.59 per Share.</w:t>
      </w:r>
    </w:p>
    <w:p>
      <w:pPr>
        <w:spacing w:after="0" w:line="46"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option awards vest and become exercisable based on continued employment and achievement of certain performance thresholds, as further described above under “—Narrative Disclosure to Summary Compensation Table—Amended and Restated Tradeweb Markets Inc. 2018 Share Option Plan—Vesting</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all of the options awarded to our NEOs provide for accelerated vesting upon the occurrence of certain events, as described below in “—Additional Narrative Disclosures—Potential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&amp; Restated Tradeweb Markets Inc. PRSU Plan</w:t>
      </w:r>
    </w:p>
    <w:p>
      <w:pPr>
        <w:spacing w:after="0" w:line="104"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The Board has adopted the Amended &amp; Restated Tradeweb Markets Inc. PRSU Plan (previously the TWM LLC PRSU Plan), as may be amended from time to time (the “PRSU Plan”), which provides for the grants of performance-based restricted share units (“PRSUs”). The PRSU Plan was established to recruit and retain key employees and consultants and to motivate key employees, directors and consultants by providing those participating individuals with a proprietary interest in the performance of the Company. Each of our NEOs has been granted PRSUs pursuant to the PRSU Plan. Each of Messrs. Olesky, Hult and Spencer were granted PRSUs on February 26, 2016, May 9, 2017 and February 27, 2018 which vest in full on January 1 of 2019, 2020 and 2021, respectively, as further described below on table titled “Outstanding Equity Awards at Fiscal Year-End.” Following this offering, the maximum dollar value in respect of which PRSUs may be issued at any time under the PRSU Plan is $503,000.</w:t>
      </w:r>
    </w:p>
    <w:p>
      <w:pPr>
        <w:spacing w:after="0" w:line="70" w:lineRule="exact"/>
        <w:rPr>
          <w:sz w:val="20"/>
          <w:szCs w:val="20"/>
          <w:color w:val="auto"/>
        </w:rPr>
      </w:pPr>
    </w:p>
    <w:p>
      <w:pPr>
        <w:ind w:left="1260" w:right="1139" w:firstLine="360"/>
        <w:spacing w:after="0" w:line="342" w:lineRule="auto"/>
        <w:rPr>
          <w:sz w:val="20"/>
          <w:szCs w:val="20"/>
          <w:color w:val="auto"/>
        </w:rPr>
      </w:pPr>
      <w:r>
        <w:rPr>
          <w:rFonts w:ascii="Arial" w:cs="Arial" w:eastAsia="Arial" w:hAnsi="Arial"/>
          <w:sz w:val="16"/>
          <w:szCs w:val="16"/>
          <w:i w:val="1"/>
          <w:iCs w:val="1"/>
          <w:color w:val="auto"/>
        </w:rPr>
        <w:t xml:space="preserve">Grant Process. </w:t>
      </w:r>
      <w:r>
        <w:rPr>
          <w:rFonts w:ascii="Arial" w:cs="Arial" w:eastAsia="Arial" w:hAnsi="Arial"/>
          <w:sz w:val="16"/>
          <w:szCs w:val="16"/>
          <w:color w:val="auto"/>
        </w:rPr>
        <w:t>Grants are communicated to participants as an initial target dollar value and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PRSUs on or as soon as reasonably practicable following February 15 of the applicable plan year.</w:t>
      </w:r>
    </w:p>
    <w:p>
      <w:pPr>
        <w:spacing w:after="0" w:line="16"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i w:val="1"/>
          <w:iCs w:val="1"/>
          <w:color w:val="auto"/>
        </w:rPr>
        <w:t xml:space="preserve">Payment &amp; Performance Modifier. </w:t>
      </w:r>
      <w:r>
        <w:rPr>
          <w:rFonts w:ascii="Arial" w:cs="Arial" w:eastAsia="Arial" w:hAnsi="Arial"/>
          <w:sz w:val="16"/>
          <w:szCs w:val="16"/>
          <w:color w:val="auto"/>
        </w:rPr>
        <w:t>Each year the Compensation Committee establishes a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for the applicable plan year. Based on the extent to which the target is achieved (or missed) a “Performance Modifier” of up to 200% is established. For the calendar year 2018, the Performance Modifier was 150%. Each award of PRSUs shall entitle the participant to receive a cash payment from the Company calculated by</w:t>
      </w:r>
    </w:p>
    <w:p>
      <w:pPr>
        <w:spacing w:after="0" w:line="2" w:lineRule="exact"/>
        <w:rPr>
          <w:sz w:val="20"/>
          <w:szCs w:val="20"/>
          <w:color w:val="auto"/>
        </w:rPr>
      </w:pPr>
    </w:p>
    <w:p>
      <w:pPr>
        <w:ind w:left="1260" w:right="879" w:firstLine="8"/>
        <w:spacing w:after="0" w:line="288" w:lineRule="auto"/>
        <w:tabs>
          <w:tab w:leader="none" w:pos="1475" w:val="left"/>
        </w:tabs>
        <w:numPr>
          <w:ilvl w:val="0"/>
          <w:numId w:val="93"/>
        </w:numPr>
        <w:rPr>
          <w:rFonts w:ascii="Arial" w:cs="Arial" w:eastAsia="Arial" w:hAnsi="Arial"/>
          <w:sz w:val="16"/>
          <w:szCs w:val="16"/>
          <w:color w:val="auto"/>
        </w:rPr>
      </w:pPr>
      <w:r>
        <w:rPr>
          <w:rFonts w:ascii="Arial" w:cs="Arial" w:eastAsia="Arial" w:hAnsi="Arial"/>
          <w:sz w:val="16"/>
          <w:szCs w:val="16"/>
          <w:color w:val="auto"/>
        </w:rPr>
        <w:t>multiplying the number of vested PRSUs subject to the award by the Performance Modifier associated with such award, (ii) multiplying the result in clause (i) by the closing price of a Share on the day before the relevant payment date, as reported on the principal nationally recognized stock exchange on which the Shares are traded on the date of payment and (iii) adding to the result in clause (ii) the product of any dividend equivalent rights payable with respect to the number of PRSUs underlying the award (after applying the Performance Modifier). Payments are made in the month of March following the vesting date related to an award. In all cases, payments shall be made in the calendar year following the applicable vesting date.</w:t>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In December 2018 the Company agreed with its NEOs and certain other executives that, in lieu of the PRSU payments described above, PRSUs granted to such individuals in 2017 and 2018 will be settled exclusively in Shares, less any withholding and employment taxes associated with the settlement of the PRSUs. Settlement of such PRSUs will occur on February 1 of the year following the year in which the applicable PRSUs vest. Going forward, all PRSUs will be settled exclusively in Shares.</w:t>
      </w:r>
    </w:p>
    <w:p>
      <w:pPr>
        <w:spacing w:after="0" w:line="64" w:lineRule="exact"/>
        <w:rPr>
          <w:sz w:val="20"/>
          <w:szCs w:val="20"/>
          <w:color w:val="auto"/>
        </w:rPr>
      </w:pPr>
    </w:p>
    <w:p>
      <w:pPr>
        <w:ind w:left="1260" w:right="899" w:firstLine="360"/>
        <w:spacing w:after="0" w:line="273" w:lineRule="auto"/>
        <w:rPr>
          <w:sz w:val="20"/>
          <w:szCs w:val="20"/>
          <w:color w:val="auto"/>
        </w:rPr>
      </w:pPr>
      <w:r>
        <w:rPr>
          <w:rFonts w:ascii="Arial" w:cs="Arial" w:eastAsia="Arial" w:hAnsi="Arial"/>
          <w:sz w:val="17"/>
          <w:szCs w:val="17"/>
          <w:i w:val="1"/>
          <w:iCs w:val="1"/>
          <w:color w:val="auto"/>
        </w:rPr>
        <w:t xml:space="preserve">Termination of Service. </w:t>
      </w:r>
      <w:r>
        <w:rPr>
          <w:rFonts w:ascii="Arial" w:cs="Arial" w:eastAsia="Arial" w:hAnsi="Arial"/>
          <w:sz w:val="17"/>
          <w:szCs w:val="17"/>
          <w:color w:val="auto"/>
        </w:rPr>
        <w:t>In the event a participant is terminated prior to the scheduled vesting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forfeits any right to payment under the award</w:t>
      </w:r>
      <w:r>
        <w:rPr>
          <w:rFonts w:ascii="Arial" w:cs="Arial" w:eastAsia="Arial" w:hAnsi="Arial"/>
          <w:sz w:val="17"/>
          <w:szCs w:val="17"/>
          <w:i w:val="1"/>
          <w:iCs w:val="1"/>
          <w:color w:val="auto"/>
        </w:rPr>
        <w:t>,</w:t>
      </w:r>
      <w:r>
        <w:rPr>
          <w:rFonts w:ascii="Arial" w:cs="Arial" w:eastAsia="Arial" w:hAnsi="Arial"/>
          <w:sz w:val="17"/>
          <w:szCs w:val="17"/>
          <w:color w:val="auto"/>
        </w:rPr>
        <w:t xml:space="preserve"> unless the participant is terminated (i) without Cause (as defined in the PRSU Plan) within 180 days prior to the relevant vesting date, or (ii) due to the participant’s death or disability or retirement (as such terms are defined in the PRSU Plan), in which case the participant will be entitled to retain a pro-rated number of the PRSUs, based on days worked since the beginning of the year in which the grant is made, which will remain eligible to vest.</w:t>
      </w:r>
    </w:p>
    <w:p>
      <w:pPr>
        <w:spacing w:after="0" w:line="70"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If a participant’s service is terminated without Cause within six months following a change of control (as defined in the PRSU Plan), that participant’s outstanding PRSUs will vest and continue to be paid out in accordance with the PRSU Plan; provided, however, that if the change of control constitutes a “Qualified Change of Control” (meaning it constitutes a change of control or ownership for purposes of Section 409A of the Code), payment will, subject to the following sentence, be made as soon as practicable after the participant’s termination. In the case of a termination without Cause following a Qualified Change of Control, (i) if the termination occurs more than six months before the end of the applicable vesting period, the Performance Modifier applicable to the participant’s PRSUs shall be deemed to be 100%, and (ii) if the termination occurs within six months of the end of the applicable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65"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The PRSUs accumulate dividend equivalent rights in respect of any dividends</w:t>
      </w:r>
      <w:r>
        <w:rPr>
          <w:rFonts w:ascii="Arial" w:cs="Arial" w:eastAsia="Arial" w:hAnsi="Arial"/>
          <w:sz w:val="17"/>
          <w:szCs w:val="17"/>
          <w:i w:val="1"/>
          <w:iCs w:val="1"/>
          <w:color w:val="auto"/>
        </w:rPr>
        <w:t xml:space="preserve"> </w:t>
      </w:r>
      <w:r>
        <w:rPr>
          <w:rFonts w:ascii="Arial" w:cs="Arial" w:eastAsia="Arial" w:hAnsi="Arial"/>
          <w:sz w:val="17"/>
          <w:szCs w:val="17"/>
          <w:color w:val="auto"/>
        </w:rPr>
        <w:t>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shall be added to, and be paid at the same time as, payments in respect of the related PRSUs as set forth above.</w:t>
      </w:r>
    </w:p>
    <w:p>
      <w:pPr>
        <w:spacing w:after="0" w:line="70" w:lineRule="exact"/>
        <w:rPr>
          <w:sz w:val="20"/>
          <w:szCs w:val="20"/>
          <w:color w:val="auto"/>
        </w:rPr>
      </w:pPr>
    </w:p>
    <w:p>
      <w:pPr>
        <w:ind w:left="1260" w:right="919" w:firstLine="360"/>
        <w:spacing w:after="0" w:line="289" w:lineRule="auto"/>
        <w:rPr>
          <w:sz w:val="20"/>
          <w:szCs w:val="20"/>
          <w:color w:val="auto"/>
        </w:rPr>
      </w:pPr>
      <w:r>
        <w:rPr>
          <w:rFonts w:ascii="Arial" w:cs="Arial" w:eastAsia="Arial" w:hAnsi="Arial"/>
          <w:sz w:val="16"/>
          <w:szCs w:val="16"/>
          <w:i w:val="1"/>
          <w:iCs w:val="1"/>
          <w:color w:val="auto"/>
        </w:rPr>
        <w:t xml:space="preserve">Adjustments in General.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maximum dollar value in respect of which PRSUs may be issued at any time under the PRSU Plan, the underlying security to which an award relates or by such other means as the Compensation Committee shall determine.</w:t>
      </w:r>
    </w:p>
    <w:p>
      <w:pPr>
        <w:spacing w:after="0" w:line="59"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i w:val="1"/>
          <w:iCs w:val="1"/>
          <w:color w:val="auto"/>
        </w:rPr>
        <w:t xml:space="preserve">Adjustments in the Event of a Change of Control. </w:t>
      </w:r>
      <w:r>
        <w:rPr>
          <w:rFonts w:ascii="Arial" w:cs="Arial" w:eastAsia="Arial" w:hAnsi="Arial"/>
          <w:sz w:val="16"/>
          <w:szCs w:val="16"/>
          <w:color w:val="auto"/>
        </w:rPr>
        <w:t>In the event of a change of control,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either (A) take equitable actions to preserve the economic rights of affected participants as described above in the section title “Adjustments in General</w:t>
      </w:r>
      <w:r>
        <w:rPr>
          <w:rFonts w:ascii="Arial" w:cs="Arial" w:eastAsia="Arial" w:hAnsi="Arial"/>
          <w:sz w:val="16"/>
          <w:szCs w:val="16"/>
          <w:i w:val="1"/>
          <w:iCs w:val="1"/>
          <w:color w:val="auto"/>
        </w:rPr>
        <w:t>”</w:t>
      </w:r>
      <w:r>
        <w:rPr>
          <w:rFonts w:ascii="Arial" w:cs="Arial" w:eastAsia="Arial" w:hAnsi="Arial"/>
          <w:sz w:val="16"/>
          <w:szCs w:val="16"/>
          <w:color w:val="auto"/>
        </w:rPr>
        <w:t xml:space="preserve"> above (which may include, if the Compensation Committee determines it to be equitable, taking no action) or (B) provide that (i) the price per Share (which is generally deemed to be the closing price of a Share on the day before the relevant determination date as reported on the principal nationally recognized stock exchange on which the Shares are traded) for purposes of determining the value of a PRSU shall be fixed at the per Share consideration received in connection with such change of control, and (ii) the Performance Modifier shall be (1) based on actual performance if the change of control is within 12 months of the relevant vesting date, (2) based on the Company’s average earnings per Share over the preceding two years if the change of control is between 12 and 24 months from the applicable vesting date, or (3) 100% if the change of control is more than 24 months from the applicable vesting date, and, in the case of either (A) or (B), payment with respect to</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vested PRSUs shall continue to be made in accordance with the PRSU Plan. Unless the Compensation Committee takes any action to the contrary in connection with a change of control, the vesting conditions applicable to all outstanding awards shall continue to apply (subject to any provisions governing terminations of service).</w:t>
      </w:r>
    </w:p>
    <w:p>
      <w:pPr>
        <w:spacing w:after="0" w:line="79"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a Qualified Change of Control. </w:t>
      </w:r>
      <w:r>
        <w:rPr>
          <w:rFonts w:ascii="Arial" w:cs="Arial" w:eastAsia="Arial" w:hAnsi="Arial"/>
          <w:sz w:val="16"/>
          <w:szCs w:val="16"/>
          <w:color w:val="auto"/>
        </w:rPr>
        <w:t>In the event of a Qualified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within the 30 days preceding or the 12 months following such Qualified Change of Control, accelerate the vesting of all outstanding awards (including related dividend equivalent rights) and make a cash payment in respect thereof to participants within the 12 month period following such action, all to the extent permitted by and in accordance with Section 409A of the Code. If such Qualified Change of Control occurs more than 12 months prior to the end of the vesting period applicable to an award, the Performance Modifier applicable to such award shall be (A) based on the Company’s average earnings per Share over the preceding two years if the change of control is between 12 and 24 months from the applicable vesting date, or</w:t>
      </w:r>
    </w:p>
    <w:p>
      <w:pPr>
        <w:spacing w:after="0" w:line="1" w:lineRule="exact"/>
        <w:rPr>
          <w:sz w:val="20"/>
          <w:szCs w:val="20"/>
          <w:color w:val="auto"/>
        </w:rPr>
      </w:pPr>
    </w:p>
    <w:p>
      <w:pPr>
        <w:ind w:left="1260" w:right="759" w:firstLine="8"/>
        <w:spacing w:after="0" w:line="269" w:lineRule="auto"/>
        <w:tabs>
          <w:tab w:leader="none" w:pos="1545" w:val="left"/>
        </w:tabs>
        <w:numPr>
          <w:ilvl w:val="0"/>
          <w:numId w:val="94"/>
        </w:numPr>
        <w:rPr>
          <w:rFonts w:ascii="Arial" w:cs="Arial" w:eastAsia="Arial" w:hAnsi="Arial"/>
          <w:sz w:val="17"/>
          <w:szCs w:val="17"/>
          <w:color w:val="auto"/>
        </w:rPr>
      </w:pPr>
      <w:r>
        <w:rPr>
          <w:rFonts w:ascii="Arial" w:cs="Arial" w:eastAsia="Arial" w:hAnsi="Arial"/>
          <w:sz w:val="17"/>
          <w:szCs w:val="17"/>
          <w:color w:val="auto"/>
        </w:rPr>
        <w:t>100% if the change of control is more than 24 months from the applicable vesting date. If such Qualified Change of Control occurs less than 12 months prior to the end of the vesting period applicable to an award, payment shall not be made until the Performance Modifier applicable to such award has been established (and the Compensation Committee’s resolution to terminate the PRSU Plan shall be made at such time as would permit payment pursuant to the foregoing sentence to be made without violating Section 409A of the Code). In all cases, the value attributable to a PRSU that is liquidated in accordance with this provision will be the per Share consideration received in connection with such change of control.</w:t>
      </w:r>
    </w:p>
    <w:p>
      <w:pPr>
        <w:spacing w:after="0" w:line="73"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shall not be transferable or assignable by the participant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w:t>
      </w:r>
    </w:p>
    <w:p>
      <w:pPr>
        <w:spacing w:after="0" w:line="62"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i w:val="1"/>
          <w:iCs w:val="1"/>
          <w:color w:val="auto"/>
        </w:rPr>
        <w:t xml:space="preserve">Amendment or Termination of the PRSU Plan. </w:t>
      </w:r>
      <w:r>
        <w:rPr>
          <w:rFonts w:ascii="Arial" w:cs="Arial" w:eastAsia="Arial" w:hAnsi="Arial"/>
          <w:sz w:val="18"/>
          <w:szCs w:val="18"/>
          <w:color w:val="auto"/>
        </w:rPr>
        <w:t>The Board may amend, alter or discontinue the PRSU Plan,</w:t>
      </w:r>
      <w:r>
        <w:rPr>
          <w:rFonts w:ascii="Arial" w:cs="Arial" w:eastAsia="Arial" w:hAnsi="Arial"/>
          <w:sz w:val="18"/>
          <w:szCs w:val="18"/>
          <w:i w:val="1"/>
          <w:iCs w:val="1"/>
          <w:color w:val="auto"/>
        </w:rPr>
        <w:t xml:space="preserve"> </w:t>
      </w:r>
      <w:r>
        <w:rPr>
          <w:rFonts w:ascii="Arial" w:cs="Arial" w:eastAsia="Arial" w:hAnsi="Arial"/>
          <w:sz w:val="18"/>
          <w:szCs w:val="18"/>
          <w:color w:val="auto"/>
        </w:rPr>
        <w:t>but no amendment, alteration or discontinuation shall be made without the consent of a participant, if such action would diminish any of the rights of such participant under any awards theretofore granted to such participant under the PRSU Plan; provided, however, that the Compensation Committee may amend the PRSU Plan in such manner as it reasonably deems necessary to comply with applicable law or to avoid the application of any tax penalty to any award.</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6"/>
          <w:szCs w:val="16"/>
          <w:i w:val="1"/>
          <w:iCs w:val="1"/>
          <w:color w:val="auto"/>
        </w:rPr>
        <w:t xml:space="preserve">2019 PRSU Grants.  </w:t>
      </w:r>
      <w:r>
        <w:rPr>
          <w:rFonts w:ascii="Arial" w:cs="Arial" w:eastAsia="Arial" w:hAnsi="Arial"/>
          <w:sz w:val="16"/>
          <w:szCs w:val="16"/>
          <w:color w:val="auto"/>
        </w:rPr>
        <w:t>On February 13, 2019, each of the NEOs received a grant of PRSUs for calendar year</w:t>
      </w:r>
    </w:p>
    <w:p>
      <w:pPr>
        <w:spacing w:after="0" w:line="46" w:lineRule="exact"/>
        <w:rPr>
          <w:sz w:val="20"/>
          <w:szCs w:val="20"/>
          <w:color w:val="auto"/>
        </w:rPr>
      </w:pPr>
    </w:p>
    <w:p>
      <w:pPr>
        <w:ind w:left="1260" w:right="759"/>
        <w:spacing w:after="0" w:line="251" w:lineRule="auto"/>
        <w:rPr>
          <w:sz w:val="20"/>
          <w:szCs w:val="20"/>
          <w:color w:val="auto"/>
        </w:rPr>
      </w:pPr>
      <w:r>
        <w:rPr>
          <w:rFonts w:ascii="Arial" w:cs="Arial" w:eastAsia="Arial" w:hAnsi="Arial"/>
          <w:sz w:val="18"/>
          <w:szCs w:val="18"/>
          <w:color w:val="auto"/>
        </w:rPr>
        <w:t>2019 (the “2019 PRSUs”). The NEOs received grants of 149,263 (for Mr. Olesky), 124,551 (for Mr. Hult) and 19,802 (for Mr. Spencer) 2019 PRSUs. The 2019 PRSUs will be settled exclusively in Shares, less any withholding and employment taxes associated with the settlement of the PRSUs. Settlement of the 2019 PRSUs will occur on February 1, 2022. In addition to the terms described above, the 2019 PRSUs provide for full vesting upon retirement or a change of control, and accelerated settlement in the event the change of control is a Qualified Change of Control. Any Shares received in settlement of the 2019 PRSUs will be subject to any underwriters’ lock up period applicable to the Shares. The “Performance Modifier” for the 2019 PRSUs will be between 0% and 200%, based equally on the Company attaining certain annual revenue growth and adjusted EBITDA margin targets.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Tradeweb Markets Inc. 2019 Omnibus Equity Incentive Plan</w:t>
      </w:r>
    </w:p>
    <w:p>
      <w:pPr>
        <w:spacing w:after="0" w:line="10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In connection with this offering, the Board has adopted the Tradeweb Markets Inc. 2019 Omnibus Equity Incentive Plan, as may be amended from time to time (the “Equity Plan”), under which equity awards may be made in respect of shares of Class A common stock of the Company (the “Shares”), consisting of a Share Pool (as defined below) of 8,841,864 Shares, as described further below in the section titled “—Shares Available.” Under the Equity Plan, awards may be granted in the form of options, restricted stock, restricted stock units, stock appreciation rights, cash-based awards, dividend equivalent rights and Share awards.</w:t>
      </w:r>
    </w:p>
    <w:p>
      <w:pPr>
        <w:spacing w:after="0" w:line="7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Equity Plan will be administered by the Compensation Committee.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consist of at least two directors of the Board and may consist of the entire Board. The Compensation Committee will generally consist of at least two directors considered to be non-employee directors for purposes of Section 16 of the Exchange Act.</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firstLine="360"/>
        <w:spacing w:after="0" w:line="312" w:lineRule="auto"/>
        <w:rPr>
          <w:sz w:val="20"/>
          <w:szCs w:val="20"/>
          <w:color w:val="auto"/>
        </w:rPr>
      </w:pPr>
      <w:r>
        <w:rPr>
          <w:rFonts w:ascii="Arial" w:cs="Arial" w:eastAsia="Arial" w:hAnsi="Arial"/>
          <w:sz w:val="16"/>
          <w:szCs w:val="16"/>
          <w:i w:val="1"/>
          <w:iCs w:val="1"/>
          <w:color w:val="auto"/>
        </w:rPr>
        <w:t xml:space="preserve">Plan Term. </w:t>
      </w:r>
      <w:r>
        <w:rPr>
          <w:rFonts w:ascii="Arial" w:cs="Arial" w:eastAsia="Arial" w:hAnsi="Arial"/>
          <w:sz w:val="16"/>
          <w:szCs w:val="16"/>
          <w:color w:val="auto"/>
        </w:rPr>
        <w:t>The Equity Plan will become effective as of the date it is approved by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consummation of this offering, subject to its having been approved by the existing stockholders, and will terminate on the tenth (10th) anniversary thereof, unless earlier terminated by the board of directors.</w:t>
      </w:r>
    </w:p>
    <w:p>
      <w:pPr>
        <w:spacing w:after="0" w:line="39"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Under the Equity Plan, “Eligible Individuals” include officers, employees, consultants,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and non-employee directors providing services to the Company and its subsidiaries and affiliates. The Compensation Committee will determine which Eligible Individuals will receive grants of awards.</w:t>
      </w:r>
    </w:p>
    <w:p>
      <w:pPr>
        <w:spacing w:after="0" w:line="5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Incentives Available. </w:t>
      </w:r>
      <w:r>
        <w:rPr>
          <w:rFonts w:ascii="Arial" w:cs="Arial" w:eastAsia="Arial" w:hAnsi="Arial"/>
          <w:sz w:val="18"/>
          <w:szCs w:val="18"/>
          <w:color w:val="auto"/>
        </w:rPr>
        <w:t>Under the Equity Plan, the Compensation Committee may grant any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awards to an Eligible Individual (to the extent permitted by applicable law): incentive stock options (“ISOs”) and nonqualified stock options (“Nonqualified Stock Options” and, together with ISOs, “Options”); stock appreciation rights (“SARs”); restricted stock grants (“Restricted Stock Grants”); restricted stock units (“RSUs”); Dividend Equivalent Rights; Share Awards; and Cash Based Awards, each as defined below (each type of grant is considered an “Award”).</w:t>
      </w:r>
    </w:p>
    <w:p>
      <w:pPr>
        <w:spacing w:after="0" w:line="8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Subject to any adjustment as provided in the Equity Plan, up to 8,841,864 Shares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pursuant to Awards granted under the Equity Plan (the “Share Pool”), all of which may be granted pursuant to ISOs. The maximum dollar amount of cash or the fair market value of Shares that may be the subject of Awards granted to any non-employee director in any calendar year may not exceed $300,000.</w:t>
      </w:r>
    </w:p>
    <w:p>
      <w:pPr>
        <w:spacing w:after="0" w:line="46"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If an Award or any portion thereof (a) expires or otherwise terminates without all of the Shares covered by such Award having been issued or (b) is settled in cash (i.e., the participant receives cash rather than Shares), such expiration, termination or settlement will not reduce (or otherwise offset) the number of Shares that may be available for issuance under the Equity Plan. Any Shares issued pursuant to an Award that are forfeited and returned back to or reacquired by the Company will again become available for issuance under the Equity Plan. Any Shares tendered or withheld to pay the exercise price of an Option or to satisfy tax withholding obligations associated with any Award, shall not become available again for issuance under the Equity Plan.</w:t>
      </w:r>
    </w:p>
    <w:p>
      <w:pPr>
        <w:spacing w:after="0" w:line="59" w:lineRule="exact"/>
        <w:rPr>
          <w:sz w:val="20"/>
          <w:szCs w:val="20"/>
          <w:color w:val="auto"/>
        </w:rPr>
      </w:pPr>
    </w:p>
    <w:p>
      <w:pPr>
        <w:jc w:val="both"/>
        <w:ind w:left="1260" w:right="879" w:firstLine="360"/>
        <w:spacing w:after="0" w:line="297"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may grant Options (which may be ISOs or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to Eligible Individuals. An ISO is an Option intended to qualify for tax treatment applicable to ISOs under Section 422 of the Code. An ISO may be granted only to Eligible Individuals that are employees of the Company or any of its subsidiaries. A Nonqualified Stock Option is an Option that is not subject to statutory requirements and limitations required for certain tax advantages allowed under Section 422 of the Code.</w:t>
      </w:r>
    </w:p>
    <w:p>
      <w:pPr>
        <w:spacing w:after="0" w:line="5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i w:val="1"/>
          <w:iCs w:val="1"/>
          <w:color w:val="auto"/>
        </w:rPr>
        <w:t xml:space="preserve">Vesting and Exercise Periods. </w:t>
      </w:r>
      <w:r>
        <w:rPr>
          <w:rFonts w:ascii="Arial" w:cs="Arial" w:eastAsia="Arial" w:hAnsi="Arial"/>
          <w:sz w:val="18"/>
          <w:szCs w:val="18"/>
          <w:color w:val="auto"/>
        </w:rPr>
        <w:t>Each Option granted under the Equity Plan may be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will become exercisable in accordance with the specific terms and conditions of the Option, as determined by the Compensation Committee at the time of grant and set forth in an Award agreement. The term of an Option generally may not exceed ten years from the date it is granted (five years in the case of an ISO granted to a ten-percent stockholder). Each Option, to the extent it becomes exercisable, may be exercised at any time in whole or in part until its expiration or termination, unless otherwise provided in the applicable Award agreement.</w:t>
      </w:r>
    </w:p>
    <w:p>
      <w:pPr>
        <w:spacing w:after="0" w:line="81"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i w:val="1"/>
          <w:iCs w:val="1"/>
          <w:color w:val="auto"/>
        </w:rPr>
        <w:t xml:space="preserve">Exercise Price; Method of Exercise. </w:t>
      </w:r>
      <w:r>
        <w:rPr>
          <w:rFonts w:ascii="Arial" w:cs="Arial" w:eastAsia="Arial" w:hAnsi="Arial"/>
          <w:sz w:val="17"/>
          <w:szCs w:val="17"/>
          <w:color w:val="auto"/>
        </w:rPr>
        <w:t>The purchase price per Share with respect to any Option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Equity Plan shall be determined by the Compensation Committee, provided that it may be not less than the greater of the par value of a Share and 100% of the fair market value of a Share on the date the Option is granted (110% in the case of an ISO granted to a ten-percent stockholder). The exercise price may be paid in (a) cash or its equivalent (e.g., a check), (b) if permitted by the Compensation Committee, the transfer, either actually or by attestation, to the Company of Shares that have been held by the participant for at least six (6) months (or such lesser period as may be permitted by the Compensation Committee) prior to the exercise of the Option, such transfer to be upon such terms and conditions as determined by the Compensation Committee or (c) in the form of other property as determined by the Compensation Committee. In addition, (a) the Compensation Committee may provide for the payment of the exercise through Share withholding as a result of which the number of Shares issued upon exercise of an Option would be reduced by a number of Shares having a fair market value (as defined in the Equity</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64" w:lineRule="auto"/>
        <w:rPr>
          <w:sz w:val="20"/>
          <w:szCs w:val="20"/>
          <w:color w:val="auto"/>
        </w:rPr>
      </w:pPr>
      <w:r>
        <w:rPr>
          <w:rFonts w:ascii="Arial" w:cs="Arial" w:eastAsia="Arial" w:hAnsi="Arial"/>
          <w:sz w:val="18"/>
          <w:szCs w:val="18"/>
          <w:color w:val="auto"/>
        </w:rPr>
        <w:t>Plan) equal to the exercise price and (b) an Option may be exercised through a registered broker-dealer pursuant to such cashless exercise procedures that are, from time to time, deemed acceptable by the Compensation Committee. The Company will not issue fractional shares.</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Limits on Incentive Stock Options.  </w:t>
      </w:r>
      <w:r>
        <w:rPr>
          <w:rFonts w:ascii="Arial" w:cs="Arial" w:eastAsia="Arial" w:hAnsi="Arial"/>
          <w:sz w:val="17"/>
          <w:szCs w:val="17"/>
          <w:color w:val="auto"/>
        </w:rPr>
        <w:t>In order to comply with the requirements for ISOs in the Code, no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person may receive a grant of an ISO for stock that would have an aggregate fair market value in excess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$100,000, determined when the ISO is granted, that would be exercisable for the first time during any calendar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If any grant of an ISO is made in excess of such limit, the Options will be treated as Nonqualified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Options according to the order in which they were granted such that the most recently granted Options are first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treated as Nonqualified Stock Options.</w:t>
      </w:r>
    </w:p>
    <w:p>
      <w:pPr>
        <w:spacing w:after="0" w:line="103"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SARs to Eligible Individuals on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determined by the Compensation Committee at the time of grant and set forth in an Award agreement. A SAR may be granted (a) at any time if unrelated to an Option or (b) if related to an Option, either at the time of grant or at any time thereafter during the term of the Option.</w:t>
      </w:r>
    </w:p>
    <w:p>
      <w:pPr>
        <w:spacing w:after="0" w:line="79"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i w:val="1"/>
          <w:iCs w:val="1"/>
          <w:color w:val="auto"/>
        </w:rPr>
        <w:t xml:space="preserve">Vesting; Amount Payable. </w:t>
      </w:r>
      <w:r>
        <w:rPr>
          <w:rFonts w:ascii="Arial" w:cs="Arial" w:eastAsia="Arial" w:hAnsi="Arial"/>
          <w:sz w:val="16"/>
          <w:szCs w:val="16"/>
          <w:color w:val="auto"/>
        </w:rPr>
        <w:t>The Compensation Committee will determine the terms by which a SAR will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and become exercisable, which terms will be set forth in an Award agreement. A SAR is a right granted to a participant to receive an amount equal to the excess of the fair market value of a Share on the last business day preceding the date of exercise of such SAR over the fair market value of a Share on the date the SAR was granted. A SAR may be settled or paid in cash, Shares or a combination of each, in accordance with its terms.</w:t>
      </w:r>
    </w:p>
    <w:p>
      <w:pPr>
        <w:spacing w:after="0" w:line="50" w:lineRule="exact"/>
        <w:rPr>
          <w:sz w:val="20"/>
          <w:szCs w:val="20"/>
          <w:color w:val="auto"/>
        </w:rPr>
      </w:pPr>
    </w:p>
    <w:p>
      <w:pPr>
        <w:ind w:left="1260" w:right="1039" w:firstLine="360"/>
        <w:spacing w:after="0" w:line="342" w:lineRule="auto"/>
        <w:rPr>
          <w:sz w:val="20"/>
          <w:szCs w:val="20"/>
          <w:color w:val="auto"/>
        </w:rPr>
      </w:pPr>
      <w:r>
        <w:rPr>
          <w:rFonts w:ascii="Arial" w:cs="Arial" w:eastAsia="Arial" w:hAnsi="Arial"/>
          <w:sz w:val="16"/>
          <w:szCs w:val="16"/>
          <w:i w:val="1"/>
          <w:iCs w:val="1"/>
          <w:color w:val="auto"/>
        </w:rPr>
        <w:t xml:space="preserve">Duration. </w:t>
      </w:r>
      <w:r>
        <w:rPr>
          <w:rFonts w:ascii="Arial" w:cs="Arial" w:eastAsia="Arial" w:hAnsi="Arial"/>
          <w:sz w:val="16"/>
          <w:szCs w:val="16"/>
          <w:color w:val="auto"/>
        </w:rPr>
        <w:t>Each SAR will be exercisable or be forfeited or expire on such terms as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determines. Except in limited circumstances, a SAR shall have a term of no greater than ten years.</w:t>
      </w:r>
    </w:p>
    <w:p>
      <w:pPr>
        <w:spacing w:after="0" w:line="16"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i w:val="1"/>
          <w:iCs w:val="1"/>
          <w:color w:val="auto"/>
        </w:rPr>
        <w:t xml:space="preserve">Prohibition on Repricings. </w:t>
      </w:r>
      <w:r>
        <w:rPr>
          <w:rFonts w:ascii="Arial" w:cs="Arial" w:eastAsia="Arial" w:hAnsi="Arial"/>
          <w:sz w:val="16"/>
          <w:szCs w:val="16"/>
          <w:color w:val="auto"/>
        </w:rPr>
        <w:t>The Compensation Committee will have no authority to (a)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or amendment (other than in connection with certain changes in capitalization or certain corporate transactions in accordance with the terms of the Equity Plan, as generally described below) that reduces, or would have the effect of reducing, the exercise price of an Option or SAR previously granted under the Equity Plan or</w:t>
      </w:r>
    </w:p>
    <w:p>
      <w:pPr>
        <w:spacing w:after="0" w:line="2" w:lineRule="exact"/>
        <w:rPr>
          <w:sz w:val="20"/>
          <w:szCs w:val="20"/>
          <w:color w:val="auto"/>
        </w:rPr>
      </w:pPr>
    </w:p>
    <w:p>
      <w:pPr>
        <w:ind w:left="1260" w:right="859" w:firstLine="8"/>
        <w:spacing w:after="0" w:line="255" w:lineRule="auto"/>
        <w:tabs>
          <w:tab w:leader="none" w:pos="15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cancel for cash or other consideration any Option whose exercise price or SAR whose base price is greater than the fair market value per share, unless, in either case, the Company’s stockholders approve such adjustment or amendment.</w:t>
      </w:r>
    </w:p>
    <w:p>
      <w:pPr>
        <w:spacing w:after="0" w:line="82"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Compensation Committee may grant dividend equivalent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 Rights”), either in tandem with an Award or as a separate Award, to Eligible Individuals on terms and conditions determined by the Compensation Committee at the time of grant and set forth in an Award agreement. A Dividend Equivalent Right is a right to receive cash or Shares based on the value of dividends that are paid with respect to the Shares. Amounts payable in respect of Dividend Equivalent Rights may be payable currently or, if applicable, deferred until the lapsing of restrictions on such dividend equivalent rights or until the vesting, exercise, payment, settlement or other lapse of restrictions on the Award to which the Dividend Equivalent Rights relate, provided, however, that a Dividend Equivalent Right granted in tandem with another Award that vests based on the achievement of performance goals shall be subject to restrictions and risk of forfeiture to the same extent as the Awards with respect to which such dividends are payable. In the event that the amount payable in respect of Dividend Equivalent Rights is to be deferred, the Compensation Committee shall determine whether such amount is to be held in cash or reinvested in Shares or deemed (notionally) to be reinvested in Shares. Dividend Equivalent Rights may be settled in cash or Shares or a combination thereof, in a single installment or multiple installments, as determined by the Compensation Committee.</w:t>
      </w:r>
    </w:p>
    <w:p>
      <w:pPr>
        <w:spacing w:after="0" w:line="64"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i w:val="1"/>
          <w:iCs w:val="1"/>
          <w:color w:val="auto"/>
        </w:rPr>
        <w:t xml:space="preserve">Restricted Stock; Restricted Stock Units. </w:t>
      </w:r>
      <w:r>
        <w:rPr>
          <w:rFonts w:ascii="Arial" w:cs="Arial" w:eastAsia="Arial" w:hAnsi="Arial"/>
          <w:sz w:val="16"/>
          <w:szCs w:val="16"/>
          <w:color w:val="auto"/>
        </w:rPr>
        <w:t>The Compensation Committee may grant either Shares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phantom Shares (RSUs), in each case subject to certain vesting requirements, on terms and conditions determined by the Compensation Committee at the time of grant and set forth in an Award agreement.</w:t>
      </w:r>
    </w:p>
    <w:p>
      <w:pPr>
        <w:spacing w:after="0" w:line="39"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Unless the Compensation Committee determines otherwise, upon the issuance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Restricted Stock, the participant shall have all of the rights of a shareholder with respect to such Shares, including the right to vote the Shares and to receive all dividends or other distributions made with</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respect to the Shares. The Compensation Committee may determine that the payment to the participant of dividends, or a specified portion thereof, declared or paid on such Shares shall be deferred until the lapsing of the restrictions imposed upon such Shares and held by the Company for the account of the participant until such time, provided, however, that a dividend payable in respect of Restricted Stock that vests based on the achievement of performance goals shall be subject to restrictions and risk of forfeiture to the same extent as the Restricted Stock with respect to which such dividends are payable. Payment of deferred dividends in respect of shares of Restricted Stock shall be made upon the lapsing of restrictions imposed on the shares of Restricted Stock in respect of which the deferred dividends were paid, and any dividends deferred in respect of any shares of Restricted Stock shall be forfeited upon the forfeiture of such shares of Restricted Stock.</w:t>
      </w:r>
    </w:p>
    <w:p>
      <w:pPr>
        <w:spacing w:after="0" w:line="7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Each RSU shall represent the right of the participant to receive a payment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RSU, or on any later date specified by the Compensation Committee, of an amount equal to the fair market value of a Share as of the date the RSU becomes vested, or such later date as determined by the Compensation Committee at the time the RSU is granted (and which will be set forth in the applicable Award agreement). An RSU may be settled or paid in cash, Shares or a combination of each, as determined by the Compensation Committee.</w:t>
      </w:r>
    </w:p>
    <w:p>
      <w:pPr>
        <w:spacing w:after="0" w:line="85"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Share Awards. </w:t>
      </w:r>
      <w:r>
        <w:rPr>
          <w:rFonts w:ascii="Arial" w:cs="Arial" w:eastAsia="Arial" w:hAnsi="Arial"/>
          <w:sz w:val="18"/>
          <w:szCs w:val="18"/>
          <w:color w:val="auto"/>
        </w:rPr>
        <w:t>The Compensation Committee may grant an Award of Shares (“Share Awards”) to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Individual on such terms and conditions as the Compensation Committee may determine at the time of grant. A Share Award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Share Award with respect to which such dividends are payable.</w:t>
      </w:r>
    </w:p>
    <w:p>
      <w:pPr>
        <w:spacing w:after="0" w:line="81"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i w:val="1"/>
          <w:iCs w:val="1"/>
          <w:color w:val="auto"/>
        </w:rPr>
        <w:t xml:space="preserve">Cash Based Awards. </w:t>
      </w:r>
      <w:r>
        <w:rPr>
          <w:rFonts w:ascii="Arial" w:cs="Arial" w:eastAsia="Arial" w:hAnsi="Arial"/>
          <w:sz w:val="16"/>
          <w:szCs w:val="16"/>
          <w:color w:val="auto"/>
        </w:rPr>
        <w:t>The Compensation Committee may grant awards initially denominated by reference to</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specified amount of cash (“Cash Based Awards”) to an Eligible Individual. Cash Based Awards are contingent upon the attainment of specified conditions as may be determined by the Compensation Committee, and represent the right to receive payment of the specified dollar amount or a percentage or multiple of the specified dollar amount as determined pursuant to the applicable Award agreement. The Compensation Committee may at the time a Cash Based Award is granted specify a maximum amount payable in respect of a vested Cash Based Award. Each Award agreement will specify the conditions which must be satisfied in order for the Cash Based Award to vest and the circumstances under which the Award will be forfeited. Payments in respect of the Cash Based Awards will be at such time or times as the Compensation Committee may determine following vesting of the Award. Such payments may be made entirely in Shares valued at their fair market value (as defined in the Equity Plan), entirely in cash or in such combination of Shares and cash as the Compensation Committee in its discretion shall determine at any time prior to such payment.</w:t>
      </w:r>
    </w:p>
    <w:p>
      <w:pPr>
        <w:spacing w:after="0" w:line="61"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i w:val="1"/>
          <w:iCs w:val="1"/>
          <w:color w:val="auto"/>
        </w:rPr>
        <w:t xml:space="preserve">Adjustments upon Changes in Capitalization. </w:t>
      </w:r>
      <w:r>
        <w:rPr>
          <w:rFonts w:ascii="Arial" w:cs="Arial" w:eastAsia="Arial" w:hAnsi="Arial"/>
          <w:sz w:val="17"/>
          <w:szCs w:val="17"/>
          <w:color w:val="auto"/>
        </w:rPr>
        <w:t>In the event that the outstanding Shares are changed into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a different number or kind of Shares or other stock or securities or other equity interests of the Company or another corporation or entity, whether through merger, consolidation, reorganization, recapitalization, reclassification, stock dividend, stock split, reverse stock split, substitution or other similar corporate event or transaction, or an extraordinary dividend or distribution by the Company in respect of its Shares or other capital stock or securities convertible into capital stock, cash, securities or other property, the Compensation Committee shall determine the appropriate adjustments, if any, to (a) the maximum number and kind of shares of stock or other securities or other equity interests as to which Awards may be granted under the Equity Plan, (b) the maximum number and class of Shares or other stock or securities that may be issued upon exercise of ISOs, (c) the number and kind of Shares or other securities covered by any or all outstanding Awards that have been granted under the Equity Plan, and (d) the option price of outstanding Options and the base price of outstanding SARs.</w:t>
      </w:r>
    </w:p>
    <w:p>
      <w:pPr>
        <w:spacing w:after="0" w:line="72" w:lineRule="exact"/>
        <w:rPr>
          <w:sz w:val="20"/>
          <w:szCs w:val="20"/>
          <w:color w:val="auto"/>
        </w:rPr>
      </w:pPr>
    </w:p>
    <w:p>
      <w:pPr>
        <w:jc w:val="both"/>
        <w:ind w:left="1260" w:right="979" w:firstLine="360"/>
        <w:spacing w:after="0" w:line="279" w:lineRule="auto"/>
        <w:rPr>
          <w:sz w:val="20"/>
          <w:szCs w:val="20"/>
          <w:color w:val="auto"/>
        </w:rPr>
      </w:pPr>
      <w:r>
        <w:rPr>
          <w:rFonts w:ascii="Arial" w:cs="Arial" w:eastAsia="Arial" w:hAnsi="Arial"/>
          <w:sz w:val="17"/>
          <w:szCs w:val="17"/>
          <w:i w:val="1"/>
          <w:iCs w:val="1"/>
          <w:color w:val="auto"/>
        </w:rPr>
        <w:t xml:space="preserve">Effect of Change in Control or Certain Other Transactions. </w:t>
      </w:r>
      <w:r>
        <w:rPr>
          <w:rFonts w:ascii="Arial" w:cs="Arial" w:eastAsia="Arial" w:hAnsi="Arial"/>
          <w:sz w:val="17"/>
          <w:szCs w:val="17"/>
          <w:color w:val="auto"/>
        </w:rPr>
        <w:t>Generally, the Award agreement evidencing</w:t>
      </w:r>
      <w:r>
        <w:rPr>
          <w:rFonts w:ascii="Arial" w:cs="Arial" w:eastAsia="Arial" w:hAnsi="Arial"/>
          <w:sz w:val="17"/>
          <w:szCs w:val="17"/>
          <w:i w:val="1"/>
          <w:iCs w:val="1"/>
          <w:color w:val="auto"/>
        </w:rPr>
        <w:t xml:space="preserve"> </w:t>
      </w:r>
      <w:r>
        <w:rPr>
          <w:rFonts w:ascii="Arial" w:cs="Arial" w:eastAsia="Arial" w:hAnsi="Arial"/>
          <w:sz w:val="17"/>
          <w:szCs w:val="17"/>
          <w:color w:val="auto"/>
        </w:rPr>
        <w:t>each Award will provide any specific terms applicable to that Award in the event of a Change in Control of the Company (as defined below). Unless otherwise provided in an Award agreement, in connection with a merger, consolidation, reorganization, recapitalization or other similar change in the</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97" w:lineRule="auto"/>
        <w:rPr>
          <w:sz w:val="20"/>
          <w:szCs w:val="20"/>
          <w:color w:val="auto"/>
        </w:rPr>
      </w:pPr>
      <w:r>
        <w:rPr>
          <w:rFonts w:ascii="Arial" w:cs="Arial" w:eastAsia="Arial" w:hAnsi="Arial"/>
          <w:sz w:val="16"/>
          <w:szCs w:val="16"/>
          <w:color w:val="auto"/>
        </w:rPr>
        <w:t>capital stock of the Company, or a liquidation or dissolution of the Company (each, a “Corporate Transaction”) (a Corporate Transaction may be a transaction that is also a Change in Control), Awards shall either: (a) continue following such Corporate Transaction, which may include, in the discretion of the Compensation Committee or the parties to the Corporate Transaction, the assumption, continuation or substitution of the Awards, in each case with appropriate adjustments to the number, kind of shares, and exercise prices of the Awards; or (b) terminate.</w:t>
      </w:r>
    </w:p>
    <w:p>
      <w:pPr>
        <w:spacing w:after="0" w:line="50" w:lineRule="exact"/>
        <w:rPr>
          <w:sz w:val="20"/>
          <w:szCs w:val="20"/>
          <w:color w:val="auto"/>
        </w:rPr>
      </w:pPr>
    </w:p>
    <w:p>
      <w:pPr>
        <w:ind w:left="1260" w:right="1019" w:firstLine="360"/>
        <w:spacing w:after="0" w:line="284" w:lineRule="auto"/>
        <w:rPr>
          <w:sz w:val="20"/>
          <w:szCs w:val="20"/>
          <w:color w:val="auto"/>
        </w:rPr>
      </w:pPr>
      <w:r>
        <w:rPr>
          <w:rFonts w:ascii="Arial" w:cs="Arial" w:eastAsia="Arial" w:hAnsi="Arial"/>
          <w:sz w:val="16"/>
          <w:szCs w:val="16"/>
          <w:color w:val="auto"/>
        </w:rPr>
        <w:t>For purposes of the Equity Plan, “Change in Control” generally means the occurrence of any of the following events with respect to the Company: (a) any person (other than directly from the Company) first acquires securities of the Company representing fifty percent or more of the combined voting power of the Company’s then outstanding voting securities, other than an acquisition by certain employee benefit plans, the Company or a related entity, or any person in connection with a non-control transaction; (b) a majority of the members of the board of directors is replaced by directors whose appointment or election is not endorsed by a majority of the members of the board of directors serving immediately prior to such appointment or election;</w:t>
      </w:r>
    </w:p>
    <w:p>
      <w:pPr>
        <w:spacing w:after="0" w:line="3" w:lineRule="exact"/>
        <w:rPr>
          <w:sz w:val="20"/>
          <w:szCs w:val="20"/>
          <w:color w:val="auto"/>
        </w:rPr>
      </w:pPr>
    </w:p>
    <w:p>
      <w:pPr>
        <w:ind w:left="1260" w:right="759" w:firstLine="8"/>
        <w:spacing w:after="0" w:line="286" w:lineRule="auto"/>
        <w:tabs>
          <w:tab w:leader="none" w:pos="15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merger, consolidation or reorganization, other than a non-control transaction; (d) a complete liquidation or dissolution or (e) a sale or disposition of all or substantially all of the assets of the Company and its subsidiaries. A “non-control transaction” generally includes any transaction in which (i) stockholders immediately before such transaction continue to own at least a majority of the combined voting power of such resulting entity following the transaction; (ii) a majority of the members of the board of directors immediately before such transaction continue to constitute at least a majority of the board of the surviving entity following such transaction or (iii) with certain exceptions, no person other than any person who had beneficial ownership of more than fifty percent of the combined voting power of the Company’s then outstanding voting securities immediately prior to such transaction has beneficial ownership of more than fifty percent of the combined voting power of the surviving entity’s outstanding voting securities immediately after such transaction.</w:t>
      </w:r>
    </w:p>
    <w:p>
      <w:pPr>
        <w:spacing w:after="0" w:line="62"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If Options or SARs are to terminate in the event of a corporate transaction, the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vested Options or SARs must be provided either (a) fifteen days to exercise their Options or SARs or</w:t>
      </w:r>
    </w:p>
    <w:p>
      <w:pPr>
        <w:ind w:left="1260" w:right="739" w:firstLine="8"/>
        <w:spacing w:after="0" w:line="251" w:lineRule="auto"/>
        <w:tabs>
          <w:tab w:leader="none" w:pos="15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payment (in cash or other consideration) in respect of each Share covered by the Option or SAR being cancelled in an amount equal to the excess, if any, of the per Share price to be paid to stockholders in the Corporate Transaction over the exercise or base price of the Option or the SAR. If the per Share price to be paid to stockholders in the Corporate Transaction is less than the exercise price of the Option or base price of the SAR, the Option or SAR may be terminated without payment of any kind. The holders of unvested Options or SARs may also receive payment, at the discretion of the Compensation Committee, in the same manner as described above for vested Options and SARs. The Compensation Committee may also accelerate the vesting on any unvested Option or SAR and provide holders of such Options or SARs a reasonable opportunity to exercise the Award.</w:t>
      </w:r>
    </w:p>
    <w:p>
      <w:pPr>
        <w:spacing w:after="0" w:line="9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If Awards other than Options and SARs are to terminate in connection with a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holders of vested Awards will be provided, and holders of unvested Awards may be provided, at the discretion of the Compensation Committee, payment (in cash or other consideration upon or immediately following the Corporate Transaction, or, to the extent permitted by Section 409A of the Code, on a deferred basis) in respect of each Share covered by the Award being cancelled in an amount equal to the per Share price to be paid to stockholders in the Corporate Transaction, where the value of any non-cash consideration will be determined by the Compensation Committee in good faith.</w:t>
      </w:r>
    </w:p>
    <w:p>
      <w:pPr>
        <w:spacing w:after="0" w:line="70" w:lineRule="exact"/>
        <w:rPr>
          <w:sz w:val="20"/>
          <w:szCs w:val="20"/>
          <w:color w:val="auto"/>
        </w:rPr>
      </w:pPr>
    </w:p>
    <w:p>
      <w:pPr>
        <w:jc w:val="both"/>
        <w:ind w:left="1260" w:right="1299" w:firstLine="360"/>
        <w:spacing w:after="0" w:line="312" w:lineRule="auto"/>
        <w:rPr>
          <w:sz w:val="20"/>
          <w:szCs w:val="20"/>
          <w:color w:val="auto"/>
        </w:rPr>
      </w:pPr>
      <w:r>
        <w:rPr>
          <w:rFonts w:ascii="Arial" w:cs="Arial" w:eastAsia="Arial" w:hAnsi="Arial"/>
          <w:sz w:val="16"/>
          <w:szCs w:val="16"/>
          <w:color w:val="auto"/>
        </w:rPr>
        <w:t>The Compensation Committee may, in its sole discretion, provide for different treatment for different Awards or Awards held by different parties, and where alternative treatment is available for a participant’s Awards, may allow the participant to choose which treatment will apply to his or her Awards.</w:t>
      </w:r>
    </w:p>
    <w:p>
      <w:pPr>
        <w:spacing w:after="0" w:line="39"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The Equity Plan generally restricts the transfer of any Awards, except (a) transfers by will</w:t>
      </w:r>
      <w:r>
        <w:rPr>
          <w:rFonts w:ascii="Arial" w:cs="Arial" w:eastAsia="Arial" w:hAnsi="Arial"/>
          <w:sz w:val="17"/>
          <w:szCs w:val="17"/>
          <w:i w:val="1"/>
          <w:iCs w:val="1"/>
          <w:color w:val="auto"/>
        </w:rPr>
        <w:t xml:space="preserve"> </w:t>
      </w:r>
      <w:r>
        <w:rPr>
          <w:rFonts w:ascii="Arial" w:cs="Arial" w:eastAsia="Arial" w:hAnsi="Arial"/>
          <w:sz w:val="17"/>
          <w:szCs w:val="17"/>
          <w:color w:val="auto"/>
        </w:rPr>
        <w:t>or the laws of descent and distribution or (b) to a beneficiary designated by the participant, to whom any benefit under the Equity Plan is to be paid or who may exercise any rights of the participant in the event of the participant’s death before he or she receives any or all of such benefit or exercises an Award.</w:t>
      </w:r>
    </w:p>
    <w:p>
      <w:pPr>
        <w:spacing w:after="0" w:line="63" w:lineRule="exact"/>
        <w:rPr>
          <w:sz w:val="20"/>
          <w:szCs w:val="20"/>
          <w:color w:val="auto"/>
        </w:rPr>
      </w:pPr>
    </w:p>
    <w:p>
      <w:pPr>
        <w:jc w:val="both"/>
        <w:ind w:left="1260" w:right="1079" w:firstLine="360"/>
        <w:spacing w:after="0" w:line="286" w:lineRule="auto"/>
        <w:rPr>
          <w:sz w:val="20"/>
          <w:szCs w:val="20"/>
          <w:color w:val="auto"/>
        </w:rPr>
      </w:pPr>
      <w:r>
        <w:rPr>
          <w:rFonts w:ascii="Arial" w:cs="Arial" w:eastAsia="Arial" w:hAnsi="Arial"/>
          <w:sz w:val="17"/>
          <w:szCs w:val="17"/>
          <w:i w:val="1"/>
          <w:iCs w:val="1"/>
          <w:color w:val="auto"/>
        </w:rPr>
        <w:t xml:space="preserve">Amendment or Termination of the Equity Plan. </w:t>
      </w:r>
      <w:r>
        <w:rPr>
          <w:rFonts w:ascii="Arial" w:cs="Arial" w:eastAsia="Arial" w:hAnsi="Arial"/>
          <w:sz w:val="17"/>
          <w:szCs w:val="17"/>
          <w:color w:val="auto"/>
        </w:rPr>
        <w:t>The Equity Plan may be amended or terminated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without shareholder approval unless shareholder approval of the amendment or termination is required under applicable law, regulation or exchange requirement. No amendment may materially and</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79" w:lineRule="auto"/>
        <w:rPr>
          <w:sz w:val="20"/>
          <w:szCs w:val="20"/>
          <w:color w:val="auto"/>
        </w:rPr>
      </w:pPr>
      <w:r>
        <w:rPr>
          <w:rFonts w:ascii="Arial" w:cs="Arial" w:eastAsia="Arial" w:hAnsi="Arial"/>
          <w:sz w:val="17"/>
          <w:szCs w:val="17"/>
          <w:color w:val="auto"/>
        </w:rPr>
        <w:t>adversely alter or materially impair any Award that had been granted under the Equity Plan prior to the amendment without the impacted participant’s consent. The Equity Plan will terminate on the tenth anniversary of its effective date; however, when the Equity Plan terminates, any applicable terms will remain in effect for administration of any Awards outstanding at the time of the Equity Plan’s termination.</w:t>
      </w:r>
    </w:p>
    <w:p>
      <w:pPr>
        <w:spacing w:after="0" w:line="63"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i w:val="1"/>
          <w:iCs w:val="1"/>
          <w:color w:val="auto"/>
        </w:rPr>
        <w:t xml:space="preserve">Forfeiture Events; Clawback. </w:t>
      </w:r>
      <w:r>
        <w:rPr>
          <w:rFonts w:ascii="Arial" w:cs="Arial" w:eastAsia="Arial" w:hAnsi="Arial"/>
          <w:sz w:val="17"/>
          <w:szCs w:val="17"/>
          <w:color w:val="auto"/>
        </w:rPr>
        <w:t>The Compensation Committee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 benefits with respect to an Award shall be subject to reduction, cancellation, forfeiture, clawback or recoupment upon the occurrence of certain specified events or as required by law, in addition to any otherwise applicable forfeiture provisions that apply to the Award.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8"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2018.</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rPr>
              <w:t>Option awards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Stock awards</w:t>
            </w:r>
          </w:p>
        </w:tc>
      </w:tr>
      <w:tr>
        <w:trPr>
          <w:trHeight w:val="144"/>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Equity</w:t>
            </w: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incentive</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plan</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awards: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Number of</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Number of</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Number of</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Market</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securities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2"/>
              </w:rPr>
              <w:t>securities</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securities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1"/>
              </w:rPr>
              <w:t>shares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value of</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underlying</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underlying</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underlying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or units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shares or</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unexercised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1"/>
              </w:rPr>
              <w:t>unexercised</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unexercised</w:t>
            </w: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Option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of stock</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units of stock</w:t>
            </w:r>
          </w:p>
        </w:tc>
      </w:tr>
      <w:tr>
        <w:trPr>
          <w:trHeight w:val="126"/>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tcPr>
          <w:p>
            <w:pPr>
              <w:ind w:left="40"/>
              <w:spacing w:after="0" w:line="126" w:lineRule="exact"/>
              <w:rPr>
                <w:sz w:val="20"/>
                <w:szCs w:val="20"/>
                <w:color w:val="auto"/>
              </w:rPr>
            </w:pPr>
            <w:r>
              <w:rPr>
                <w:rFonts w:ascii="Arial" w:cs="Arial" w:eastAsia="Arial" w:hAnsi="Arial"/>
                <w:sz w:val="13"/>
                <w:szCs w:val="13"/>
                <w:b w:val="1"/>
                <w:bCs w:val="1"/>
                <w:color w:val="auto"/>
              </w:rPr>
              <w:t>Year</w:t>
            </w:r>
          </w:p>
        </w:tc>
        <w:tc>
          <w:tcPr>
            <w:tcW w:w="92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85"/>
              </w:rPr>
              <w:t>options</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0"/>
              </w:rPr>
              <w:t>options</w:t>
            </w:r>
          </w:p>
        </w:tc>
        <w:tc>
          <w:tcPr>
            <w:tcW w:w="280" w:type="dxa"/>
            <w:vAlign w:val="bottom"/>
          </w:tcPr>
          <w:p>
            <w:pPr>
              <w:spacing w:after="0"/>
              <w:rPr>
                <w:sz w:val="10"/>
                <w:szCs w:val="10"/>
                <w:color w:val="auto"/>
              </w:rPr>
            </w:pPr>
          </w:p>
        </w:tc>
        <w:tc>
          <w:tcPr>
            <w:tcW w:w="94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88"/>
              </w:rPr>
              <w:t>unearned</w:t>
            </w:r>
          </w:p>
        </w:tc>
        <w:tc>
          <w:tcPr>
            <w:tcW w:w="72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84"/>
              </w:rPr>
              <w:t>exercise</w:t>
            </w:r>
          </w:p>
        </w:tc>
        <w:tc>
          <w:tcPr>
            <w:tcW w:w="88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0"/>
              </w:rPr>
              <w:t>Option</w:t>
            </w:r>
          </w:p>
        </w:tc>
        <w:tc>
          <w:tcPr>
            <w:tcW w:w="94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87"/>
              </w:rPr>
              <w:t>that have</w:t>
            </w:r>
          </w:p>
        </w:tc>
        <w:tc>
          <w:tcPr>
            <w:tcW w:w="86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that have</w:t>
            </w: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7"/>
              </w:rPr>
              <w:t>of</w:t>
            </w: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exercisable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5"/>
              </w:rPr>
              <w:t>unexercisable</w:t>
            </w:r>
          </w:p>
        </w:tc>
        <w:tc>
          <w:tcPr>
            <w:tcW w:w="2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options</w:t>
            </w: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price</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expiration</w:t>
            </w: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2"/>
              </w:rPr>
              <w:t>not vested</w:t>
            </w:r>
          </w:p>
        </w:tc>
        <w:tc>
          <w:tcPr>
            <w:tcW w:w="860" w:type="dxa"/>
            <w:vAlign w:val="bottom"/>
            <w:gridSpan w:val="2"/>
          </w:tcPr>
          <w:p>
            <w:pPr>
              <w:jc w:val="center"/>
              <w:ind w:right="120"/>
              <w:spacing w:after="0" w:line="171" w:lineRule="exact"/>
              <w:rPr>
                <w:sz w:val="20"/>
                <w:szCs w:val="20"/>
                <w:color w:val="auto"/>
              </w:rPr>
            </w:pPr>
            <w:r>
              <w:rPr>
                <w:rFonts w:ascii="Arial" w:cs="Arial" w:eastAsia="Arial" w:hAnsi="Arial"/>
                <w:sz w:val="13"/>
                <w:szCs w:val="13"/>
                <w:b w:val="1"/>
                <w:bCs w:val="1"/>
                <w:color w:val="auto"/>
                <w:w w:val="81"/>
              </w:rPr>
              <w:t>not vested</w:t>
            </w:r>
            <w:r>
              <w:rPr>
                <w:rFonts w:ascii="Arial" w:cs="Arial" w:eastAsia="Arial" w:hAnsi="Arial"/>
                <w:sz w:val="19"/>
                <w:szCs w:val="19"/>
                <w:b w:val="1"/>
                <w:bCs w:val="1"/>
                <w:color w:val="auto"/>
                <w:w w:val="81"/>
                <w:vertAlign w:val="superscript"/>
              </w:rPr>
              <w:t>(1)</w:t>
            </w:r>
          </w:p>
        </w:tc>
      </w:tr>
      <w:tr>
        <w:trPr>
          <w:trHeight w:val="174"/>
        </w:trPr>
        <w:tc>
          <w:tcPr>
            <w:tcW w:w="1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w:t>
            </w:r>
          </w:p>
        </w:tc>
        <w:tc>
          <w:tcPr>
            <w:tcW w:w="260" w:type="dxa"/>
            <w:vAlign w:val="bottom"/>
            <w:gridSpan w:val="2"/>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2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r>
      <w:tr>
        <w:trPr>
          <w:trHeight w:val="203"/>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Lee Olesky</w:t>
            </w:r>
          </w:p>
        </w:tc>
        <w:tc>
          <w:tcPr>
            <w:tcW w:w="140" w:type="dxa"/>
            <w:vAlign w:val="bottom"/>
            <w:shd w:val="clear" w:color="auto" w:fill="CCEEFF"/>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159,892</w:t>
            </w:r>
            <w:r>
              <w:rPr>
                <w:rFonts w:ascii="Arial" w:cs="Arial" w:eastAsia="Arial" w:hAnsi="Arial"/>
                <w:sz w:val="21"/>
                <w:szCs w:val="21"/>
                <w:color w:val="auto"/>
                <w:w w:val="97"/>
                <w:vertAlign w:val="superscript"/>
              </w:rPr>
              <w:t>(2)</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3,633,684</w:t>
            </w:r>
            <w:r>
              <w:rPr>
                <w:rFonts w:ascii="Arial" w:cs="Arial" w:eastAsia="Arial" w:hAnsi="Arial"/>
                <w:sz w:val="21"/>
                <w:szCs w:val="21"/>
                <w:color w:val="auto"/>
                <w:w w:val="98"/>
                <w:vertAlign w:val="superscript"/>
              </w:rPr>
              <w:t>(3)</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left w:val="single" w:sz="8" w:color="CCEEFF"/>
            </w:tcBorders>
          </w:tcPr>
          <w:p>
            <w:pPr>
              <w:jc w:val="center"/>
              <w:spacing w:after="0"/>
              <w:rPr>
                <w:sz w:val="20"/>
                <w:szCs w:val="20"/>
                <w:color w:val="auto"/>
              </w:rPr>
            </w:pPr>
            <w:r>
              <w:rPr>
                <w:rFonts w:ascii="Arial" w:cs="Arial" w:eastAsia="Arial" w:hAnsi="Arial"/>
                <w:sz w:val="14"/>
                <w:szCs w:val="14"/>
                <w:color w:val="auto"/>
                <w:w w:val="96"/>
              </w:rPr>
              <w:t>2017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191,235</w:t>
            </w:r>
            <w:r>
              <w:rPr>
                <w:rFonts w:ascii="Arial" w:cs="Arial" w:eastAsia="Arial" w:hAnsi="Arial"/>
                <w:sz w:val="21"/>
                <w:szCs w:val="21"/>
                <w:color w:val="auto"/>
                <w:w w:val="97"/>
                <w:vertAlign w:val="superscript"/>
              </w:rPr>
              <w:t>(4)</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4,345,807</w:t>
            </w:r>
            <w:r>
              <w:rPr>
                <w:rFonts w:ascii="Arial" w:cs="Arial" w:eastAsia="Arial" w:hAnsi="Arial"/>
                <w:sz w:val="21"/>
                <w:szCs w:val="21"/>
                <w:color w:val="auto"/>
                <w:w w:val="98"/>
                <w:vertAlign w:val="superscript"/>
              </w:rPr>
              <w:t>(5)</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left w:val="single" w:sz="8" w:color="CCEEFF"/>
            </w:tcBorders>
          </w:tcPr>
          <w:p>
            <w:pPr>
              <w:jc w:val="center"/>
              <w:spacing w:after="0"/>
              <w:rPr>
                <w:sz w:val="20"/>
                <w:szCs w:val="20"/>
                <w:color w:val="auto"/>
              </w:rPr>
            </w:pPr>
            <w:r>
              <w:rPr>
                <w:rFonts w:ascii="Arial" w:cs="Arial" w:eastAsia="Arial" w:hAnsi="Arial"/>
                <w:sz w:val="14"/>
                <w:szCs w:val="14"/>
                <w:color w:val="auto"/>
                <w:w w:val="96"/>
              </w:rPr>
              <w:t>2018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3,381,643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3,381,643</w:t>
            </w: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20.59</w:t>
            </w:r>
          </w:p>
        </w:tc>
        <w:tc>
          <w:tcPr>
            <w:tcW w:w="260" w:type="dxa"/>
            <w:vAlign w:val="bottom"/>
          </w:tcPr>
          <w:p>
            <w:pPr>
              <w:spacing w:after="0"/>
              <w:rPr>
                <w:sz w:val="17"/>
                <w:szCs w:val="17"/>
                <w:color w:val="auto"/>
              </w:rPr>
            </w:pPr>
          </w:p>
        </w:tc>
        <w:tc>
          <w:tcPr>
            <w:tcW w:w="880" w:type="dxa"/>
            <w:vAlign w:val="bottom"/>
            <w:gridSpan w:val="2"/>
          </w:tcPr>
          <w:p>
            <w:pPr>
              <w:jc w:val="right"/>
              <w:ind w:right="140"/>
              <w:spacing w:after="0" w:line="203" w:lineRule="exact"/>
              <w:rPr>
                <w:sz w:val="20"/>
                <w:szCs w:val="20"/>
                <w:color w:val="auto"/>
              </w:rPr>
            </w:pPr>
            <w:r>
              <w:rPr>
                <w:rFonts w:ascii="Arial" w:cs="Arial" w:eastAsia="Arial" w:hAnsi="Arial"/>
                <w:sz w:val="14"/>
                <w:szCs w:val="14"/>
                <w:color w:val="auto"/>
              </w:rPr>
              <w:t>10/26/28</w:t>
            </w:r>
            <w:r>
              <w:rPr>
                <w:rFonts w:ascii="Arial" w:cs="Arial" w:eastAsia="Arial" w:hAnsi="Arial"/>
                <w:sz w:val="21"/>
                <w:szCs w:val="21"/>
                <w:color w:val="auto"/>
                <w:vertAlign w:val="superscript"/>
              </w:rPr>
              <w:t>(6)</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207,713</w:t>
            </w:r>
            <w:r>
              <w:rPr>
                <w:rFonts w:ascii="Arial" w:cs="Arial" w:eastAsia="Arial" w:hAnsi="Arial"/>
                <w:sz w:val="21"/>
                <w:szCs w:val="21"/>
                <w:color w:val="auto"/>
                <w:w w:val="97"/>
                <w:vertAlign w:val="superscript"/>
              </w:rPr>
              <w:t>(7)</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4,720,277</w:t>
            </w:r>
            <w:r>
              <w:rPr>
                <w:rFonts w:ascii="Arial" w:cs="Arial" w:eastAsia="Arial" w:hAnsi="Arial"/>
                <w:sz w:val="21"/>
                <w:szCs w:val="21"/>
                <w:color w:val="auto"/>
                <w:w w:val="98"/>
                <w:vertAlign w:val="superscript"/>
              </w:rPr>
              <w:t>(8)</w:t>
            </w:r>
          </w:p>
        </w:tc>
      </w:tr>
      <w:tr>
        <w:trPr>
          <w:trHeight w:val="314"/>
        </w:trPr>
        <w:tc>
          <w:tcPr>
            <w:tcW w:w="1280" w:type="dxa"/>
            <w:vAlign w:val="bottom"/>
            <w:gridSpan w:val="2"/>
          </w:tcPr>
          <w:p>
            <w:pPr>
              <w:spacing w:after="0"/>
              <w:rPr>
                <w:sz w:val="20"/>
                <w:szCs w:val="20"/>
                <w:color w:val="auto"/>
              </w:rPr>
            </w:pPr>
            <w:r>
              <w:rPr>
                <w:rFonts w:ascii="Arial" w:cs="Arial" w:eastAsia="Arial" w:hAnsi="Arial"/>
                <w:sz w:val="14"/>
                <w:szCs w:val="14"/>
                <w:color w:val="auto"/>
              </w:rPr>
              <w:t>William Hult</w:t>
            </w:r>
          </w:p>
        </w:tc>
        <w:tc>
          <w:tcPr>
            <w:tcW w:w="4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133,243</w:t>
            </w:r>
            <w:r>
              <w:rPr>
                <w:rFonts w:ascii="Arial" w:cs="Arial" w:eastAsia="Arial" w:hAnsi="Arial"/>
                <w:sz w:val="21"/>
                <w:szCs w:val="21"/>
                <w:color w:val="auto"/>
                <w:w w:val="97"/>
                <w:vertAlign w:val="superscript"/>
              </w:rPr>
              <w:t>(2)</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3,028,069</w:t>
            </w:r>
            <w:r>
              <w:rPr>
                <w:rFonts w:ascii="Arial" w:cs="Arial" w:eastAsia="Arial" w:hAnsi="Arial"/>
                <w:sz w:val="21"/>
                <w:szCs w:val="21"/>
                <w:color w:val="auto"/>
                <w:w w:val="98"/>
                <w:vertAlign w:val="superscript"/>
              </w:rPr>
              <w:t>(9)</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159,362</w:t>
            </w:r>
            <w:r>
              <w:rPr>
                <w:rFonts w:ascii="Arial" w:cs="Arial" w:eastAsia="Arial" w:hAnsi="Arial"/>
                <w:sz w:val="21"/>
                <w:szCs w:val="21"/>
                <w:color w:val="auto"/>
                <w:w w:val="97"/>
                <w:vertAlign w:val="superscript"/>
              </w:rPr>
              <w:t>(4)</w:t>
            </w:r>
          </w:p>
        </w:tc>
        <w:tc>
          <w:tcPr>
            <w:tcW w:w="860" w:type="dxa"/>
            <w:vAlign w:val="bottom"/>
            <w:gridSpan w:val="2"/>
          </w:tcPr>
          <w:p>
            <w:pPr>
              <w:jc w:val="right"/>
              <w:spacing w:after="0" w:line="203" w:lineRule="exact"/>
              <w:rPr>
                <w:sz w:val="20"/>
                <w:szCs w:val="20"/>
                <w:color w:val="auto"/>
              </w:rPr>
            </w:pPr>
            <w:r>
              <w:rPr>
                <w:rFonts w:ascii="Arial" w:cs="Arial" w:eastAsia="Arial" w:hAnsi="Arial"/>
                <w:sz w:val="14"/>
                <w:szCs w:val="14"/>
                <w:color w:val="auto"/>
                <w:w w:val="96"/>
              </w:rPr>
              <w:t>3,621,508</w:t>
            </w:r>
            <w:r>
              <w:rPr>
                <w:rFonts w:ascii="Arial" w:cs="Arial" w:eastAsia="Arial" w:hAnsi="Arial"/>
                <w:sz w:val="21"/>
                <w:szCs w:val="21"/>
                <w:color w:val="auto"/>
                <w:w w:val="96"/>
                <w:vertAlign w:val="superscript"/>
              </w:rPr>
              <w:t>(10)</w:t>
            </w:r>
          </w:p>
        </w:tc>
      </w:tr>
      <w:tr>
        <w:trPr>
          <w:trHeight w:val="199"/>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1,811,594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1,811,594</w:t>
            </w: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20.59</w:t>
            </w:r>
          </w:p>
        </w:tc>
        <w:tc>
          <w:tcPr>
            <w:tcW w:w="260" w:type="dxa"/>
            <w:vAlign w:val="bottom"/>
          </w:tcPr>
          <w:p>
            <w:pPr>
              <w:spacing w:after="0"/>
              <w:rPr>
                <w:sz w:val="17"/>
                <w:szCs w:val="17"/>
                <w:color w:val="auto"/>
              </w:rPr>
            </w:pPr>
          </w:p>
        </w:tc>
        <w:tc>
          <w:tcPr>
            <w:tcW w:w="880" w:type="dxa"/>
            <w:vAlign w:val="bottom"/>
            <w:gridSpan w:val="2"/>
          </w:tcPr>
          <w:p>
            <w:pPr>
              <w:jc w:val="right"/>
              <w:ind w:right="140"/>
              <w:spacing w:after="0" w:line="199" w:lineRule="exact"/>
              <w:rPr>
                <w:sz w:val="20"/>
                <w:szCs w:val="20"/>
                <w:color w:val="auto"/>
              </w:rPr>
            </w:pPr>
            <w:r>
              <w:rPr>
                <w:rFonts w:ascii="Arial" w:cs="Arial" w:eastAsia="Arial" w:hAnsi="Arial"/>
                <w:sz w:val="14"/>
                <w:szCs w:val="14"/>
                <w:color w:val="auto"/>
              </w:rPr>
              <w:t>10/26/28</w:t>
            </w:r>
            <w:r>
              <w:rPr>
                <w:rFonts w:ascii="Arial" w:cs="Arial" w:eastAsia="Arial" w:hAnsi="Arial"/>
                <w:sz w:val="21"/>
                <w:szCs w:val="21"/>
                <w:color w:val="auto"/>
                <w:vertAlign w:val="superscript"/>
              </w:rPr>
              <w:t>(6)</w:t>
            </w:r>
          </w:p>
        </w:tc>
        <w:tc>
          <w:tcPr>
            <w:tcW w:w="940" w:type="dxa"/>
            <w:vAlign w:val="bottom"/>
            <w:gridSpan w:val="2"/>
          </w:tcPr>
          <w:p>
            <w:pPr>
              <w:jc w:val="right"/>
              <w:ind w:right="260"/>
              <w:spacing w:after="0" w:line="199" w:lineRule="exact"/>
              <w:rPr>
                <w:sz w:val="20"/>
                <w:szCs w:val="20"/>
                <w:color w:val="auto"/>
              </w:rPr>
            </w:pPr>
            <w:r>
              <w:rPr>
                <w:rFonts w:ascii="Arial" w:cs="Arial" w:eastAsia="Arial" w:hAnsi="Arial"/>
                <w:sz w:val="14"/>
                <w:szCs w:val="14"/>
                <w:color w:val="auto"/>
                <w:w w:val="97"/>
              </w:rPr>
              <w:t>173,182</w:t>
            </w:r>
            <w:r>
              <w:rPr>
                <w:rFonts w:ascii="Arial" w:cs="Arial" w:eastAsia="Arial" w:hAnsi="Arial"/>
                <w:sz w:val="21"/>
                <w:szCs w:val="21"/>
                <w:color w:val="auto"/>
                <w:w w:val="97"/>
                <w:vertAlign w:val="superscript"/>
              </w:rPr>
              <w:t>(7)</w:t>
            </w:r>
          </w:p>
        </w:tc>
        <w:tc>
          <w:tcPr>
            <w:tcW w:w="860" w:type="dxa"/>
            <w:vAlign w:val="bottom"/>
            <w:gridSpan w:val="2"/>
          </w:tcPr>
          <w:p>
            <w:pPr>
              <w:jc w:val="right"/>
              <w:spacing w:after="0" w:line="199" w:lineRule="exact"/>
              <w:rPr>
                <w:sz w:val="20"/>
                <w:szCs w:val="20"/>
                <w:color w:val="auto"/>
              </w:rPr>
            </w:pPr>
            <w:r>
              <w:rPr>
                <w:rFonts w:ascii="Arial" w:cs="Arial" w:eastAsia="Arial" w:hAnsi="Arial"/>
                <w:sz w:val="14"/>
                <w:szCs w:val="14"/>
                <w:color w:val="auto"/>
                <w:w w:val="96"/>
              </w:rPr>
              <w:t>3,935,537</w:t>
            </w:r>
            <w:r>
              <w:rPr>
                <w:rFonts w:ascii="Arial" w:cs="Arial" w:eastAsia="Arial" w:hAnsi="Arial"/>
                <w:sz w:val="21"/>
                <w:szCs w:val="21"/>
                <w:color w:val="auto"/>
                <w:w w:val="96"/>
                <w:vertAlign w:val="superscript"/>
              </w:rPr>
              <w:t>(11)</w:t>
            </w:r>
          </w:p>
        </w:tc>
      </w:tr>
      <w:tr>
        <w:trPr>
          <w:trHeight w:val="311"/>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Spencer</w:t>
            </w:r>
          </w:p>
        </w:tc>
        <w:tc>
          <w:tcPr>
            <w:tcW w:w="140" w:type="dxa"/>
            <w:vAlign w:val="bottom"/>
            <w:shd w:val="clear" w:color="auto" w:fill="CCEEFF"/>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31,352</w:t>
            </w:r>
            <w:r>
              <w:rPr>
                <w:rFonts w:ascii="Arial" w:cs="Arial" w:eastAsia="Arial" w:hAnsi="Arial"/>
                <w:sz w:val="21"/>
                <w:szCs w:val="21"/>
                <w:color w:val="auto"/>
                <w:vertAlign w:val="superscript"/>
              </w:rPr>
              <w:t>(2)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712,486</w:t>
            </w:r>
            <w:r>
              <w:rPr>
                <w:rFonts w:ascii="Arial" w:cs="Arial" w:eastAsia="Arial" w:hAnsi="Arial"/>
                <w:sz w:val="21"/>
                <w:szCs w:val="21"/>
                <w:color w:val="auto"/>
                <w:vertAlign w:val="superscript"/>
              </w:rPr>
              <w:t>(12)</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left w:val="single" w:sz="8" w:color="CCEEFF"/>
            </w:tcBorders>
          </w:tcPr>
          <w:p>
            <w:pPr>
              <w:jc w:val="center"/>
              <w:spacing w:after="0"/>
              <w:rPr>
                <w:sz w:val="20"/>
                <w:szCs w:val="20"/>
                <w:color w:val="auto"/>
              </w:rPr>
            </w:pPr>
            <w:r>
              <w:rPr>
                <w:rFonts w:ascii="Arial" w:cs="Arial" w:eastAsia="Arial" w:hAnsi="Arial"/>
                <w:sz w:val="14"/>
                <w:szCs w:val="14"/>
                <w:color w:val="auto"/>
                <w:w w:val="96"/>
              </w:rPr>
              <w:t>2017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rPr>
              <w:t>35,712</w:t>
            </w:r>
            <w:r>
              <w:rPr>
                <w:rFonts w:ascii="Arial" w:cs="Arial" w:eastAsia="Arial" w:hAnsi="Arial"/>
                <w:sz w:val="21"/>
                <w:szCs w:val="21"/>
                <w:color w:val="auto"/>
                <w:vertAlign w:val="superscript"/>
              </w:rPr>
              <w:t>(4)</w:t>
            </w:r>
          </w:p>
        </w:tc>
        <w:tc>
          <w:tcPr>
            <w:tcW w:w="860" w:type="dxa"/>
            <w:vAlign w:val="bottom"/>
            <w:gridSpan w:val="2"/>
          </w:tcPr>
          <w:p>
            <w:pPr>
              <w:jc w:val="right"/>
              <w:spacing w:after="0" w:line="203" w:lineRule="exact"/>
              <w:rPr>
                <w:sz w:val="20"/>
                <w:szCs w:val="20"/>
                <w:color w:val="auto"/>
              </w:rPr>
            </w:pPr>
            <w:r>
              <w:rPr>
                <w:rFonts w:ascii="Arial" w:cs="Arial" w:eastAsia="Arial" w:hAnsi="Arial"/>
                <w:sz w:val="14"/>
                <w:szCs w:val="14"/>
                <w:color w:val="auto"/>
              </w:rPr>
              <w:t>811,541</w:t>
            </w:r>
            <w:r>
              <w:rPr>
                <w:rFonts w:ascii="Arial" w:cs="Arial" w:eastAsia="Arial" w:hAnsi="Arial"/>
                <w:sz w:val="21"/>
                <w:szCs w:val="21"/>
                <w:color w:val="auto"/>
                <w:vertAlign w:val="superscript"/>
              </w:rPr>
              <w:t>(13)</w:t>
            </w:r>
          </w:p>
        </w:tc>
      </w:tr>
      <w:tr>
        <w:trPr>
          <w:trHeight w:val="284"/>
        </w:trPr>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left w:val="single" w:sz="8" w:color="CCEEFF"/>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338,164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338,164</w:t>
            </w: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20.59</w:t>
            </w:r>
          </w:p>
        </w:tc>
        <w:tc>
          <w:tcPr>
            <w:tcW w:w="2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10/26/28</w:t>
            </w:r>
            <w:r>
              <w:rPr>
                <w:rFonts w:ascii="Arial" w:cs="Arial" w:eastAsia="Arial" w:hAnsi="Arial"/>
                <w:sz w:val="21"/>
                <w:szCs w:val="21"/>
                <w:color w:val="auto"/>
                <w:vertAlign w:val="superscript"/>
              </w:rPr>
              <w:t>(6)</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31,663</w:t>
            </w:r>
            <w:r>
              <w:rPr>
                <w:rFonts w:ascii="Arial" w:cs="Arial" w:eastAsia="Arial" w:hAnsi="Arial"/>
                <w:sz w:val="21"/>
                <w:szCs w:val="21"/>
                <w:color w:val="auto"/>
                <w:vertAlign w:val="superscript"/>
              </w:rPr>
              <w:t>(7)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719,546</w:t>
            </w:r>
            <w:r>
              <w:rPr>
                <w:rFonts w:ascii="Arial" w:cs="Arial" w:eastAsia="Arial" w:hAnsi="Arial"/>
                <w:sz w:val="21"/>
                <w:szCs w:val="21"/>
                <w:color w:val="auto"/>
                <w:vertAlign w:val="superscript"/>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-1362710</wp:posOffset>
            </wp:positionV>
            <wp:extent cx="4485005" cy="13550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485005" cy="1355090"/>
                    </a:xfrm>
                    <a:prstGeom prst="rect">
                      <a:avLst/>
                    </a:prstGeom>
                    <a:noFill/>
                  </pic:spPr>
                </pic:pic>
              </a:graphicData>
            </a:graphic>
          </wp:anchor>
        </w:drawing>
      </w:r>
    </w:p>
    <w:p>
      <w:pPr>
        <w:spacing w:after="0" w:line="155" w:lineRule="exact"/>
        <w:rPr>
          <w:sz w:val="20"/>
          <w:szCs w:val="20"/>
          <w:color w:val="auto"/>
        </w:rPr>
      </w:pPr>
    </w:p>
    <w:p>
      <w:pPr>
        <w:ind w:left="1620" w:hanging="352"/>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the Company’s December 31, 2018 valuation.</w:t>
      </w:r>
    </w:p>
    <w:p>
      <w:pPr>
        <w:spacing w:after="0" w:line="157" w:lineRule="exact"/>
        <w:rPr>
          <w:rFonts w:ascii="Arial" w:cs="Arial" w:eastAsia="Arial" w:hAnsi="Arial"/>
          <w:sz w:val="18"/>
          <w:szCs w:val="18"/>
          <w:color w:val="auto"/>
        </w:rPr>
      </w:pPr>
    </w:p>
    <w:p>
      <w:pPr>
        <w:ind w:left="1620" w:hanging="352"/>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PRSUs which vested in full on January 1, 2019.</w:t>
      </w:r>
    </w:p>
    <w:p>
      <w:pPr>
        <w:spacing w:after="0" w:line="171"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$341,228 in respect of this grant of PRSUs, to be paid at the time the award itself settles.</w:t>
      </w:r>
    </w:p>
    <w:p>
      <w:pPr>
        <w:spacing w:after="0" w:line="116" w:lineRule="exact"/>
        <w:rPr>
          <w:rFonts w:ascii="Arial" w:cs="Arial" w:eastAsia="Arial" w:hAnsi="Arial"/>
          <w:sz w:val="18"/>
          <w:szCs w:val="18"/>
          <w:color w:val="auto"/>
        </w:rPr>
      </w:pPr>
    </w:p>
    <w:p>
      <w:pPr>
        <w:ind w:left="1620" w:hanging="352"/>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2020, subject to continued employment.</w:t>
      </w:r>
    </w:p>
    <w:p>
      <w:pPr>
        <w:spacing w:after="0" w:line="157"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$290,380 in respect of this grant of PRSUs, to be paid at the time the award itself settles.</w:t>
      </w:r>
    </w:p>
    <w:p>
      <w:pPr>
        <w:spacing w:after="0" w:line="116" w:lineRule="exact"/>
        <w:rPr>
          <w:rFonts w:ascii="Arial" w:cs="Arial" w:eastAsia="Arial" w:hAnsi="Arial"/>
          <w:sz w:val="18"/>
          <w:szCs w:val="18"/>
          <w:color w:val="auto"/>
        </w:rPr>
      </w:pPr>
    </w:p>
    <w:p>
      <w:pPr>
        <w:ind w:left="1620" w:right="819" w:hanging="352"/>
        <w:spacing w:after="0" w:line="291" w:lineRule="auto"/>
        <w:tabs>
          <w:tab w:leader="none" w:pos="16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NEO received a grant of options on October 26, 2018, which vest as follows: (i) 50% vests based over time on continued employment, vesting 25% on January 1, 2019 and 25% on each anniversary thereafter until January 2022, with accelerated vesting for the tranches scheduled to vest on January 1, 2021 and January 1, 2022 upon the effectiveness of this offering and (ii) 50% vests based on satisfying certain performance conditions, including achievement of EBITDA and revenue targets, for calendar years 2018, 2019, 2020 and 2021, as further described above under “—Narrative Disclosure to Summary Compensation Table—Amended and Restated Tradeweb Markets Inc. 2018 Share Option Plan—Vesting.”</w:t>
      </w:r>
    </w:p>
    <w:p>
      <w:pPr>
        <w:spacing w:after="0" w:line="113" w:lineRule="exact"/>
        <w:rPr>
          <w:rFonts w:ascii="Arial" w:cs="Arial" w:eastAsia="Arial" w:hAnsi="Arial"/>
          <w:sz w:val="16"/>
          <w:szCs w:val="16"/>
          <w:color w:val="auto"/>
        </w:rPr>
      </w:pPr>
    </w:p>
    <w:p>
      <w:pPr>
        <w:ind w:left="1620" w:hanging="352"/>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2021, subject to continued employment.</w:t>
      </w:r>
    </w:p>
    <w:p>
      <w:pPr>
        <w:spacing w:after="0" w:line="157"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$167,047 in respect of this grant of PRSUs, to be paid at the time the award itself settles.</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right="879" w:hanging="352"/>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$284,356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879" w:hanging="352"/>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$241,983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879" w:hanging="352"/>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$139,276 in respect of this grant of PRSUs, to be paid at the time the award itself settles.</w:t>
      </w:r>
    </w:p>
    <w:p>
      <w:pPr>
        <w:spacing w:after="0" w:line="102"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$66,907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$54,226 in respect of this grant of PRSUs, to be paid at the time the award itself settles.</w:t>
      </w:r>
    </w:p>
    <w:p>
      <w:pPr>
        <w:spacing w:after="0" w:line="102"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$25,464 in respect of this grant of PRSUs, to be paid at the time the award itself settles.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Narrative Disclosures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 Programs</w:t>
      </w:r>
    </w:p>
    <w:p>
      <w:pPr>
        <w:spacing w:after="0" w:line="104" w:lineRule="exact"/>
        <w:rPr>
          <w:sz w:val="20"/>
          <w:szCs w:val="20"/>
          <w:color w:val="auto"/>
        </w:rPr>
      </w:pPr>
    </w:p>
    <w:p>
      <w:pPr>
        <w:ind w:left="1260" w:right="979" w:firstLine="360"/>
        <w:spacing w:after="0" w:line="264"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The NEOs are eligible to participate in the 401(k) Plan on the same terms as other participating employees.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10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Pursuant to the terms of the Employment Agreements, each of Messrs. Olesky and Hult are entitled to receive certain payments in connection with certain termination events.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(i) Mr. Olesky or Mr. Hult is terminated by TWM LLC without Cause (as defined below),</w:t>
      </w:r>
    </w:p>
    <w:p>
      <w:pPr>
        <w:spacing w:after="0" w:line="35" w:lineRule="exact"/>
        <w:rPr>
          <w:sz w:val="20"/>
          <w:szCs w:val="20"/>
          <w:color w:val="auto"/>
        </w:rPr>
      </w:pPr>
    </w:p>
    <w:p>
      <w:pPr>
        <w:ind w:left="1260" w:right="879" w:firstLine="8"/>
        <w:spacing w:after="0" w:line="284" w:lineRule="auto"/>
        <w:tabs>
          <w:tab w:leader="none" w:pos="152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Olesky or Mr. Hult resigns for Good Reason (as defined below), or (iii) TMW LLC elects not to renew Mr. Olesky’s or Mr. Hult’s Employment Agreement prior to its expiration or any subsequent renewal term and Mr. Olesky or Mr. Hult’s Employment Agreement and Mr. Olesky’s or Mr. Hult’s employment is terminated, each of Mr. Olesky and Mr. Hult are entitled to (A) continuation of their base salary for eighteen (18) months following termination, (B) the average annual bonus earned by the executive for the two calendar years ending immediately prior to the year of termination, payable in equal installments over eighteen (18) months, (C) a pro rata bonus for the year of termination based on actual TWM LLC performance for the year of termination, payable at the time when bonuses are otherwise paid, (D) (x) for Mr. Olesky, continuation of healthcare benefits provided by TWM LLC generally to its active senior executive officers, including employee contributions, until the Mr. Olesky reaches age 65, or, if not permitted by applicable law, private health insurance on substantially similar terms and conditions, and (y) for Mr. Hult, continuation of the healthcare benefits for eighteen (18) months, and (E) any earned but unpaid base salary, accrued vacation pay and unreimbursed business expenses and other benefits payable in accordance with TWM LLC policies. Payment of the severance benefits described above is subject to each of Mr. Olesky’s and Mr. Hult’s continued compliance with the restrictive covenants included in the applicable Employment Agreement, and their execution of a release of claims.</w:t>
      </w:r>
    </w:p>
    <w:p>
      <w:pPr>
        <w:spacing w:after="0" w:line="69" w:lineRule="exact"/>
        <w:rPr>
          <w:sz w:val="20"/>
          <w:szCs w:val="20"/>
          <w:color w:val="auto"/>
        </w:rPr>
      </w:pPr>
    </w:p>
    <w:p>
      <w:pPr>
        <w:jc w:val="both"/>
        <w:ind w:left="1260" w:right="1539" w:firstLine="360"/>
        <w:spacing w:after="0" w:line="264" w:lineRule="auto"/>
        <w:rPr>
          <w:sz w:val="20"/>
          <w:szCs w:val="20"/>
          <w:color w:val="auto"/>
        </w:rPr>
      </w:pPr>
      <w:r>
        <w:rPr>
          <w:rFonts w:ascii="Arial" w:cs="Arial" w:eastAsia="Arial" w:hAnsi="Arial"/>
          <w:sz w:val="18"/>
          <w:szCs w:val="18"/>
          <w:color w:val="auto"/>
        </w:rPr>
        <w:t>In the event that Mr. Olesky’s employment ends by reason of his retirement, he will be entitled to continuation of healthcare benefits generally provided to senior executive officers, including employee contributions, until Mr. Olesky reaches age 65.</w:t>
      </w:r>
    </w:p>
    <w:p>
      <w:pPr>
        <w:spacing w:after="0" w:line="73"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For purposes of the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(other than as a result of the executive’s physical or mental incapacity); (c) the executive has failed to attempt, in good faith, to follow the lawful written direction of, for Mr. Olesky, the Board and for Mr. Hult, the Chief Executive Officer; or (d) the executive has been convicted of, or entered a plea of guilty or no contest to, a felony (other than as a result of vicarious liability or a traffic infraction).</w:t>
      </w:r>
    </w:p>
    <w:p>
      <w:pPr>
        <w:spacing w:after="0" w:line="79"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For purposes of the Employment Agreements, “Good Reason” means any of the following that remains uncured (if curable) for ten (10) days after TWM LLC’s receipt of written notice thereof from the executive not later than 60 days following the later of the occurrence of the event or the date the executive should reasonably have knowledge thereof: (a) the executive is serving in a position below, for Mr. Olesky, Chief Executive Officer (or is not reporting directly to the Board) and for Mr. Hult, President; (b) a material diminution of the executive’s duties, responsibilities or authority or the assignment to the executive of duties or responsibilities that are materially adversely inconsistent with the executive’s then position; (c) TWM LLC has reduced the executive’s annual salary or annual bonus target; (d) TWM LLC has required the executive to relocate his principal place of employment by more than fifty (50) miles; or (e) any material breach by TWM LLC of the Employment Agreement. In addition, for Mr. Olesky, “Good Reason” means a change in control (as defined in the Option Plan) which does not include an IPO. In addition, each of Mr. Olesky and Mr. Hult will have the right to resign for Good Reason in the event his employment is transferred to an affiliate of TWM LLC (unless such affiliate is a subsidiary of TWM LLC).</w:t>
      </w:r>
    </w:p>
    <w:p>
      <w:pPr>
        <w:spacing w:after="0" w:line="80"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Pursuant to the Employment Agreements, in the event that any of the payments or benefits provided by TWM LLC or any affiliate to TWM LLC (whether pursuant to the terms of the Employment Agreement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 notwithstanding that all or some portion of such benefits may be subject to the Excise Tax. If a reduction in the Parachute Payment is necessary, then the reduction shall occur in accordance with the terms of the Employment Agreement.</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Policy</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Mr. Spencer is entitled to severance pursuant to a severance policy maintained by the Company for certain executive officers. In the event of a termination without cause, Mr. Spencer is entitled to (i) continuation of his base salary for twelve (12) months following termination, (ii) a payment equal to the sum of (A) his highest annual bonus received in respect of the two most recent calendar years completed prior to his termination, paid at the time bonuses are generally paid to senior executives (the “Reference Bonus Amount”), and (B) the Reference Bonus Amount prorated for the number of days worked during the calendar year preceding the date of termination, paid at the time when annual bonuses are paid generally to senior executives; and (iii) subject to Mr. Spencer’s timely election of continuation coverage under the Consolidated Omnibus Budget Reconciliation Act of 1985, as amended (“COBRA”) and Mr. Spencer’s copayment of premiums associated with such coverage consistent with amounts paid by Mr. Spencer during the year in which his termination occurs, reimbursement, on a monthly basis, for the excess costs of continued health benefits for Mr. Spencer and his covered dependents for twelve (12) months following the date of termination, or until such earlier date on which COBRA coverage for Mr. Spencer and his covered dependents terminates in accordance with COBRA.</w:t>
      </w:r>
    </w:p>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Equity Awards</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Each of our NEOs has been granted an Option under the Option Plan (described above under “—Narrative Disclosure to Summary Compensation Table—Amended and Restated Tradeweb Markets Inc. 2018 Share Option Plan”). Each of the Options granted to our NEOs fully vest as to the Time-Based Portion of the Option upon a change of control (as defined in the Option Plan), or upon the NEO’s termination without Cause or resignation for Good Reason within 90 days prior to the change of control.</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In addition, in the event of a change in control prior to the date the Compensation Committee determines whether the relevant performance-conditions for the Performance-Based Portion of such Option have been achieved for 2021 (as further described above under “—Narrative Disclosure to Summary Compensation Table—Amended and Restated Tradeweb Markets Inc. 2018 Share Option Plan—Vesting”)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61"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Each of our NEOs has been granted PRSUs under the PRSU Plan (as described above under “—Narrative Disclosure to Summary Compensation Table—Amended &amp; Restated Tradeweb Markets Inc. PRSU Plan”). In the event an NEO is terminated (i) without Cause (as defined in the PRSU Plan) within 180 days prior to the relevant vesting date, or (ii) due to the participant’s death or disability or retirement (as such terms are defined in the PRSU Plan), the NEO will be entitled to retain a pro-rated number of the PRSUs, based on days worked for the vesting period, which will remain eligible to vest. In the event the NEO’s service is terminated without Cause within six months following a change of control (as defined in the PRSU Plan), any outstanding PRSUs will vest and continue to be paid out in accordance with the PRSU Plan; provided, however, that if the change of control constitutes a “Qualified Change of Control” (as defined above), payment applicable to the PRSU will be made as soon as practicable after the participant’s termination, as further described above under “—Narrative Disclosure to Summary Compensation Table—Amended &amp; Restated Tradeweb Markets Inc. PRSU Plan—Termination of Service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directors of TWM LLC for fiscal year 2018 included Lee Olesky, William Hult, Debra Walton, Steve Leith, Richard Lee, Christopher Conetta, Bill Hartnett, Rob Huntington, Rana Yared, Thomas Pluta, Patrick Haskell (Chairman), Simon Wilson and Paolo Croce. The director of Tradeweb Markets Inc. for fiscal year 2018 was Lee Olesky. None of these individuals received any compensation for their service as directors in fiscal year 2018.</w:t>
      </w:r>
    </w:p>
    <w:p>
      <w:pPr>
        <w:spacing w:after="0" w:line="80"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For fiscal year 2019, the directors of Tradeweb Markets Inc. will be Martin Brand, John Finley, Scott Ganeles, William Hult, Paula Madoff, Lee Olesky, Thomas Pluta, Debra Walton and Brian West. For 2019, Messrs. Pluta and Ganeles and Ms. Madoff will receive an annual retainer of $100,000 and an annual grant of restricted stock units of the Company with a value of $100,000 at the time of grant. In addition, all non-employee directors will be reimbursed for out-of-pocket expenses incurred in attending board and committee meetings, and for the reasonable and documented expenses incurred to attend programs designed to provide continuing education regarding the appropriate role of directors in a public company. The non-employee committee chair for each of the audit, compensation and nominating and governance committees will be entitled to additional annual retainers of $20,000, $15,000 and $10,000, respectively. Non-employee members of the audit, compensation and nominating and governance committees will be entitled to additional annual retainers of $7,500, $5,000 and $4,000,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jc w:val="both"/>
        <w:ind w:left="1260" w:right="839" w:firstLine="36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Class A common stock and our Class B common stock, after the completion of the Reorganization Transactions, including this offering and the application of the net proceeds therefrom as described in “Use of Proceeds,” for:</w:t>
      </w:r>
    </w:p>
    <w:p>
      <w:pPr>
        <w:spacing w:after="0" w:line="71" w:lineRule="exact"/>
        <w:rPr>
          <w:sz w:val="20"/>
          <w:szCs w:val="20"/>
          <w:color w:val="auto"/>
        </w:rPr>
      </w:pPr>
    </w:p>
    <w:p>
      <w:pPr>
        <w:ind w:left="1980" w:right="1199" w:hanging="352"/>
        <w:spacing w:after="0" w:line="277"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or our Class B common stock;</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879" w:firstLine="360"/>
        <w:spacing w:after="0" w:line="284"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have vested or will vest within 60 days of the date of this prospectus are considered outstanding, although these shares are not considered outstanding for purposes of computing</w:t>
      </w:r>
    </w:p>
    <w:p>
      <w:pPr>
        <w:spacing w:after="0" w:line="3"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0219"/>
          </w:cols>
          <w:pgMar w:left="240" w:top="132" w:right="1440" w:bottom="1440" w:gutter="0" w:footer="0" w:header="0"/>
        </w:sectPr>
      </w:pPr>
    </w:p>
    <w:p>
      <w:pPr>
        <w:spacing w:after="0" w:line="64"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Class A</w:t>
      </w:r>
    </w:p>
    <w:p>
      <w:pPr>
        <w:jc w:val="center"/>
        <w:ind w:left="4020"/>
        <w:spacing w:after="0" w:line="201" w:lineRule="auto"/>
        <w:rPr>
          <w:sz w:val="20"/>
          <w:szCs w:val="20"/>
          <w:color w:val="auto"/>
        </w:rPr>
      </w:pPr>
      <w:r>
        <w:rPr>
          <w:rFonts w:ascii="Arial" w:cs="Arial" w:eastAsia="Arial" w:hAnsi="Arial"/>
          <w:sz w:val="14"/>
          <w:szCs w:val="14"/>
          <w:b w:val="1"/>
          <w:bCs w:val="1"/>
          <w:color w:val="auto"/>
        </w:rPr>
        <w:t>Common Stock (on a</w:t>
      </w:r>
    </w:p>
    <w:p>
      <w:pPr>
        <w:jc w:val="center"/>
        <w:ind w:left="4020"/>
        <w:spacing w:after="0" w:line="191" w:lineRule="auto"/>
        <w:rPr>
          <w:sz w:val="20"/>
          <w:szCs w:val="20"/>
          <w:color w:val="auto"/>
        </w:rPr>
      </w:pPr>
      <w:r>
        <w:rPr>
          <w:rFonts w:ascii="Arial" w:cs="Arial" w:eastAsia="Arial" w:hAnsi="Arial"/>
          <w:sz w:val="14"/>
          <w:szCs w:val="14"/>
          <w:b w:val="1"/>
          <w:bCs w:val="1"/>
          <w:color w:val="auto"/>
        </w:rPr>
        <w:t>fully exchanged and</w:t>
      </w:r>
    </w:p>
    <w:p>
      <w:pPr>
        <w:jc w:val="center"/>
        <w:ind w:left="4060"/>
        <w:spacing w:after="0" w:line="233" w:lineRule="auto"/>
        <w:rPr>
          <w:sz w:val="20"/>
          <w:szCs w:val="20"/>
          <w:color w:val="auto"/>
        </w:rPr>
      </w:pPr>
      <w:r>
        <w:rPr>
          <w:rFonts w:ascii="Arial" w:cs="Arial" w:eastAsia="Arial" w:hAnsi="Arial"/>
          <w:sz w:val="14"/>
          <w:szCs w:val="14"/>
          <w:b w:val="1"/>
          <w:bCs w:val="1"/>
          <w:color w:val="auto"/>
        </w:rPr>
        <w:t>converted basis)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-10795</wp:posOffset>
            </wp:positionV>
            <wp:extent cx="117475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ind w:left="1260"/>
        <w:spacing w:after="0"/>
        <w:tabs>
          <w:tab w:leader="none" w:pos="4180" w:val="left"/>
          <w:tab w:leader="none" w:pos="5040" w:val="left"/>
          <w:tab w:leader="none" w:pos="5580" w:val="left"/>
        </w:tabs>
        <w:rPr>
          <w:sz w:val="20"/>
          <w:szCs w:val="20"/>
          <w:color w:val="auto"/>
        </w:rPr>
      </w:pPr>
      <w:r>
        <w:rPr>
          <w:rFonts w:ascii="Arial" w:cs="Arial" w:eastAsia="Arial" w:hAnsi="Arial"/>
          <w:sz w:val="14"/>
          <w:szCs w:val="14"/>
          <w:b w:val="1"/>
          <w:bCs w:val="1"/>
          <w:color w:val="auto"/>
        </w:rPr>
        <w:t>Name of beneficial owner</w:t>
      </w:r>
      <w:r>
        <w:rPr>
          <w:sz w:val="20"/>
          <w:szCs w:val="20"/>
          <w:color w:val="auto"/>
        </w:rPr>
        <w:tab/>
      </w: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w:t>
      </w:r>
      <w:r>
        <w:rPr>
          <w:sz w:val="20"/>
          <w:szCs w:val="20"/>
          <w:color w:val="auto"/>
        </w:rPr>
        <w:tab/>
      </w: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0</wp:posOffset>
            </wp:positionV>
            <wp:extent cx="5213985" cy="1714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91"/>
              </w:rPr>
              <w:t>Class B Common Stock</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Combined Voting</w:t>
            </w:r>
          </w:p>
        </w:tc>
      </w:tr>
      <w:tr>
        <w:trPr>
          <w:trHeight w:val="216"/>
        </w:trPr>
        <w:tc>
          <w:tcPr>
            <w:tcW w:w="2240" w:type="dxa"/>
            <w:vAlign w:val="bottom"/>
            <w:gridSpan w:val="4"/>
          </w:tcPr>
          <w:p>
            <w:pPr>
              <w:jc w:val="center"/>
              <w:ind w:right="220"/>
              <w:spacing w:after="0" w:line="216" w:lineRule="exact"/>
              <w:rPr>
                <w:sz w:val="20"/>
                <w:szCs w:val="20"/>
                <w:color w:val="auto"/>
              </w:rPr>
            </w:pPr>
            <w:r>
              <w:rPr>
                <w:rFonts w:ascii="Arial" w:cs="Arial" w:eastAsia="Arial" w:hAnsi="Arial"/>
                <w:sz w:val="14"/>
                <w:szCs w:val="14"/>
                <w:b w:val="1"/>
                <w:bCs w:val="1"/>
                <w:color w:val="auto"/>
                <w:w w:val="88"/>
              </w:rPr>
              <w:t>(on a fully exchanged basis)</w:t>
            </w:r>
            <w:r>
              <w:rPr>
                <w:rFonts w:ascii="Arial" w:cs="Arial" w:eastAsia="Arial" w:hAnsi="Arial"/>
                <w:sz w:val="21"/>
                <w:szCs w:val="21"/>
                <w:b w:val="1"/>
                <w:bCs w:val="1"/>
                <w:color w:val="auto"/>
                <w:w w:val="88"/>
                <w:vertAlign w:val="superscript"/>
              </w:rPr>
              <w:t>(2)</w:t>
            </w:r>
          </w:p>
        </w:tc>
        <w:tc>
          <w:tcPr>
            <w:tcW w:w="1120" w:type="dxa"/>
            <w:vAlign w:val="bottom"/>
            <w:gridSpan w:val="2"/>
          </w:tcPr>
          <w:p>
            <w:pPr>
              <w:jc w:val="center"/>
              <w:spacing w:after="0" w:line="216" w:lineRule="exact"/>
              <w:rPr>
                <w:sz w:val="20"/>
                <w:szCs w:val="20"/>
                <w:color w:val="auto"/>
              </w:rPr>
            </w:pPr>
            <w:r>
              <w:rPr>
                <w:rFonts w:ascii="Arial" w:cs="Arial" w:eastAsia="Arial" w:hAnsi="Arial"/>
                <w:sz w:val="14"/>
                <w:szCs w:val="14"/>
                <w:b w:val="1"/>
                <w:bCs w:val="1"/>
                <w:color w:val="auto"/>
                <w:w w:val="87"/>
              </w:rPr>
              <w:t>Power</w:t>
            </w:r>
            <w:r>
              <w:rPr>
                <w:rFonts w:ascii="Arial" w:cs="Arial" w:eastAsia="Arial" w:hAnsi="Arial"/>
                <w:sz w:val="21"/>
                <w:szCs w:val="21"/>
                <w:b w:val="1"/>
                <w:bCs w:val="1"/>
                <w:color w:val="auto"/>
                <w:w w:val="87"/>
                <w:vertAlign w:val="superscript"/>
              </w:rPr>
              <w:t>(3)</w:t>
            </w:r>
          </w:p>
        </w:tc>
      </w:tr>
      <w:tr>
        <w:trPr>
          <w:trHeight w:val="237"/>
        </w:trPr>
        <w:tc>
          <w:tcPr>
            <w:tcW w:w="8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860" w:type="dxa"/>
            <w:vAlign w:val="bottom"/>
            <w:tcBorders>
              <w:top w:val="single" w:sz="8" w:color="auto"/>
            </w:tcBorders>
          </w:tcPr>
          <w:p>
            <w:pPr>
              <w:jc w:val="right"/>
              <w:ind w:right="327"/>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w:t>
            </w:r>
          </w:p>
        </w:tc>
        <w:tc>
          <w:tcPr>
            <w:tcW w:w="300" w:type="dxa"/>
            <w:vAlign w:val="bottom"/>
            <w:tcBorders>
              <w:top w:val="single" w:sz="8" w:color="auto"/>
            </w:tcBorders>
          </w:tcPr>
          <w:p>
            <w:pPr>
              <w:ind w:left="20"/>
              <w:spacing w:after="0" w:line="236" w:lineRule="exact"/>
              <w:rPr>
                <w:sz w:val="20"/>
                <w:szCs w:val="20"/>
                <w:color w:val="auto"/>
              </w:rPr>
            </w:pPr>
            <w:r>
              <w:rPr>
                <w:rFonts w:ascii="Arial" w:cs="Arial" w:eastAsia="Arial" w:hAnsi="Arial"/>
                <w:sz w:val="27"/>
                <w:szCs w:val="27"/>
                <w:b w:val="1"/>
                <w:bCs w:val="1"/>
                <w:color w:val="auto"/>
                <w:w w:val="88"/>
                <w:vertAlign w:val="subscript"/>
              </w:rPr>
              <w:t>%</w:t>
            </w:r>
            <w:r>
              <w:rPr>
                <w:rFonts w:ascii="Arial" w:cs="Arial" w:eastAsia="Arial" w:hAnsi="Arial"/>
                <w:sz w:val="11"/>
                <w:szCs w:val="11"/>
                <w:b w:val="1"/>
                <w:bCs w:val="1"/>
                <w:color w:val="auto"/>
                <w:w w:val="88"/>
              </w:rPr>
              <w:t>(†)</w:t>
            </w:r>
          </w:p>
        </w:tc>
        <w:tc>
          <w:tcPr>
            <w:tcW w:w="220" w:type="dxa"/>
            <w:vAlign w:val="bottom"/>
          </w:tcPr>
          <w:p>
            <w:pPr>
              <w:spacing w:after="0"/>
              <w:rPr>
                <w:sz w:val="20"/>
                <w:szCs w:val="20"/>
                <w:color w:val="auto"/>
              </w:rPr>
            </w:pPr>
          </w:p>
        </w:tc>
        <w:tc>
          <w:tcPr>
            <w:tcW w:w="560" w:type="dxa"/>
            <w:vAlign w:val="bottom"/>
            <w:tcBorders>
              <w:top w:val="single" w:sz="8" w:color="auto"/>
            </w:tcBorders>
          </w:tcPr>
          <w:p>
            <w:pPr>
              <w:jc w:val="right"/>
              <w:ind w:right="154"/>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w:t>
            </w:r>
          </w:p>
        </w:tc>
        <w:tc>
          <w:tcPr>
            <w:tcW w:w="560" w:type="dxa"/>
            <w:vAlign w:val="bottom"/>
            <w:tcBorders>
              <w:top w:val="single" w:sz="8" w:color="auto"/>
            </w:tcBorders>
          </w:tcPr>
          <w:p>
            <w:pPr>
              <w:ind w:left="20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w:t>
            </w:r>
          </w:p>
        </w:tc>
      </w:tr>
    </w:tbl>
    <w:p>
      <w:pPr>
        <w:spacing w:after="0" w:line="20" w:lineRule="exact"/>
        <w:rPr>
          <w:sz w:val="20"/>
          <w:szCs w:val="20"/>
          <w:color w:val="auto"/>
        </w:rPr>
      </w:pPr>
    </w:p>
    <w:p>
      <w:pPr>
        <w:sectPr>
          <w:pgSz w:w="11900" w:h="16838" w:orient="portrait"/>
          <w:cols w:equalWidth="0" w:num="2">
            <w:col w:w="5880" w:space="240"/>
            <w:col w:w="4099"/>
          </w:cols>
          <w:pgMar w:left="24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1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580" w:type="dxa"/>
            <w:vAlign w:val="bottom"/>
            <w:gridSpan w:val="2"/>
          </w:tcPr>
          <w:p>
            <w:pPr>
              <w:spacing w:after="0" w:line="230" w:lineRule="exact"/>
              <w:rPr>
                <w:sz w:val="20"/>
                <w:szCs w:val="20"/>
                <w:color w:val="auto"/>
              </w:rPr>
            </w:pPr>
            <w:r>
              <w:rPr>
                <w:rFonts w:ascii="Arial" w:cs="Arial" w:eastAsia="Arial" w:hAnsi="Arial"/>
                <w:sz w:val="16"/>
                <w:szCs w:val="16"/>
                <w:color w:val="auto"/>
              </w:rPr>
              <w:t>Entities affiliated with Refinitiv</w:t>
            </w:r>
            <w:r>
              <w:rPr>
                <w:rFonts w:ascii="Arial" w:cs="Arial" w:eastAsia="Arial" w:hAnsi="Arial"/>
                <w:sz w:val="25"/>
                <w:szCs w:val="25"/>
                <w:color w:val="auto"/>
                <w:vertAlign w:val="superscript"/>
              </w:rPr>
              <w:t>(4)</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119,921,521</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54.0%</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54.0%</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2"/>
              </w:rPr>
              <w:t>119,921,521</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w w:val="92"/>
              </w:rPr>
              <w:t>70.3%</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72.1%</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68.2%</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69.8%</w:t>
            </w:r>
          </w:p>
        </w:tc>
      </w:tr>
      <w:tr>
        <w:trPr>
          <w:trHeight w:val="176"/>
        </w:trPr>
        <w:tc>
          <w:tcPr>
            <w:tcW w:w="2780" w:type="dxa"/>
            <w:vAlign w:val="bottom"/>
            <w:gridSpan w:val="3"/>
          </w:tcPr>
          <w:p>
            <w:pPr>
              <w:spacing w:after="0" w:line="176" w:lineRule="exact"/>
              <w:rPr>
                <w:sz w:val="20"/>
                <w:szCs w:val="20"/>
                <w:color w:val="auto"/>
              </w:rPr>
            </w:pPr>
            <w:r>
              <w:rPr>
                <w:rFonts w:ascii="Arial" w:cs="Arial" w:eastAsia="Arial" w:hAnsi="Arial"/>
                <w:sz w:val="16"/>
                <w:szCs w:val="16"/>
                <w:color w:val="auto"/>
              </w:rPr>
              <w:t>JPMC Strategic Investments I</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2780" w:type="dxa"/>
            <w:vAlign w:val="bottom"/>
            <w:gridSpan w:val="3"/>
          </w:tcPr>
          <w:p>
            <w:pPr>
              <w:ind w:left="180"/>
              <w:spacing w:after="0" w:line="257" w:lineRule="exact"/>
              <w:rPr>
                <w:sz w:val="20"/>
                <w:szCs w:val="20"/>
                <w:color w:val="auto"/>
              </w:rPr>
            </w:pPr>
            <w:r>
              <w:rPr>
                <w:rFonts w:ascii="Arial" w:cs="Arial" w:eastAsia="Arial" w:hAnsi="Arial"/>
                <w:sz w:val="16"/>
                <w:szCs w:val="16"/>
                <w:color w:val="auto"/>
              </w:rPr>
              <w:t>Corporation</w:t>
            </w:r>
            <w:r>
              <w:rPr>
                <w:rFonts w:ascii="Arial" w:cs="Arial" w:eastAsia="Arial" w:hAnsi="Arial"/>
                <w:sz w:val="25"/>
                <w:szCs w:val="25"/>
                <w:color w:val="auto"/>
                <w:vertAlign w:val="superscript"/>
              </w:rPr>
              <w:t>(5)</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12,972,714</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5.8%</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5.3%</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2,422,714</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1.4%</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1.5%</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57"/>
        </w:trPr>
        <w:tc>
          <w:tcPr>
            <w:tcW w:w="2780" w:type="dxa"/>
            <w:vAlign w:val="bottom"/>
            <w:gridSpan w:val="3"/>
            <w:shd w:val="clear" w:color="auto" w:fill="CCEEFF"/>
          </w:tcPr>
          <w:p>
            <w:pPr>
              <w:spacing w:after="0" w:line="257" w:lineRule="exact"/>
              <w:rPr>
                <w:sz w:val="20"/>
                <w:szCs w:val="20"/>
                <w:color w:val="auto"/>
              </w:rPr>
            </w:pPr>
            <w:r>
              <w:rPr>
                <w:rFonts w:ascii="Arial" w:cs="Arial" w:eastAsia="Arial" w:hAnsi="Arial"/>
                <w:sz w:val="16"/>
                <w:szCs w:val="16"/>
                <w:color w:val="auto"/>
              </w:rPr>
              <w:t>Lee Olesky</w:t>
            </w:r>
            <w:r>
              <w:rPr>
                <w:rFonts w:ascii="Arial" w:cs="Arial" w:eastAsia="Arial" w:hAnsi="Arial"/>
                <w:sz w:val="25"/>
                <w:szCs w:val="25"/>
                <w:color w:val="auto"/>
                <w:vertAlign w:val="superscript"/>
              </w:rPr>
              <w:t>(6)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3,590,130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208,487</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57"/>
        </w:trPr>
        <w:tc>
          <w:tcPr>
            <w:tcW w:w="2780" w:type="dxa"/>
            <w:vAlign w:val="bottom"/>
            <w:gridSpan w:val="3"/>
          </w:tcPr>
          <w:p>
            <w:pPr>
              <w:spacing w:after="0" w:line="257" w:lineRule="exact"/>
              <w:rPr>
                <w:sz w:val="20"/>
                <w:szCs w:val="20"/>
                <w:color w:val="auto"/>
              </w:rPr>
            </w:pPr>
            <w:r>
              <w:rPr>
                <w:rFonts w:ascii="Arial" w:cs="Arial" w:eastAsia="Arial" w:hAnsi="Arial"/>
                <w:sz w:val="16"/>
                <w:szCs w:val="16"/>
                <w:color w:val="auto"/>
              </w:rPr>
              <w:t>Billy Hult</w:t>
            </w:r>
            <w:r>
              <w:rPr>
                <w:rFonts w:ascii="Arial" w:cs="Arial" w:eastAsia="Arial" w:hAnsi="Arial"/>
                <w:sz w:val="25"/>
                <w:szCs w:val="25"/>
                <w:color w:val="auto"/>
                <w:vertAlign w:val="superscript"/>
              </w:rPr>
              <w:t>(7)</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1,880,775</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69,181</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57"/>
        </w:trPr>
        <w:tc>
          <w:tcPr>
            <w:tcW w:w="2780" w:type="dxa"/>
            <w:vAlign w:val="bottom"/>
            <w:gridSpan w:val="3"/>
            <w:shd w:val="clear" w:color="auto" w:fill="CCEEFF"/>
          </w:tcPr>
          <w:p>
            <w:pPr>
              <w:spacing w:after="0" w:line="257" w:lineRule="exact"/>
              <w:rPr>
                <w:sz w:val="20"/>
                <w:szCs w:val="20"/>
                <w:color w:val="auto"/>
              </w:rPr>
            </w:pPr>
            <w:r>
              <w:rPr>
                <w:rFonts w:ascii="Arial" w:cs="Arial" w:eastAsia="Arial" w:hAnsi="Arial"/>
                <w:sz w:val="16"/>
                <w:szCs w:val="16"/>
                <w:color w:val="auto"/>
              </w:rPr>
              <w:t>Jay Spencer</w:t>
            </w:r>
            <w:r>
              <w:rPr>
                <w:rFonts w:ascii="Arial" w:cs="Arial" w:eastAsia="Arial" w:hAnsi="Arial"/>
                <w:sz w:val="25"/>
                <w:szCs w:val="25"/>
                <w:color w:val="auto"/>
                <w:vertAlign w:val="superscript"/>
              </w:rPr>
              <w:t>(8)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415,297</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77,133</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57"/>
        </w:trPr>
        <w:tc>
          <w:tcPr>
            <w:tcW w:w="2780" w:type="dxa"/>
            <w:vAlign w:val="bottom"/>
            <w:gridSpan w:val="3"/>
          </w:tcPr>
          <w:p>
            <w:pPr>
              <w:spacing w:after="0" w:line="257" w:lineRule="exact"/>
              <w:rPr>
                <w:sz w:val="20"/>
                <w:szCs w:val="20"/>
                <w:color w:val="auto"/>
              </w:rPr>
            </w:pPr>
            <w:r>
              <w:rPr>
                <w:rFonts w:ascii="Arial" w:cs="Arial" w:eastAsia="Arial" w:hAnsi="Arial"/>
                <w:sz w:val="16"/>
                <w:szCs w:val="16"/>
                <w:color w:val="auto"/>
              </w:rPr>
              <w:t>Martin Brand</w:t>
            </w:r>
            <w:r>
              <w:rPr>
                <w:rFonts w:ascii="Arial" w:cs="Arial" w:eastAsia="Arial" w:hAnsi="Arial"/>
                <w:sz w:val="25"/>
                <w:szCs w:val="25"/>
                <w:color w:val="auto"/>
                <w:vertAlign w:val="superscript"/>
              </w:rPr>
              <w:t>(9)</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57"/>
        </w:trPr>
        <w:tc>
          <w:tcPr>
            <w:tcW w:w="2780" w:type="dxa"/>
            <w:vAlign w:val="bottom"/>
            <w:gridSpan w:val="3"/>
            <w:shd w:val="clear" w:color="auto" w:fill="CCEEFF"/>
          </w:tcPr>
          <w:p>
            <w:pPr>
              <w:spacing w:after="0" w:line="257" w:lineRule="exact"/>
              <w:rPr>
                <w:sz w:val="20"/>
                <w:szCs w:val="20"/>
                <w:color w:val="auto"/>
              </w:rPr>
            </w:pPr>
            <w:r>
              <w:rPr>
                <w:rFonts w:ascii="Arial" w:cs="Arial" w:eastAsia="Arial" w:hAnsi="Arial"/>
                <w:sz w:val="16"/>
                <w:szCs w:val="16"/>
                <w:color w:val="auto"/>
              </w:rPr>
              <w:t>John G. Finley</w:t>
            </w:r>
            <w:r>
              <w:rPr>
                <w:rFonts w:ascii="Arial" w:cs="Arial" w:eastAsia="Arial" w:hAnsi="Arial"/>
                <w:sz w:val="25"/>
                <w:szCs w:val="25"/>
                <w:color w:val="auto"/>
                <w:vertAlign w:val="superscript"/>
              </w:rPr>
              <w:t>(10)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40"/>
        </w:trPr>
        <w:tc>
          <w:tcPr>
            <w:tcW w:w="2780" w:type="dxa"/>
            <w:vAlign w:val="bottom"/>
            <w:gridSpan w:val="3"/>
          </w:tcPr>
          <w:p>
            <w:pPr>
              <w:spacing w:after="0"/>
              <w:rPr>
                <w:sz w:val="20"/>
                <w:szCs w:val="20"/>
                <w:color w:val="auto"/>
              </w:rPr>
            </w:pPr>
            <w:r>
              <w:rPr>
                <w:rFonts w:ascii="Arial" w:cs="Arial" w:eastAsia="Arial" w:hAnsi="Arial"/>
                <w:sz w:val="16"/>
                <w:szCs w:val="16"/>
                <w:color w:val="auto"/>
              </w:rPr>
              <w:t>Scott C. Ganeles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6"/>
        </w:trPr>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Paula B. Madoff</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r>
      <w:tr>
        <w:trPr>
          <w:trHeight w:val="240"/>
        </w:trPr>
        <w:tc>
          <w:tcPr>
            <w:tcW w:w="2780" w:type="dxa"/>
            <w:vAlign w:val="bottom"/>
            <w:gridSpan w:val="3"/>
          </w:tcPr>
          <w:p>
            <w:pPr>
              <w:spacing w:after="0"/>
              <w:rPr>
                <w:sz w:val="20"/>
                <w:szCs w:val="20"/>
                <w:color w:val="auto"/>
              </w:rPr>
            </w:pPr>
            <w:r>
              <w:rPr>
                <w:rFonts w:ascii="Arial" w:cs="Arial" w:eastAsia="Arial" w:hAnsi="Arial"/>
                <w:sz w:val="16"/>
                <w:szCs w:val="16"/>
                <w:color w:val="auto"/>
              </w:rPr>
              <w:t>Thomas Pluta</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60"/>
        </w:trPr>
        <w:tc>
          <w:tcPr>
            <w:tcW w:w="2780" w:type="dxa"/>
            <w:vAlign w:val="bottom"/>
            <w:gridSpan w:val="3"/>
            <w:shd w:val="clear" w:color="auto" w:fill="CCEEFF"/>
          </w:tcPr>
          <w:p>
            <w:pPr>
              <w:spacing w:after="0" w:line="259" w:lineRule="exact"/>
              <w:rPr>
                <w:sz w:val="20"/>
                <w:szCs w:val="20"/>
                <w:color w:val="auto"/>
              </w:rPr>
            </w:pPr>
            <w:r>
              <w:rPr>
                <w:rFonts w:ascii="Arial" w:cs="Arial" w:eastAsia="Arial" w:hAnsi="Arial"/>
                <w:sz w:val="16"/>
                <w:szCs w:val="16"/>
                <w:color w:val="auto"/>
              </w:rPr>
              <w:t>Debra Walton</w:t>
            </w:r>
            <w:r>
              <w:rPr>
                <w:rFonts w:ascii="Arial" w:cs="Arial" w:eastAsia="Arial" w:hAnsi="Arial"/>
                <w:sz w:val="25"/>
                <w:szCs w:val="25"/>
                <w:color w:val="auto"/>
                <w:vertAlign w:val="superscript"/>
              </w:rPr>
              <w:t>(11)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57"/>
        </w:trPr>
        <w:tc>
          <w:tcPr>
            <w:tcW w:w="2780" w:type="dxa"/>
            <w:vAlign w:val="bottom"/>
            <w:gridSpan w:val="3"/>
          </w:tcPr>
          <w:p>
            <w:pPr>
              <w:spacing w:after="0" w:line="257" w:lineRule="exact"/>
              <w:rPr>
                <w:sz w:val="20"/>
                <w:szCs w:val="20"/>
                <w:color w:val="auto"/>
              </w:rPr>
            </w:pPr>
            <w:r>
              <w:rPr>
                <w:rFonts w:ascii="Arial" w:cs="Arial" w:eastAsia="Arial" w:hAnsi="Arial"/>
                <w:sz w:val="16"/>
                <w:szCs w:val="16"/>
                <w:color w:val="auto"/>
              </w:rPr>
              <w:t>Brian West</w:t>
            </w:r>
            <w:r>
              <w:rPr>
                <w:rFonts w:ascii="Arial" w:cs="Arial" w:eastAsia="Arial" w:hAnsi="Arial"/>
                <w:sz w:val="25"/>
                <w:szCs w:val="25"/>
                <w:color w:val="auto"/>
                <w:vertAlign w:val="superscript"/>
              </w:rPr>
              <w:t>(12)</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6"/>
        </w:trPr>
        <w:tc>
          <w:tcPr>
            <w:tcW w:w="278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color w:val="auto"/>
              </w:rPr>
              <w:t>All executive officers and directors as</w:t>
            </w: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70"/>
        </w:trPr>
        <w:tc>
          <w:tcPr>
            <w:tcW w:w="2780" w:type="dxa"/>
            <w:vAlign w:val="bottom"/>
            <w:gridSpan w:val="3"/>
            <w:shd w:val="clear" w:color="auto" w:fill="CCEEFF"/>
          </w:tcPr>
          <w:p>
            <w:pPr>
              <w:ind w:left="180"/>
              <w:spacing w:after="0" w:line="270" w:lineRule="exact"/>
              <w:rPr>
                <w:sz w:val="20"/>
                <w:szCs w:val="20"/>
                <w:color w:val="auto"/>
              </w:rPr>
            </w:pPr>
            <w:r>
              <w:rPr>
                <w:rFonts w:ascii="Arial" w:cs="Arial" w:eastAsia="Arial" w:hAnsi="Arial"/>
                <w:sz w:val="16"/>
                <w:szCs w:val="16"/>
                <w:color w:val="auto"/>
              </w:rPr>
              <w:t>a group (15 persons)</w:t>
            </w:r>
            <w:r>
              <w:rPr>
                <w:rFonts w:ascii="Arial" w:cs="Arial" w:eastAsia="Arial" w:hAnsi="Arial"/>
                <w:sz w:val="25"/>
                <w:szCs w:val="25"/>
                <w:color w:val="auto"/>
                <w:vertAlign w:val="superscript"/>
              </w:rPr>
              <w:t>(13)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7,099,967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517,841</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148" w:lineRule="exact"/>
        <w:rPr>
          <w:sz w:val="20"/>
          <w:szCs w:val="20"/>
          <w:color w:val="auto"/>
        </w:rPr>
      </w:pPr>
    </w:p>
    <w:p>
      <w:pPr>
        <w:ind w:left="1620" w:right="959" w:hanging="352"/>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Class A common stock.</w:t>
      </w:r>
    </w:p>
    <w:p>
      <w:pPr>
        <w:spacing w:after="0" w:line="76" w:lineRule="exact"/>
        <w:rPr>
          <w:sz w:val="20"/>
          <w:szCs w:val="20"/>
          <w:color w:val="auto"/>
        </w:rPr>
      </w:pPr>
    </w:p>
    <w:p>
      <w:pPr>
        <w:ind w:left="1620" w:right="87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Assumes full exercise by the underwriters of their option to purchase additional shares of Class A common stock.</w:t>
      </w:r>
    </w:p>
    <w:p>
      <w:pPr>
        <w:spacing w:after="0" w:line="76" w:lineRule="exact"/>
        <w:rPr>
          <w:sz w:val="20"/>
          <w:szCs w:val="20"/>
          <w:color w:val="auto"/>
        </w:rPr>
      </w:pPr>
    </w:p>
    <w:p>
      <w:pPr>
        <w:ind w:left="1620" w:hanging="352"/>
        <w:spacing w:after="0"/>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less than 1.0% of outstanding shares or voting power, as applicable.</w:t>
      </w:r>
    </w:p>
    <w:p>
      <w:pPr>
        <w:spacing w:after="0" w:line="131" w:lineRule="exact"/>
        <w:rPr>
          <w:sz w:val="20"/>
          <w:szCs w:val="20"/>
          <w:color w:val="auto"/>
        </w:rPr>
      </w:pPr>
    </w:p>
    <w:p>
      <w:pPr>
        <w:ind w:left="1620" w:right="1019" w:hanging="352"/>
        <w:spacing w:after="0" w:line="312" w:lineRule="auto"/>
        <w:tabs>
          <w:tab w:leader="none" w:pos="16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Continuing LLC Owner holds LLC Interests and corresponding shares of Class C common stock or Class D common stock, as the case may be. Following this offering, each LLC Interest held by the Continuing LLC Owners will be redeemable, at the election of such members, for newly issued</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759"/>
        <w:spacing w:after="0" w:line="268" w:lineRule="auto"/>
        <w:rPr>
          <w:sz w:val="20"/>
          <w:szCs w:val="20"/>
          <w:color w:val="auto"/>
        </w:rPr>
      </w:pPr>
      <w:r>
        <w:rPr>
          <w:rFonts w:ascii="Arial" w:cs="Arial" w:eastAsia="Arial" w:hAnsi="Arial"/>
          <w:sz w:val="17"/>
          <w:szCs w:val="17"/>
          <w:color w:val="auto"/>
        </w:rPr>
        <w:t>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See “Description of Capital Stock.” The numbers of shares of Class A common stock beneficially owned and percentages of beneficial ownership set forth in the table assume that (i) all LLC Interests have been redeemed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77" w:lineRule="exact"/>
        <w:rPr>
          <w:sz w:val="20"/>
          <w:szCs w:val="20"/>
          <w:color w:val="auto"/>
        </w:rPr>
      </w:pPr>
    </w:p>
    <w:p>
      <w:pPr>
        <w:ind w:left="1620" w:right="759" w:hanging="352"/>
        <w:spacing w:after="0" w:line="270" w:lineRule="auto"/>
        <w:tabs>
          <w:tab w:leader="none" w:pos="1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Following this offering, (i) the Continuing LLC Owners will hold LLC Interests and a corresponding number of shares of Class C common stock or Class D common stock, as the case may be, and (ii) the Refinitiv Direct Owner will own shares of Class B common stock. Each LLC Interest held by Continuing LLC Owners that hold shares of Class D common stock will be redeemable, at the election of such members, for newly issued shares of Class B common stock on a one-for one basis (and such holders’ shares of Class D common stock will be cancelled on a one-for-one basis upon any such issuance). See “Description of Capital Stock.”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69" w:lineRule="exact"/>
        <w:rPr>
          <w:rFonts w:ascii="Arial" w:cs="Arial" w:eastAsia="Arial" w:hAnsi="Arial"/>
          <w:sz w:val="17"/>
          <w:szCs w:val="17"/>
          <w:color w:val="auto"/>
        </w:rPr>
      </w:pPr>
    </w:p>
    <w:p>
      <w:pPr>
        <w:ind w:left="1620" w:right="759" w:hanging="352"/>
        <w:spacing w:after="0" w:line="290" w:lineRule="auto"/>
        <w:tabs>
          <w:tab w:leader="none" w:pos="16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 See “Description of Capital Stock.”</w:t>
      </w:r>
    </w:p>
    <w:p>
      <w:pPr>
        <w:spacing w:after="0" w:line="44" w:lineRule="exact"/>
        <w:rPr>
          <w:rFonts w:ascii="Arial" w:cs="Arial" w:eastAsia="Arial" w:hAnsi="Arial"/>
          <w:sz w:val="16"/>
          <w:szCs w:val="16"/>
          <w:color w:val="auto"/>
        </w:rPr>
      </w:pPr>
    </w:p>
    <w:p>
      <w:pPr>
        <w:ind w:left="1620" w:hanging="352"/>
        <w:spacing w:after="0"/>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Reflects securities held directly by Refinitiv Parent Limited and Refinitiv US PME LLC.</w:t>
      </w:r>
    </w:p>
    <w:p>
      <w:pPr>
        <w:spacing w:after="0" w:line="117" w:lineRule="exact"/>
        <w:rPr>
          <w:rFonts w:ascii="Arial" w:cs="Arial" w:eastAsia="Arial" w:hAnsi="Arial"/>
          <w:sz w:val="18"/>
          <w:szCs w:val="18"/>
          <w:color w:val="auto"/>
        </w:rPr>
      </w:pPr>
    </w:p>
    <w:p>
      <w:pPr>
        <w:ind w:left="1620" w:right="759"/>
        <w:spacing w:after="0" w:line="286" w:lineRule="auto"/>
        <w:rPr>
          <w:rFonts w:ascii="Arial" w:cs="Arial" w:eastAsia="Arial" w:hAnsi="Arial"/>
          <w:sz w:val="18"/>
          <w:szCs w:val="18"/>
          <w:color w:val="auto"/>
        </w:rPr>
      </w:pPr>
      <w:r>
        <w:rPr>
          <w:rFonts w:ascii="Arial" w:cs="Arial" w:eastAsia="Arial" w:hAnsi="Arial"/>
          <w:sz w:val="16"/>
          <w:szCs w:val="16"/>
          <w:color w:val="auto"/>
        </w:rPr>
        <w:t>Refinitiv US LLC is the controlling member of Refinitiv US PME LLC. Refinitiv US Holdings Inc. is the sole member of Refinitiv US LLC. Refinitiv Parent Limited is the sole shareholder of Refinitiv US Holdings Inc. Refinitiv Holdings Limited is the sole shareholder of Refinitiv Parent Limited. BCP York Holdings (Delaware) L.P. is the majority shareholder of Refinitiv Holdings Limited. BCP York Holdings GP</w:t>
      </w:r>
    </w:p>
    <w:p>
      <w:pPr>
        <w:spacing w:after="0" w:line="1" w:lineRule="exact"/>
        <w:rPr>
          <w:rFonts w:ascii="Arial" w:cs="Arial" w:eastAsia="Arial" w:hAnsi="Arial"/>
          <w:sz w:val="18"/>
          <w:szCs w:val="18"/>
          <w:color w:val="auto"/>
        </w:rPr>
      </w:pPr>
    </w:p>
    <w:p>
      <w:pPr>
        <w:ind w:left="1620" w:right="739"/>
        <w:spacing w:after="0" w:line="281" w:lineRule="auto"/>
        <w:rPr>
          <w:rFonts w:ascii="Arial" w:cs="Arial" w:eastAsia="Arial" w:hAnsi="Arial"/>
          <w:sz w:val="18"/>
          <w:szCs w:val="18"/>
          <w:color w:val="auto"/>
        </w:rPr>
      </w:pPr>
      <w:r>
        <w:rPr>
          <w:rFonts w:ascii="Arial" w:cs="Arial" w:eastAsia="Arial" w:hAnsi="Arial"/>
          <w:sz w:val="16"/>
          <w:szCs w:val="16"/>
          <w:color w:val="auto"/>
        </w:rPr>
        <w:t>(Delaware) L.L.C. is the general partner of BCP York Holdings (Delaware) L.P. BCP York Subsidiary (Cayman) L.P. is the sole member of BCP York Holdings GP (Delaware) L.L.C. BCP VII Holdings Manager</w:t>
      </w:r>
    </w:p>
    <w:p>
      <w:pPr>
        <w:spacing w:after="0" w:line="1" w:lineRule="exact"/>
        <w:rPr>
          <w:rFonts w:ascii="Arial" w:cs="Arial" w:eastAsia="Arial" w:hAnsi="Arial"/>
          <w:sz w:val="18"/>
          <w:szCs w:val="18"/>
          <w:color w:val="auto"/>
        </w:rPr>
      </w:pPr>
    </w:p>
    <w:p>
      <w:pPr>
        <w:jc w:val="both"/>
        <w:ind w:left="1620" w:right="1059"/>
        <w:spacing w:after="0" w:line="281" w:lineRule="auto"/>
        <w:rPr>
          <w:rFonts w:ascii="Arial" w:cs="Arial" w:eastAsia="Arial" w:hAnsi="Arial"/>
          <w:sz w:val="18"/>
          <w:szCs w:val="18"/>
          <w:color w:val="auto"/>
        </w:rPr>
      </w:pPr>
      <w:r>
        <w:rPr>
          <w:rFonts w:ascii="Arial" w:cs="Arial" w:eastAsia="Arial" w:hAnsi="Arial"/>
          <w:sz w:val="16"/>
          <w:szCs w:val="16"/>
          <w:color w:val="auto"/>
        </w:rPr>
        <w:t>(Cayman) L.L.C. is the general partner of BCP York Subsidiary (Cayman) L.P. Blackstone Management Associates (Cayman) VII L.P. is the managing member of BCP VII Holdings Manager (Cayman) L.L.C. BCP VII GP L.L.C. is the general partner of Blackstone Management Associates (Cayman) VII L.P.</w:t>
      </w:r>
    </w:p>
    <w:p>
      <w:pPr>
        <w:spacing w:after="0" w:line="2" w:lineRule="exact"/>
        <w:rPr>
          <w:rFonts w:ascii="Arial" w:cs="Arial" w:eastAsia="Arial" w:hAnsi="Arial"/>
          <w:sz w:val="18"/>
          <w:szCs w:val="18"/>
          <w:color w:val="auto"/>
        </w:rPr>
      </w:pPr>
    </w:p>
    <w:p>
      <w:pPr>
        <w:ind w:left="1620" w:right="819"/>
        <w:spacing w:after="0" w:line="290" w:lineRule="auto"/>
        <w:rPr>
          <w:rFonts w:ascii="Arial" w:cs="Arial" w:eastAsia="Arial" w:hAnsi="Arial"/>
          <w:sz w:val="18"/>
          <w:szCs w:val="18"/>
          <w:color w:val="auto"/>
        </w:rPr>
      </w:pPr>
      <w:r>
        <w:rPr>
          <w:rFonts w:ascii="Arial" w:cs="Arial" w:eastAsia="Arial" w:hAnsi="Arial"/>
          <w:sz w:val="16"/>
          <w:szCs w:val="16"/>
          <w:color w:val="auto"/>
        </w:rPr>
        <w:t>Blackstone Holdings III L.P. is the sole member of BCP VII GP L.L.C. The general partner of Blackstone Holdings III L.P. is Blackstone Holdings III GP L.P. The general partner of Blackstone Holdings III GP L.P. is Blackstone Holdings III GP Management L.L.C. The sole member of Blackstone Holdings III GP Management L.L.C. is The Blackstone Group L.P. The general partner of The Blackstone Group L.P. is Blackstone Group Management L.L.C. Blackstone Group Management L.L.C. is wholly-owned by Blackstone’s senior managing directors and controlled by its founder, Stephen A. Schwarzman.</w:t>
      </w:r>
    </w:p>
    <w:p>
      <w:pPr>
        <w:spacing w:after="0" w:line="56" w:lineRule="exact"/>
        <w:rPr>
          <w:rFonts w:ascii="Arial" w:cs="Arial" w:eastAsia="Arial" w:hAnsi="Arial"/>
          <w:sz w:val="18"/>
          <w:szCs w:val="18"/>
          <w:color w:val="auto"/>
        </w:rPr>
      </w:pPr>
    </w:p>
    <w:p>
      <w:pPr>
        <w:ind w:left="1620" w:right="1239" w:hanging="352"/>
        <w:spacing w:after="0" w:line="342" w:lineRule="auto"/>
        <w:tabs>
          <w:tab w:leader="none" w:pos="16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securities held of record by JPMC Strategic Investments I Corporation. If the underwriters exercise in full their option to purchase additional shares of Class A common stock, JPMC Strategic</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879"/>
        <w:spacing w:after="0" w:line="259" w:lineRule="auto"/>
        <w:rPr>
          <w:sz w:val="20"/>
          <w:szCs w:val="20"/>
          <w:color w:val="auto"/>
        </w:rPr>
      </w:pPr>
      <w:r>
        <w:rPr>
          <w:rFonts w:ascii="Arial" w:cs="Arial" w:eastAsia="Arial" w:hAnsi="Arial"/>
          <w:sz w:val="18"/>
          <w:szCs w:val="18"/>
          <w:color w:val="auto"/>
        </w:rPr>
        <w:t>Investments I Corporation will hold 11,878,983 shares of Class A common stock on a fully exchanged and converted basis and 2,422,714 shares of Class B common stock on a fully exchanged basis. J.P. Morgan Chase &amp; Co. is the ultimate parent of JPMC Strategic Investments I Corporation. The address of this entity is 270 Park Avenue, New York, NY 10017.</w:t>
      </w:r>
    </w:p>
    <w:p>
      <w:pPr>
        <w:spacing w:after="0" w:line="160" w:lineRule="exact"/>
        <w:rPr>
          <w:sz w:val="20"/>
          <w:szCs w:val="20"/>
          <w:color w:val="auto"/>
        </w:rPr>
      </w:pPr>
    </w:p>
    <w:p>
      <w:pPr>
        <w:ind w:left="1620" w:right="979" w:hanging="352"/>
        <w:spacing w:after="0" w:line="290" w:lineRule="auto"/>
        <w:tabs>
          <w:tab w:leader="none" w:pos="16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Includes 3,381,643 shares of Class A common stock issuable upon exercise of options that will become exercisable in connection with this offering and have vested or will vest within 60 days after March 22, 2019. Mr. Olesky owns 208,487 shares of Class D common stock and 338,164 shares of Class A common stock issuable upon exercise of options that will become exercisable in connection with this offering and have vested or will vest within 60 days after March 22, 2019 through The Lee Olesky 2019 Family Trust. Lee Olesky and his wife, as the co-trustees of The Lee Olesky 2019 Family Trust, share the power to vote and invest the securities, but each disclaims beneficial ownership of such securities. Mr. Olesky may be deemed to beneficially own the securities but disclaims beneficial ownership of such securities.</w:t>
      </w:r>
    </w:p>
    <w:p>
      <w:pPr>
        <w:spacing w:after="0" w:line="125" w:lineRule="exact"/>
        <w:rPr>
          <w:rFonts w:ascii="Arial" w:cs="Arial" w:eastAsia="Arial" w:hAnsi="Arial"/>
          <w:sz w:val="16"/>
          <w:szCs w:val="16"/>
          <w:color w:val="auto"/>
        </w:rPr>
      </w:pPr>
    </w:p>
    <w:p>
      <w:pPr>
        <w:jc w:val="both"/>
        <w:ind w:left="1620" w:right="1159" w:hanging="352"/>
        <w:spacing w:after="0" w:line="264"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1,811,594 shares of Class A common stock issuable upon exercise of options that will become exercisable in connection with this offering and have vested or will vest within 60 days after March 22, 2019.</w:t>
      </w:r>
    </w:p>
    <w:p>
      <w:pPr>
        <w:spacing w:after="0" w:line="140" w:lineRule="exact"/>
        <w:rPr>
          <w:rFonts w:ascii="Arial" w:cs="Arial" w:eastAsia="Arial" w:hAnsi="Arial"/>
          <w:sz w:val="18"/>
          <w:szCs w:val="18"/>
          <w:color w:val="auto"/>
        </w:rPr>
      </w:pPr>
    </w:p>
    <w:p>
      <w:pPr>
        <w:ind w:left="1620" w:right="1159" w:hanging="352"/>
        <w:spacing w:after="0" w:line="264"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338,164 shares of Class A common stock issuable upon exercise of options that will become exercisable in connection with this offering and have vested or will vest within 60 days after March 22, 2019.</w:t>
      </w:r>
    </w:p>
    <w:p>
      <w:pPr>
        <w:spacing w:after="0" w:line="154" w:lineRule="exact"/>
        <w:rPr>
          <w:rFonts w:ascii="Arial" w:cs="Arial" w:eastAsia="Arial" w:hAnsi="Arial"/>
          <w:sz w:val="18"/>
          <w:szCs w:val="18"/>
          <w:color w:val="auto"/>
        </w:rPr>
      </w:pPr>
    </w:p>
    <w:p>
      <w:pPr>
        <w:ind w:left="1620" w:right="1439" w:hanging="352"/>
        <w:spacing w:after="0" w:line="277"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Mr. Brand is a Senior Managing Director of The Blackstone Group. Mr. Brand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620" w:right="859" w:hanging="352"/>
        <w:spacing w:after="0" w:line="342" w:lineRule="auto"/>
        <w:tabs>
          <w:tab w:leader="none" w:pos="16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Mr. Finley is a Senior Managing Director and the Chief Legal Officer of The Blackstone Group. Mr. Finley disclaims beneficial ownership of any securities owned directly or indirectly by the Refinitiv entities.</w:t>
      </w:r>
    </w:p>
    <w:p>
      <w:pPr>
        <w:spacing w:after="0" w:line="83" w:lineRule="exact"/>
        <w:rPr>
          <w:rFonts w:ascii="Arial" w:cs="Arial" w:eastAsia="Arial" w:hAnsi="Arial"/>
          <w:sz w:val="16"/>
          <w:szCs w:val="16"/>
          <w:color w:val="auto"/>
        </w:rPr>
      </w:pPr>
    </w:p>
    <w:p>
      <w:pPr>
        <w:ind w:left="1620" w:right="1079" w:hanging="352"/>
        <w:spacing w:after="0" w:line="277"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Ms. Walton is the Chief Revenue Officer of Refinitiv. Ms. Walton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620" w:right="1399" w:hanging="352"/>
        <w:spacing w:after="0" w:line="277"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Mr. West is the Chief Financial Officer of Refinitiv. Mr. West disclaims beneficial ownership of any securities owned directly or indirectly by the Refinitiv entities.</w:t>
      </w:r>
    </w:p>
    <w:p>
      <w:pPr>
        <w:spacing w:after="0" w:line="143" w:lineRule="exact"/>
        <w:rPr>
          <w:rFonts w:ascii="Arial" w:cs="Arial" w:eastAsia="Arial" w:hAnsi="Arial"/>
          <w:sz w:val="18"/>
          <w:szCs w:val="18"/>
          <w:color w:val="auto"/>
        </w:rPr>
      </w:pPr>
    </w:p>
    <w:p>
      <w:pPr>
        <w:jc w:val="both"/>
        <w:ind w:left="1620" w:right="1139" w:hanging="352"/>
        <w:spacing w:after="0" w:line="264"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6,582,126 shares of Class A common stock issuable upon exercise of options that will become exercisable in connection with this offering and have vested or will vest within 60 days after March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following is a description of transactions since January 1, 2016 to which we were a party in which the amount involved exceeded or will exceed $120,000, and in which any of our executive officers, directors, Bank Stockholders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0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Following this offering,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each of the years ended December 31, 2018, 2017 and 2016, we incurred fees of $4.3 million per year relating to this agreement. These fees are included in occupancy, technology and communications and general and administrative expenses in our consolidated statements of income included elsewhere in this prospectus.</w:t>
      </w:r>
    </w:p>
    <w:p>
      <w:pPr>
        <w:spacing w:after="0" w:line="67"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years ended December 31, 2018, 2017 and 2016, we earned approximately $50.3 million, $50.1 million and $50.6 million, respectively, of revenue under this agreement.</w:t>
      </w:r>
    </w:p>
    <w:p>
      <w:pPr>
        <w:spacing w:after="0" w:line="75"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We are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is subject to confidentiality obligations regarding both the nonpublic information of our business and the terms of those definitive agreements, subject to customary disclosure exceptions. In connection with this offering, we will terminate the master agreement and enter into a restrictive covenant agreement with affiliates of Refinitiv pursuant to which the non-compete restrictions of the master agreement, as modified, will prohibit Refinitiv from establishing, investing in, or acting as primary business operator or manager of, an electronic trade execution platform for trading in fixed income securities or equity derivatives, subject to certain exceptions. If Refinitiv desires to engage in such business for any group of securities, instruments, or other fixed income assets that are not traded at that time on any of our electronic trade execution platforms, Refinitiv must deliver a written notice offering us the right to establish, fund or purchase a Material Interest (as defined in the agreement) in, or act as the primary business operator or manager of, the business. If we don’t accept the offer within three months, Refinitiv will have the right to engage in such activity described in the offer notice, subject to certain exceptions. Refinitiv will be bound by the non-compete provisions so long as it has the right to designate the total number (or least a majority) of directors on our board of directors on the terms and subject to the conditions set forth in the Stockholders Agreement. The non-compete period</w:t>
      </w:r>
    </w:p>
    <w:p>
      <w:pPr>
        <w:spacing w:after="0" w:line="2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19"/>
        <w:spacing w:after="0" w:line="277" w:lineRule="auto"/>
        <w:rPr>
          <w:sz w:val="20"/>
          <w:szCs w:val="20"/>
          <w:color w:val="auto"/>
        </w:rPr>
      </w:pPr>
      <w:r>
        <w:rPr>
          <w:rFonts w:ascii="Arial" w:cs="Arial" w:eastAsia="Arial" w:hAnsi="Arial"/>
          <w:sz w:val="18"/>
          <w:szCs w:val="18"/>
          <w:color w:val="auto"/>
        </w:rPr>
        <w:t>terminates in the event (i) of a change of control with respect to Refinitiv or (ii) the overall revenue of TWM LLC declines by more than 25% in each of two consecutive fiscal years.</w:t>
      </w:r>
    </w:p>
    <w:p>
      <w:pPr>
        <w:spacing w:after="0" w:line="62"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reimburse affiliates of Refinitiv for expenses paid on our behalf for various services including payroll, marketing, professional fees, communications, data costs and certain other administrative services. For the years ended December 31, 2018, 2017 and 2016, we reimbursed such affiliates approximately $32.5 million, $38.4 million and $34.4 million, respectively, for these expenses.</w:t>
      </w:r>
    </w:p>
    <w:p>
      <w:pPr>
        <w:spacing w:after="0" w:line="79"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 all outstanding borrowings into 1,835.122 Class A Shares at the price of $15,958 per share. During the years ended December 31, 2017 and 2016, the interest rate charged was 4.50% per annum. We paid and expensed approximately $0.5 million and $1.3 million of interest related to this note during the years ended December 31, 2017 and 2016, respectively.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8" w:lineRule="exact"/>
        <w:rPr>
          <w:sz w:val="20"/>
          <w:szCs w:val="20"/>
          <w:color w:val="auto"/>
        </w:rPr>
      </w:pPr>
    </w:p>
    <w:p>
      <w:pPr>
        <w:ind w:left="1260" w:right="1119" w:firstLine="360"/>
        <w:spacing w:after="0" w:line="259" w:lineRule="auto"/>
        <w:rPr>
          <w:sz w:val="20"/>
          <w:szCs w:val="20"/>
          <w:color w:val="auto"/>
        </w:rPr>
      </w:pPr>
      <w:r>
        <w:rPr>
          <w:rFonts w:ascii="Arial" w:cs="Arial" w:eastAsia="Arial" w:hAnsi="Arial"/>
          <w:sz w:val="18"/>
          <w:szCs w:val="18"/>
          <w:color w:val="auto"/>
        </w:rPr>
        <w:t>During the years ended December 31, 2018, 2017 and 2016, we earned $51,000, $40,000 and $80,000,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79"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color w:val="auto"/>
        </w:rPr>
        <w:t>During the years ended December 31, 2018, 2017 and 2016, we earned approximately $288.6 million, $232.4 million and $211.7 million, respectively, of transaction fees, subscription fees and commissions from affiliates of the Bank Stockholders. Over the same period, none of the Bank Stockholders accounted for more than 10% of our revenues.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Immediately following this offering, we will use the net proceeds from this offering to purchase 40,000,000 issued and outstanding LLC Interests (or 46,000,000 LLC Interests, if the underwriters exercise in full their option to purchase additional shares of Class A common stock) from certain of the Bank Stockholders (and cancel the corresponding shares of common stock). See “Use of Proceeds.” The following table sets forth the cash proceeds that certain of the Other LLC Owners will receive from the purchase by us of LLC Interests with the net proceeds of this offering:</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Number of LLC Interests,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Number of LLC Interests,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to be sold to us,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 be sold to us,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assuming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assuming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underwriters’ option to</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underwriters’ option to</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 of LLC</w:t>
            </w:r>
          </w:p>
        </w:tc>
        <w:tc>
          <w:tcPr>
            <w:tcW w:w="1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purchase additional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purchase additional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Interests</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shares of Class A</w:t>
            </w: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shares of Class A</w:t>
            </w:r>
          </w:p>
        </w:tc>
        <w:tc>
          <w:tcPr>
            <w:tcW w:w="12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held before</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common stock is not</w:t>
            </w: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Proceeds</w:t>
            </w: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common stock is</w:t>
            </w:r>
          </w:p>
        </w:tc>
        <w:tc>
          <w:tcPr>
            <w:tcW w:w="120" w:type="dxa"/>
            <w:vAlign w:val="bottom"/>
          </w:tcPr>
          <w:p>
            <w:pPr>
              <w:spacing w:after="0"/>
              <w:rPr>
                <w:sz w:val="14"/>
                <w:szCs w:val="14"/>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85"/>
              </w:rPr>
              <w:t>Proceeds</w:t>
            </w:r>
          </w:p>
        </w:tc>
      </w:tr>
      <w:tr>
        <w:trPr>
          <w:trHeight w:val="192"/>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this offering</w:t>
            </w:r>
          </w:p>
        </w:tc>
        <w:tc>
          <w:tcPr>
            <w:tcW w:w="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exercised</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exercised in full</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w:t>
            </w:r>
          </w:p>
        </w:tc>
      </w:tr>
      <w:tr>
        <w:trPr>
          <w:trHeight w:val="228"/>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Unquoted</w:t>
            </w: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Limited</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9,131,946</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1,369,791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34,580,374</w:t>
            </w:r>
          </w:p>
        </w:tc>
        <w:tc>
          <w:tcPr>
            <w:tcW w:w="16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1,369,791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34,580,374</w:t>
            </w:r>
          </w:p>
        </w:tc>
      </w:tr>
      <w:tr>
        <w:trPr>
          <w:trHeight w:val="229"/>
        </w:trPr>
        <w:tc>
          <w:tcPr>
            <w:tcW w:w="1860" w:type="dxa"/>
            <w:vAlign w:val="bottom"/>
            <w:gridSpan w:val="2"/>
          </w:tcPr>
          <w:p>
            <w:pPr>
              <w:spacing w:after="0"/>
              <w:rPr>
                <w:sz w:val="20"/>
                <w:szCs w:val="20"/>
                <w:color w:val="auto"/>
              </w:rPr>
            </w:pPr>
            <w:r>
              <w:rPr>
                <w:rFonts w:ascii="Arial" w:cs="Arial" w:eastAsia="Arial" w:hAnsi="Arial"/>
                <w:sz w:val="18"/>
                <w:szCs w:val="18"/>
                <w:color w:val="auto"/>
              </w:rPr>
              <w:t>Citigroup Strategic</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Investments LLC</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9,968,182</w:t>
            </w:r>
          </w:p>
        </w:tc>
        <w:tc>
          <w:tcPr>
            <w:tcW w:w="40" w:type="dxa"/>
            <w:vAlign w:val="bottom"/>
          </w:tcPr>
          <w:p>
            <w:pPr>
              <w:spacing w:after="0"/>
              <w:rPr>
                <w:sz w:val="20"/>
                <w:szCs w:val="20"/>
                <w:color w:val="auto"/>
              </w:rPr>
            </w:pPr>
          </w:p>
        </w:tc>
        <w:tc>
          <w:tcPr>
            <w:tcW w:w="1600" w:type="dxa"/>
            <w:vAlign w:val="bottom"/>
          </w:tcPr>
          <w:p>
            <w:pPr>
              <w:jc w:val="right"/>
              <w:ind w:right="358"/>
              <w:spacing w:after="0"/>
              <w:rPr>
                <w:sz w:val="20"/>
                <w:szCs w:val="20"/>
                <w:color w:val="auto"/>
              </w:rPr>
            </w:pPr>
            <w:r>
              <w:rPr>
                <w:rFonts w:ascii="Arial" w:cs="Arial" w:eastAsia="Arial" w:hAnsi="Arial"/>
                <w:sz w:val="18"/>
                <w:szCs w:val="18"/>
                <w:color w:val="auto"/>
              </w:rPr>
              <w:t>1,371,413</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34,621,321</w:t>
            </w:r>
          </w:p>
        </w:tc>
        <w:tc>
          <w:tcPr>
            <w:tcW w:w="1620" w:type="dxa"/>
            <w:vAlign w:val="bottom"/>
          </w:tcPr>
          <w:p>
            <w:pPr>
              <w:jc w:val="right"/>
              <w:ind w:right="358"/>
              <w:spacing w:after="0"/>
              <w:rPr>
                <w:sz w:val="20"/>
                <w:szCs w:val="20"/>
                <w:color w:val="auto"/>
              </w:rPr>
            </w:pPr>
            <w:r>
              <w:rPr>
                <w:rFonts w:ascii="Arial" w:cs="Arial" w:eastAsia="Arial" w:hAnsi="Arial"/>
                <w:sz w:val="18"/>
                <w:szCs w:val="18"/>
                <w:color w:val="auto"/>
              </w:rPr>
              <w:t>1,993,636</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50,329,341</w:t>
            </w:r>
          </w:p>
        </w:tc>
      </w:tr>
      <w:tr>
        <w:trPr>
          <w:trHeight w:val="229"/>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DBR Investments Co.</w:t>
            </w: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10,485,890</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3,774,920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95,297,855</w:t>
            </w:r>
          </w:p>
        </w:tc>
        <w:tc>
          <w:tcPr>
            <w:tcW w:w="16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3,774,920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95,297,855</w:t>
            </w:r>
          </w:p>
        </w:tc>
      </w:tr>
      <w:tr>
        <w:trPr>
          <w:trHeight w:val="229"/>
        </w:trPr>
        <w:tc>
          <w:tcPr>
            <w:tcW w:w="1860" w:type="dxa"/>
            <w:vAlign w:val="bottom"/>
            <w:gridSpan w:val="2"/>
          </w:tcPr>
          <w:p>
            <w:pPr>
              <w:spacing w:after="0"/>
              <w:rPr>
                <w:sz w:val="20"/>
                <w:szCs w:val="20"/>
                <w:color w:val="auto"/>
              </w:rPr>
            </w:pPr>
            <w:r>
              <w:rPr>
                <w:rFonts w:ascii="Arial" w:cs="Arial" w:eastAsia="Arial" w:hAnsi="Arial"/>
                <w:sz w:val="18"/>
                <w:szCs w:val="18"/>
                <w:color w:val="auto"/>
              </w:rPr>
              <w:t>Goldman Sachs PSI</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w w:val="97"/>
              </w:rPr>
              <w:t>Global Holdings, LLC</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14,130,283</w:t>
            </w:r>
          </w:p>
        </w:tc>
        <w:tc>
          <w:tcPr>
            <w:tcW w:w="40" w:type="dxa"/>
            <w:vAlign w:val="bottom"/>
          </w:tcPr>
          <w:p>
            <w:pPr>
              <w:spacing w:after="0"/>
              <w:rPr>
                <w:sz w:val="20"/>
                <w:szCs w:val="20"/>
                <w:color w:val="auto"/>
              </w:rPr>
            </w:pPr>
          </w:p>
        </w:tc>
        <w:tc>
          <w:tcPr>
            <w:tcW w:w="1600" w:type="dxa"/>
            <w:vAlign w:val="bottom"/>
          </w:tcPr>
          <w:p>
            <w:pPr>
              <w:jc w:val="right"/>
              <w:ind w:right="358"/>
              <w:spacing w:after="0"/>
              <w:rPr>
                <w:sz w:val="20"/>
                <w:szCs w:val="20"/>
                <w:color w:val="auto"/>
              </w:rPr>
            </w:pPr>
            <w:r>
              <w:rPr>
                <w:rFonts w:ascii="Arial" w:cs="Arial" w:eastAsia="Arial" w:hAnsi="Arial"/>
                <w:sz w:val="18"/>
                <w:szCs w:val="18"/>
                <w:color w:val="auto"/>
              </w:rPr>
              <w:t>6,144,335</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155,113,737</w:t>
            </w:r>
          </w:p>
        </w:tc>
        <w:tc>
          <w:tcPr>
            <w:tcW w:w="1620" w:type="dxa"/>
            <w:vAlign w:val="bottom"/>
          </w:tcPr>
          <w:p>
            <w:pPr>
              <w:jc w:val="right"/>
              <w:ind w:right="358"/>
              <w:spacing w:after="0"/>
              <w:rPr>
                <w:sz w:val="20"/>
                <w:szCs w:val="20"/>
                <w:color w:val="auto"/>
              </w:rPr>
            </w:pPr>
            <w:r>
              <w:rPr>
                <w:rFonts w:ascii="Arial" w:cs="Arial" w:eastAsia="Arial" w:hAnsi="Arial"/>
                <w:sz w:val="18"/>
                <w:szCs w:val="18"/>
                <w:color w:val="auto"/>
              </w:rPr>
              <w:t>7,065,141</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178,359,485</w:t>
            </w:r>
          </w:p>
        </w:tc>
      </w:tr>
      <w:tr>
        <w:trPr>
          <w:trHeight w:val="229"/>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JPMC Strategic</w:t>
            </w: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I</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12,972,714</w:t>
            </w:r>
          </w:p>
        </w:tc>
        <w:tc>
          <w:tcPr>
            <w:tcW w:w="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1,093,731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27,611,239</w:t>
            </w:r>
          </w:p>
        </w:tc>
      </w:tr>
      <w:tr>
        <w:trPr>
          <w:trHeight w:val="229"/>
        </w:trPr>
        <w:tc>
          <w:tcPr>
            <w:tcW w:w="1860" w:type="dxa"/>
            <w:vAlign w:val="bottom"/>
            <w:gridSpan w:val="2"/>
          </w:tcPr>
          <w:p>
            <w:pPr>
              <w:spacing w:after="0"/>
              <w:rPr>
                <w:sz w:val="20"/>
                <w:szCs w:val="20"/>
                <w:color w:val="auto"/>
              </w:rPr>
            </w:pPr>
            <w:r>
              <w:rPr>
                <w:rFonts w:ascii="Arial" w:cs="Arial" w:eastAsia="Arial" w:hAnsi="Arial"/>
                <w:sz w:val="18"/>
                <w:szCs w:val="18"/>
                <w:color w:val="auto"/>
              </w:rPr>
              <w:t>Merrill Lynch LP</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Holdings, Inc.</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8,695,114</w:t>
            </w:r>
          </w:p>
        </w:tc>
        <w:tc>
          <w:tcPr>
            <w:tcW w:w="40" w:type="dxa"/>
            <w:vAlign w:val="bottom"/>
          </w:tcPr>
          <w:p>
            <w:pPr>
              <w:spacing w:after="0"/>
              <w:rPr>
                <w:sz w:val="20"/>
                <w:szCs w:val="20"/>
                <w:color w:val="auto"/>
              </w:rPr>
            </w:pPr>
          </w:p>
        </w:tc>
        <w:tc>
          <w:tcPr>
            <w:tcW w:w="1600" w:type="dxa"/>
            <w:vAlign w:val="bottom"/>
          </w:tcPr>
          <w:p>
            <w:pPr>
              <w:jc w:val="right"/>
              <w:ind w:right="358"/>
              <w:spacing w:after="0"/>
              <w:rPr>
                <w:sz w:val="20"/>
                <w:szCs w:val="20"/>
                <w:color w:val="auto"/>
              </w:rPr>
            </w:pPr>
            <w:r>
              <w:rPr>
                <w:rFonts w:ascii="Arial" w:cs="Arial" w:eastAsia="Arial" w:hAnsi="Arial"/>
                <w:sz w:val="18"/>
                <w:szCs w:val="18"/>
                <w:color w:val="auto"/>
              </w:rPr>
              <w:t>7,825,603</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197,557,348</w:t>
            </w:r>
          </w:p>
        </w:tc>
        <w:tc>
          <w:tcPr>
            <w:tcW w:w="1620" w:type="dxa"/>
            <w:vAlign w:val="bottom"/>
          </w:tcPr>
          <w:p>
            <w:pPr>
              <w:jc w:val="right"/>
              <w:ind w:right="358"/>
              <w:spacing w:after="0"/>
              <w:rPr>
                <w:sz w:val="20"/>
                <w:szCs w:val="20"/>
                <w:color w:val="auto"/>
              </w:rPr>
            </w:pPr>
            <w:r>
              <w:rPr>
                <w:rFonts w:ascii="Arial" w:cs="Arial" w:eastAsia="Arial" w:hAnsi="Arial"/>
                <w:sz w:val="18"/>
                <w:szCs w:val="18"/>
                <w:color w:val="auto"/>
              </w:rPr>
              <w:t>8,695,114</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219,508,153</w:t>
            </w:r>
          </w:p>
        </w:tc>
      </w:tr>
      <w:tr>
        <w:trPr>
          <w:trHeight w:val="242"/>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Fixed</w:t>
            </w: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Income Ventures Inc.</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12,253,851</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6,743,497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170,239,582</w:t>
            </w:r>
          </w:p>
        </w:tc>
        <w:tc>
          <w:tcPr>
            <w:tcW w:w="16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9,190,388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232,011,345</w:t>
            </w:r>
          </w:p>
        </w:tc>
      </w:tr>
      <w:tr>
        <w:trPr>
          <w:trHeight w:val="205"/>
        </w:trPr>
        <w:tc>
          <w:tcPr>
            <w:tcW w:w="1860" w:type="dxa"/>
            <w:vAlign w:val="bottom"/>
            <w:gridSpan w:val="2"/>
          </w:tcPr>
          <w:p>
            <w:pPr>
              <w:spacing w:after="0" w:line="206" w:lineRule="exact"/>
              <w:rPr>
                <w:sz w:val="20"/>
                <w:szCs w:val="20"/>
                <w:color w:val="auto"/>
              </w:rPr>
            </w:pPr>
            <w:r>
              <w:rPr>
                <w:rFonts w:ascii="Arial" w:cs="Arial" w:eastAsia="Arial" w:hAnsi="Arial"/>
                <w:sz w:val="18"/>
                <w:szCs w:val="18"/>
                <w:color w:val="auto"/>
              </w:rPr>
              <w:t>Next Investment</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81"/>
        </w:trPr>
        <w:tc>
          <w:tcPr>
            <w:tcW w:w="1860" w:type="dxa"/>
            <w:vAlign w:val="bottom"/>
            <w:gridSpan w:val="2"/>
          </w:tcPr>
          <w:p>
            <w:pPr>
              <w:ind w:left="180"/>
              <w:spacing w:after="0" w:line="281" w:lineRule="exact"/>
              <w:rPr>
                <w:sz w:val="20"/>
                <w:szCs w:val="20"/>
                <w:color w:val="auto"/>
              </w:rPr>
            </w:pPr>
            <w:r>
              <w:rPr>
                <w:rFonts w:ascii="Arial" w:cs="Arial" w:eastAsia="Arial" w:hAnsi="Arial"/>
                <w:sz w:val="18"/>
                <w:szCs w:val="18"/>
                <w:color w:val="auto"/>
                <w:w w:val="98"/>
              </w:rPr>
              <w:t>Aggregator II, L.P.</w:t>
            </w:r>
            <w:r>
              <w:rPr>
                <w:rFonts w:ascii="Arial" w:cs="Arial" w:eastAsia="Arial" w:hAnsi="Arial"/>
                <w:sz w:val="27"/>
                <w:szCs w:val="27"/>
                <w:color w:val="auto"/>
                <w:w w:val="98"/>
                <w:vertAlign w:val="superscript"/>
              </w:rPr>
              <w:t>(1)</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8,937,441</w:t>
            </w:r>
          </w:p>
        </w:tc>
        <w:tc>
          <w:tcPr>
            <w:tcW w:w="40" w:type="dxa"/>
            <w:vAlign w:val="bottom"/>
          </w:tcPr>
          <w:p>
            <w:pPr>
              <w:spacing w:after="0"/>
              <w:rPr>
                <w:sz w:val="24"/>
                <w:szCs w:val="2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58"/>
              <w:spacing w:after="0"/>
              <w:rPr>
                <w:sz w:val="20"/>
                <w:szCs w:val="20"/>
                <w:color w:val="auto"/>
              </w:rPr>
            </w:pPr>
            <w:r>
              <w:rPr>
                <w:rFonts w:ascii="Arial" w:cs="Arial" w:eastAsia="Arial" w:hAnsi="Arial"/>
                <w:sz w:val="18"/>
                <w:szCs w:val="18"/>
                <w:color w:val="auto"/>
              </w:rPr>
              <w:t>46,838</w:t>
            </w: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1,182,425</w:t>
            </w:r>
          </w:p>
        </w:tc>
      </w:tr>
      <w:tr>
        <w:trPr>
          <w:trHeight w:val="242"/>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RBS Financial Products</w:t>
            </w: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6,486,619</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6,486,619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163,754,697</w:t>
            </w:r>
          </w:p>
        </w:tc>
        <w:tc>
          <w:tcPr>
            <w:tcW w:w="16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6,486,619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163,754,697</w:t>
            </w:r>
          </w:p>
        </w:tc>
      </w:tr>
      <w:tr>
        <w:trPr>
          <w:trHeight w:val="242"/>
        </w:trPr>
        <w:tc>
          <w:tcPr>
            <w:tcW w:w="1860" w:type="dxa"/>
            <w:vAlign w:val="bottom"/>
            <w:gridSpan w:val="2"/>
          </w:tcPr>
          <w:p>
            <w:pPr>
              <w:spacing w:after="0"/>
              <w:rPr>
                <w:sz w:val="20"/>
                <w:szCs w:val="20"/>
                <w:color w:val="auto"/>
              </w:rPr>
            </w:pPr>
            <w:r>
              <w:rPr>
                <w:rFonts w:ascii="Arial" w:cs="Arial" w:eastAsia="Arial" w:hAnsi="Arial"/>
                <w:sz w:val="18"/>
                <w:szCs w:val="18"/>
                <w:color w:val="auto"/>
              </w:rPr>
              <w:t>UBS Real Estate</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Securities, Inc.</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6,283,822</w:t>
            </w:r>
          </w:p>
        </w:tc>
        <w:tc>
          <w:tcPr>
            <w:tcW w:w="40" w:type="dxa"/>
            <w:vAlign w:val="bottom"/>
          </w:tcPr>
          <w:p>
            <w:pPr>
              <w:spacing w:after="0"/>
              <w:rPr>
                <w:sz w:val="20"/>
                <w:szCs w:val="20"/>
                <w:color w:val="auto"/>
              </w:rPr>
            </w:pPr>
          </w:p>
        </w:tc>
        <w:tc>
          <w:tcPr>
            <w:tcW w:w="1600" w:type="dxa"/>
            <w:vAlign w:val="bottom"/>
          </w:tcPr>
          <w:p>
            <w:pPr>
              <w:jc w:val="right"/>
              <w:ind w:right="358"/>
              <w:spacing w:after="0"/>
              <w:rPr>
                <w:sz w:val="20"/>
                <w:szCs w:val="20"/>
                <w:color w:val="auto"/>
              </w:rPr>
            </w:pPr>
            <w:r>
              <w:rPr>
                <w:rFonts w:ascii="Arial" w:cs="Arial" w:eastAsia="Arial" w:hAnsi="Arial"/>
                <w:sz w:val="18"/>
                <w:szCs w:val="18"/>
                <w:color w:val="auto"/>
              </w:rPr>
              <w:t>6,283,822</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158,635,086</w:t>
            </w:r>
          </w:p>
        </w:tc>
        <w:tc>
          <w:tcPr>
            <w:tcW w:w="1620" w:type="dxa"/>
            <w:vAlign w:val="bottom"/>
          </w:tcPr>
          <w:p>
            <w:pPr>
              <w:jc w:val="right"/>
              <w:ind w:right="358"/>
              <w:spacing w:after="0"/>
              <w:rPr>
                <w:sz w:val="20"/>
                <w:szCs w:val="20"/>
                <w:color w:val="auto"/>
              </w:rPr>
            </w:pPr>
            <w:r>
              <w:rPr>
                <w:rFonts w:ascii="Arial" w:cs="Arial" w:eastAsia="Arial" w:hAnsi="Arial"/>
                <w:sz w:val="18"/>
                <w:szCs w:val="18"/>
                <w:color w:val="auto"/>
              </w:rPr>
              <w:t>6,283,822</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158,635,086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-3103880</wp:posOffset>
            </wp:positionV>
            <wp:extent cx="1714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-3103880</wp:posOffset>
            </wp:positionV>
            <wp:extent cx="1714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-3103880</wp:posOffset>
            </wp:positionV>
            <wp:extent cx="1714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-3103880</wp:posOffset>
            </wp:positionV>
            <wp:extent cx="1714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-3103880</wp:posOffset>
            </wp:positionV>
            <wp:extent cx="1714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0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Next Investment Aggregator II, L.P. is an affiliate of Credit Suisse Securities (USA) LLC.</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Blackstone</w:t>
      </w:r>
    </w:p>
    <w:p>
      <w:pPr>
        <w:spacing w:after="0" w:line="81"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We have engaged Blackstone Advisory Partners L.P., an affiliate of Blackstone, to provide certain financial advisory services in connection with this offering. See “Underwriting (Conflicts of Interest)—Advisory Services.”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This Offering</w:t>
      </w:r>
    </w:p>
    <w:p>
      <w:pPr>
        <w:spacing w:after="0" w:line="81" w:lineRule="exact"/>
        <w:rPr>
          <w:sz w:val="20"/>
          <w:szCs w:val="20"/>
          <w:color w:val="auto"/>
        </w:rPr>
      </w:pPr>
    </w:p>
    <w:p>
      <w:pPr>
        <w:ind w:left="1260" w:right="979" w:firstLine="360"/>
        <w:spacing w:after="0" w:line="286" w:lineRule="auto"/>
        <w:rPr>
          <w:sz w:val="20"/>
          <w:szCs w:val="20"/>
          <w:color w:val="auto"/>
        </w:rPr>
      </w:pPr>
      <w:r>
        <w:rPr>
          <w:rFonts w:ascii="Arial" w:cs="Arial" w:eastAsia="Arial" w:hAnsi="Arial"/>
          <w:sz w:val="17"/>
          <w:szCs w:val="17"/>
          <w:color w:val="auto"/>
        </w:rPr>
        <w:t>In connection with the Reorganization Transactions, we will engage in certain transactions with certain of our directors, executive officers and other persons and entities which are holders of 5% or more of our voting securities. These transactions are described in “The Reorganization Transactions.”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77" w:lineRule="exact"/>
        <w:rPr>
          <w:sz w:val="20"/>
          <w:szCs w:val="20"/>
          <w:color w:val="auto"/>
        </w:rPr>
      </w:pPr>
    </w:p>
    <w:p>
      <w:pPr>
        <w:ind w:left="1260" w:right="879" w:firstLine="360"/>
        <w:spacing w:after="0" w:line="302" w:lineRule="auto"/>
        <w:rPr>
          <w:sz w:val="20"/>
          <w:szCs w:val="20"/>
          <w:color w:val="auto"/>
        </w:rPr>
      </w:pPr>
      <w:r>
        <w:rPr>
          <w:rFonts w:ascii="Arial" w:cs="Arial" w:eastAsia="Arial" w:hAnsi="Arial"/>
          <w:sz w:val="16"/>
          <w:szCs w:val="16"/>
          <w:color w:val="auto"/>
        </w:rPr>
        <w:t>We will operate our business through TWM LLC and its subsidiaries. In connection with the completion of this offering, we and the Original LLC Owners will enter into TWM LLC’s fifth amended and restated limited liability company agreement, which we refer to as the “TWM LLC Agreement.” The operations of TWM LLC, and the rights and obligations of the holders of LLC Interests, will be set forth in the TWM LLC Agreement.</w:t>
      </w: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i w:val="1"/>
          <w:iCs w:val="1"/>
          <w:color w:val="auto"/>
        </w:rPr>
        <w:t xml:space="preserve">Appointment as Manager. </w:t>
      </w:r>
      <w:r>
        <w:rPr>
          <w:rFonts w:ascii="Arial" w:cs="Arial" w:eastAsia="Arial" w:hAnsi="Arial"/>
          <w:sz w:val="18"/>
          <w:szCs w:val="18"/>
          <w:color w:val="auto"/>
        </w:rPr>
        <w:t>Under the TWM LLC Agreement, we will become a member and the sole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TWM LLC. As the sole manager, we will be able to control all of the day-to-day business affairs and decision-making of TWM LLC without the approval of any other member, unless otherwise stated in the TWM LLC Agreement. As such, we, through our officers and directors, will be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81"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will not be entitled to compensation for our services as manager. We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this offering and maintaining our existence as a separate legal entity.</w:t>
      </w:r>
    </w:p>
    <w:p>
      <w:pPr>
        <w:spacing w:after="0" w:line="57"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recapitalizes the units currently held by the existing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TWM LLC into a new single class of common membership units, which we refer to as the “LLC Interests.” The TWM LLC Agreement will also reflect a split of LLC Interests such that one LLC Interest can be acquired with the net proceeds received in the initial offering from the sale of one share of our Class A common stock. Each LLC Interest will entitle the holder to a pro rata share of the net profits and net losses and distributions of TWM LLC.</w:t>
      </w:r>
    </w:p>
    <w:p>
      <w:pPr>
        <w:spacing w:after="0" w:line="8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In connection with any tax period, the TWM LLC Agreement will require TWM LLC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will also allow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dividend payments, if any, to the holders of our Class A common stock and Class B common stock.</w:t>
      </w:r>
    </w:p>
    <w:p>
      <w:pPr>
        <w:spacing w:after="0" w:line="6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i w:val="1"/>
          <w:iCs w:val="1"/>
          <w:color w:val="auto"/>
        </w:rPr>
        <w:t xml:space="preserve">LLC Interest Redemption Right. </w:t>
      </w:r>
      <w:r>
        <w:rPr>
          <w:rFonts w:ascii="Arial" w:cs="Arial" w:eastAsia="Arial" w:hAnsi="Arial"/>
          <w:sz w:val="17"/>
          <w:szCs w:val="17"/>
          <w:color w:val="auto"/>
        </w:rPr>
        <w:t>The TWM LLC Agreement provides a redemption right to the Continuing</w:t>
      </w:r>
      <w:r>
        <w:rPr>
          <w:rFonts w:ascii="Arial" w:cs="Arial" w:eastAsia="Arial" w:hAnsi="Arial"/>
          <w:sz w:val="17"/>
          <w:szCs w:val="17"/>
          <w:i w:val="1"/>
          <w:iCs w:val="1"/>
          <w:color w:val="auto"/>
        </w:rPr>
        <w:t xml:space="preserve"> </w:t>
      </w:r>
      <w:r>
        <w:rPr>
          <w:rFonts w:ascii="Arial" w:cs="Arial" w:eastAsia="Arial" w:hAnsi="Arial"/>
          <w:sz w:val="17"/>
          <w:szCs w:val="17"/>
          <w:color w:val="auto"/>
        </w:rPr>
        <w:t>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w:t>
      </w:r>
    </w:p>
    <w:p>
      <w:pPr>
        <w:spacing w:after="0" w:line="25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79"/>
        <w:spacing w:after="0" w:line="264" w:lineRule="auto"/>
        <w:rPr>
          <w:sz w:val="20"/>
          <w:szCs w:val="20"/>
          <w:color w:val="auto"/>
        </w:rPr>
      </w:pPr>
      <w:r>
        <w:rPr>
          <w:rFonts w:ascii="Arial" w:cs="Arial" w:eastAsia="Arial" w:hAnsi="Arial"/>
          <w:sz w:val="18"/>
          <w:szCs w:val="18"/>
          <w:color w:val="auto"/>
        </w:rPr>
        <w:t>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73"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6"/>
          <w:szCs w:val="16"/>
          <w:i w:val="1"/>
          <w:iCs w:val="1"/>
          <w:color w:val="auto"/>
        </w:rPr>
        <w:t xml:space="preserve">Issuance of LLC Interests Upon Exercise of Options or Issuance of Other Equity Compensation. </w:t>
      </w:r>
      <w:r>
        <w:rPr>
          <w:rFonts w:ascii="Arial" w:cs="Arial" w:eastAsia="Arial" w:hAnsi="Arial"/>
          <w:sz w:val="16"/>
          <w:szCs w:val="16"/>
          <w:color w:val="auto"/>
        </w:rPr>
        <w:t>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68"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i w:val="1"/>
          <w:iCs w:val="1"/>
          <w:color w:val="auto"/>
        </w:rPr>
        <w:t xml:space="preserve">Maintenance of one-to-one ratio of shares of Class A common stock, Class B common stock and LLC Interests owned by Tradeweb. </w:t>
      </w:r>
      <w:r>
        <w:rPr>
          <w:rFonts w:ascii="Arial" w:cs="Arial" w:eastAsia="Arial" w:hAnsi="Arial"/>
          <w:sz w:val="16"/>
          <w:szCs w:val="16"/>
          <w:color w:val="auto"/>
        </w:rPr>
        <w:t>Our amended and restated certificate of incorporation and the TWM LLC</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will require that (i) we at all times maintain a ratio of one LLC Interest owned by us for each share of</w:t>
      </w:r>
    </w:p>
    <w:p>
      <w:pPr>
        <w:ind w:left="1260" w:right="959" w:firstLine="8"/>
        <w:spacing w:after="0" w:line="290" w:lineRule="auto"/>
        <w:tabs>
          <w:tab w:leader="none" w:pos="148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Class A common stock issued by us and (II) Class B common stock issued by us, in each case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56"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will provide that the decision of the manager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decision of our board of directors)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4" w:lineRule="exact"/>
        <w:rPr>
          <w:sz w:val="20"/>
          <w:szCs w:val="20"/>
          <w:color w:val="auto"/>
        </w:rPr>
      </w:pPr>
    </w:p>
    <w:p>
      <w:pPr>
        <w:ind w:left="1260" w:right="1079" w:firstLine="360"/>
        <w:spacing w:after="0" w:line="276" w:lineRule="auto"/>
        <w:rPr>
          <w:sz w:val="20"/>
          <w:szCs w:val="20"/>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Each member will agree to maintain the confidentiality of TWM LLC’s confidential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i w:val="1"/>
          <w:iCs w:val="1"/>
          <w:color w:val="auto"/>
        </w:rPr>
        <w:t xml:space="preserve">Indemnification and Exculpation. </w:t>
      </w:r>
      <w:r>
        <w:rPr>
          <w:rFonts w:ascii="Arial" w:cs="Arial" w:eastAsia="Arial" w:hAnsi="Arial"/>
          <w:sz w:val="17"/>
          <w:szCs w:val="17"/>
          <w:color w:val="auto"/>
        </w:rPr>
        <w:t>The TWM LLC Agreement provides for indemnification of the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70"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64"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TWM LLC Agreement may be amended with the consent of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4"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expect to obtain an increase in our share of the tax basis of the assets of TWM LLC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in connection with the disposition by such Continuing LLC Owner of its LLC Interests for cash in connection with this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7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intend to enter into the Tax Receivable Agreement (the “TRA”) with TWM LLC and the Continuing LLC Owners. The TRA will provide for the payment by us to the Continuing LLC Owners who dispose of LLC Interests for cash in connection with this offering, or receive shares of our Class A common stock or Class B common stock or cash, as applicable, in connection with an exchange or redemption of LLC Interests following this offering, of 50% of the amount of U.S. federal, state and local income or franchise tax savings, if any, that we actually realize, or in some circumstances are deemed to realize, as a result of the transactions with such Continuing LLC Owner described above,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143" w:lineRule="exact"/>
        <w:rPr>
          <w:sz w:val="20"/>
          <w:szCs w:val="20"/>
          <w:color w:val="auto"/>
        </w:rPr>
      </w:pPr>
    </w:p>
    <w:p>
      <w:pPr>
        <w:ind w:left="1980" w:right="879" w:hanging="352"/>
        <w:spacing w:after="0" w:line="264"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140"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125" w:lineRule="exact"/>
        <w:rPr>
          <w:rFonts w:ascii="Arial" w:cs="Arial" w:eastAsia="Arial" w:hAnsi="Arial"/>
          <w:sz w:val="17"/>
          <w:szCs w:val="17"/>
          <w:color w:val="auto"/>
        </w:rPr>
      </w:pPr>
    </w:p>
    <w:p>
      <w:pPr>
        <w:ind w:left="1980" w:right="799" w:hanging="352"/>
        <w:spacing w:after="0" w:line="254"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TRA.</w:t>
      </w:r>
    </w:p>
    <w:p>
      <w:pPr>
        <w:spacing w:after="0" w:line="8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consummation of the offering.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5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w:t>
      </w:r>
    </w:p>
    <w:p>
      <w:pPr>
        <w:spacing w:after="0" w:line="70"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8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8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 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firstLine="360"/>
        <w:spacing w:after="0" w:line="290" w:lineRule="auto"/>
        <w:rPr>
          <w:sz w:val="20"/>
          <w:szCs w:val="20"/>
          <w:color w:val="auto"/>
        </w:rPr>
      </w:pPr>
      <w:r>
        <w:rPr>
          <w:rFonts w:ascii="Arial" w:cs="Arial" w:eastAsia="Arial" w:hAnsi="Arial"/>
          <w:sz w:val="16"/>
          <w:szCs w:val="16"/>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4" w:lineRule="exact"/>
        <w:rPr>
          <w:sz w:val="20"/>
          <w:szCs w:val="20"/>
          <w:color w:val="auto"/>
        </w:rPr>
      </w:pPr>
    </w:p>
    <w:p>
      <w:pPr>
        <w:ind w:left="1260" w:right="839" w:firstLine="360"/>
        <w:spacing w:after="0" w:line="284" w:lineRule="auto"/>
        <w:rPr>
          <w:sz w:val="20"/>
          <w:szCs w:val="20"/>
          <w:color w:val="auto"/>
        </w:rPr>
      </w:pPr>
      <w:r>
        <w:rPr>
          <w:rFonts w:ascii="Arial" w:cs="Arial" w:eastAsia="Arial" w:hAnsi="Arial"/>
          <w:sz w:val="16"/>
          <w:szCs w:val="16"/>
          <w:color w:val="auto"/>
        </w:rPr>
        <w:t>We intend to enter into the Stockholders Agreement with the Refinitiv Owners. This agreement will require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of directors or a duly-authorized committee of the board, as a director of our company, the number of Refinitiv Directors serving as directors of our company will be equal to: (1) if the Refinitiv Owners and their affiliates together continue to hold at least</w:t>
      </w:r>
    </w:p>
    <w:p>
      <w:pPr>
        <w:spacing w:after="0" w:line="5" w:lineRule="exact"/>
        <w:rPr>
          <w:sz w:val="20"/>
          <w:szCs w:val="20"/>
          <w:color w:val="auto"/>
        </w:rPr>
      </w:pPr>
    </w:p>
    <w:p>
      <w:pPr>
        <w:ind w:left="1260" w:right="759"/>
        <w:spacing w:after="0" w:line="283" w:lineRule="auto"/>
        <w:rPr>
          <w:sz w:val="20"/>
          <w:szCs w:val="20"/>
          <w:color w:val="auto"/>
        </w:rPr>
      </w:pPr>
      <w:r>
        <w:rPr>
          <w:rFonts w:ascii="Arial" w:cs="Arial" w:eastAsia="Arial" w:hAnsi="Arial"/>
          <w:sz w:val="16"/>
          <w:szCs w:val="16"/>
          <w:color w:val="auto"/>
        </w:rPr>
        <w:t>50% of the combined voting power of our outstanding common stock as of the record date for such meeting, the total number of directors comprising our entire board of directors;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of directors;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of directors;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of directors;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of directors. In the case of a vacancy on our board created by the removal, resignation or otherwise of a Refinitiv Director, the Stockholders Agreement, to the extent the Refinitiv Owners continue to be entitled to nominate such Refinitiv Director, will require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continue to appoint each of Lee Olesky, our Chief Executive Officer, and Billy Hult, our President, as members of our board of directors.</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Demand Rights</w:t>
      </w:r>
    </w:p>
    <w:p>
      <w:pPr>
        <w:spacing w:after="0" w:line="104"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color w:val="auto"/>
        </w:rPr>
        <w:t>From time to time after 180 days following the date of this prospectus, the Refinitiv Owners and the Bank Stockholders may request that we register all or a portion of their registrable shares for sale under the Securities Act, including, when we are eligible,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and the Bank Stockholders may request that we facilitate a shelf takedown of all or a portion of their registrable shares (provided the aggregate number of registrable shares that are requested to be included in any such takedown equals at least $100.0 million). The foregoing demand rights are subject to a number of exceptions and limitations, and we will not be required to effect a demand (whether for a non-shelf registered offering, an underwriten shelf registration or an underwritten shelf takedown) on more than one occasion in any twelve-month period, provided, however, that (i) until the first anniversary of the pricing date of this offering, we shall not be required to effect more than two demands (whether for a non-shelf registered offering, an underwritten shelf registration or an underwritten shelf takedown) and (ii) a shelf takedown demanded in connection with a demanded shelf registration shall constitute a single demand. This limitation on the number of demands will fall away at the earlier of (i) the third anniversary the pricing date of this offering and (ii) the date the Bank Stockholders own a number of shares of our common stock, in the aggregate, that is less than 10% of the number of shares of our common stock then outstanding. In addition, from and after the time that the Bank Stockholders own a number of shares of our common stock, in the aggregate, that is less than 10% of the total number of shares of our common stock then outstanding, the Bank Stockholders will have no further demand rights. We will not be required to effect the registration as requested by any of the Refinitiv Owners or the Bank Stockholders, if in the good faith judgment of our board of directors,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Piggyback Registration Rights</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the Bank Stockholders, will fall away when the Bank Stockholders own a number of shares of our common stock, in the aggregate, that is less than 10% of the total number of shares of our common stock then outstanding; provided, that, with respect to each Bank Stockholder, on an individual basis, in no event shall such Bank Stockholder, together with any other holder that is an affiliate of such Bank Stockholder, cease to be entitled to piggyback rights if such Bank Stockholder, together with any such affiliate, owns a number of shares of our common stock, in the aggregate, that is more than 2% of the total number of shares of common stock then outstanding.</w:t>
      </w:r>
    </w:p>
    <w:p>
      <w:pPr>
        <w:spacing w:after="0" w:line="70"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Transfer Restrictions</w:t>
      </w:r>
    </w:p>
    <w:p>
      <w:pPr>
        <w:spacing w:after="0" w:line="104"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Without our prior written consent, the Refinitiv Owners and the Bank Stockholders will not be permitted to transfer any registrable shares they beneficially own as of the closing of this offering (the “Initial Ownership Shares”), including pursuant to the Registration Rights Agreement, except (i) with respect to 50% of such holder’s Initial Ownership Shares, after 180 days following the date of this prospectus, (ii) with respect to the remainder of such holder’s Initial Ownership Shares, after 365 days following the effective date of the registration statement of which this prospectus forms a part, (iii) to certain permitted transferees and (iv) in certain other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Provisions</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We intend to enter into indemnification agreements with our directors and executive officers. These agreements will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57"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8"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Prior to the completion of this offering, our board of directors will adopt a policy providing that the audit committee will review and approve or ratify transactions in excess of $120,000 of value in which we participate and in which a director, executive officer or beneficial holder of more than 5% of any class of our voting securities has or will have a direct or indirect material interest. Under this policy, the audit committee is to obtain all information it believes to be relevant to a review and approval or ratification of these transactions. After consideration of the relevant information, the audit committee is to approve only those related party transactions that the audit committee determines are not inconsistent with the best interests of the Company. In particular, our policy with respect to related party transactions will require our audit committee to consider the relationship of the related party to the Company, the nature and extent of the related party’s interest in the transaction, the material terms of the transaction, the importance and fairness of the transaction both to the Company and to the related party,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parties, if any. A “related party” is any person who is or was one of our executive officers, directors or director nominees or is a holder of more than 5% of our common stock, or their immediate family members or any entity owned or controlled by any of the foregoing persons. All of the transactions described above were entered into prior to the adoption of this policy.</w:t>
      </w:r>
    </w:p>
    <w:p>
      <w:pPr>
        <w:spacing w:after="0" w:line="6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DESCRIPTION OF CAPITAL STOCK</w:t>
      </w:r>
    </w:p>
    <w:p>
      <w:pPr>
        <w:spacing w:after="0" w:line="94"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In connection with this offering, we will amend and restate our certificate of incorporation and our bylaws. Unless otherwise stated, the following is a description of the material terms of, and is qualified in its entirety by, our amended and restated certificate of incorporation and amended and restated bylaws, each of which will be in effect upon the completion of this offering, the forms of which are filed as exhibits to the registration statement of which this prospectus forms a part. In this “Description of Capital Stock” section, “we,” “us,” “our” and “our company” refer to Tradeweb Markets Inc. and not to any of its subsidiaries.</w:t>
      </w:r>
    </w:p>
    <w:p>
      <w:pPr>
        <w:spacing w:after="0" w:line="57"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current authorized capital stock consists of 1,000 shares of common stock, par value $0.01 per share.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Upon the completion of this offering, our authorized capital stock will consist of 1,000,000,000 shares of Class 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common stock, par value $0.00001 per share, 450,000,000 shares of Class B common stock, par value $0.00001</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per share, 350,000,000 shares of Class C common stock, par value $0.00001 per share, 300,000,000 shares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Class D common stock, par value $0.00001 per share, and 250,000,000 shares of preferred stock, par value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$0.00001 per share. Unless our board of directors determines otherwise, we will issue all shares of our capital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in uncertificated form.</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jc w:val="both"/>
        <w:ind w:left="1260" w:right="859" w:firstLine="360"/>
        <w:spacing w:after="0" w:line="286"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65"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43"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pari passu, an amount per share equal to the par value thereof and thereafter the holders of shares of our Class A common stock and Class B common stock will be entitled to share ratably our remaining assets available for distribution.</w:t>
      </w:r>
    </w:p>
    <w:p>
      <w:pPr>
        <w:spacing w:after="0" w:line="8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77"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5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8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Upon the completion of this offering, the Refinitiv Direct Owner will own 100% of our outstanding Class B common stock.</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share of Class B common stock will automatically convert into one share of Class A common stock</w:t>
      </w:r>
    </w:p>
    <w:p>
      <w:pPr>
        <w:spacing w:after="0" w:line="35" w:lineRule="exact"/>
        <w:rPr>
          <w:sz w:val="20"/>
          <w:szCs w:val="20"/>
          <w:color w:val="auto"/>
        </w:rPr>
      </w:pPr>
    </w:p>
    <w:p>
      <w:pPr>
        <w:ind w:left="1260" w:right="919" w:firstLine="8"/>
        <w:spacing w:after="0" w:line="254" w:lineRule="auto"/>
        <w:tabs>
          <w:tab w:leader="none" w:pos="14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4"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Holders of shares of our Class C common stock are not entitled to receive dividends. Other than their par value, holders of our Class C common stock are not entitled to receive a distribution upon our liquidation, dissolution or winding up.</w:t>
      </w:r>
    </w:p>
    <w:p>
      <w:pPr>
        <w:spacing w:after="0" w:line="73"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 Class C common stock will not be subject to further calls or assessments by us. Holders of shares of our Class C common stock do not have preemptive, subscription, redemption or conversion rights. There will be no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6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Additional shares of Class C common stock will only be issued in the future to the extent (i) necessary to avoid the combined voting power held by any Bank Stockholder to exceed 4.9%, (ii) Continuing LLC Owners that hold shares of Class D common stock from time to time exchange all or a portion of their shares of our Class D common stock for newly issued shares of Class C common stock on a one-for-one basis (in which case their shares of Class D common stock will be cancelled on a one-for-one basis upon such issuance), or (iii) necessary to maintain a one-to-one ratio between the number of shares of Class C common stock issued to the Continuing LLC Owners and the number of related LLC interests held by the</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93" w:lineRule="auto"/>
        <w:rPr>
          <w:sz w:val="20"/>
          <w:szCs w:val="20"/>
          <w:color w:val="auto"/>
        </w:rPr>
      </w:pPr>
      <w:r>
        <w:rPr>
          <w:rFonts w:ascii="Arial" w:cs="Arial" w:eastAsia="Arial" w:hAnsi="Arial"/>
          <w:sz w:val="16"/>
          <w:szCs w:val="16"/>
          <w:color w:val="auto"/>
        </w:rPr>
        <w:t>Continuing LLC Owners. Shares of Class C common stock will be cancelled on a one-for-one basis if we, at the election of a Continuing LLC Owner, redeem the related LLC Interests held by such Continuing LLC Owner and issue Class A common stock to the Continuing LLC Owner in connection therewith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4"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Holders of shares of our Class D common stock are not entitled to receive dividends. Other than their par value, holders of our Class D common stock are not entitled to receive a distribution upon our liquidation, dissolution or winding up.</w:t>
      </w:r>
    </w:p>
    <w:p>
      <w:pPr>
        <w:spacing w:after="0" w:line="7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All shares of our Class D common stock that will be outstanding upon completion of this offering will be fully paid and non-assessable. The Class D common stock will not be subject to further calls or assessments by us. Holders of shares of our Class D common stock do not have preemptive, subscription, redemption or conversion rights. There will be no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8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Shares of Class D common stock will only be issued in the future to the extent necessary to maintain a one-to-one ratio between the number of shares of Class D common stock issued to the Continuing LLC Owners and the number of related LLC Intersts held by the Continuing LLC Owners. Shares of Class D common stock will be cancelled on a one-for-one basis if we, at the election of a Continuing LLC Owner, redeem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Each share of Class D common stock will automatically convert into one share of Class C common stock</w:t>
      </w:r>
    </w:p>
    <w:p>
      <w:pPr>
        <w:spacing w:after="0" w:line="46" w:lineRule="exact"/>
        <w:rPr>
          <w:sz w:val="20"/>
          <w:szCs w:val="20"/>
          <w:color w:val="auto"/>
        </w:rPr>
      </w:pPr>
    </w:p>
    <w:p>
      <w:pPr>
        <w:ind w:left="1260" w:right="739" w:firstLine="8"/>
        <w:spacing w:after="0" w:line="268" w:lineRule="auto"/>
        <w:tabs>
          <w:tab w:leader="none" w:pos="147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immediately prior to any sale or other transfer of such share by a Continuing LLC Owner or any of its affiliates or permitted transferees to a non-permitted transferee, or (ii) once the Refinitiv Owners and their affiliates together no longer beneficially own a number of shares of our common stock and LLC Interests that together entitle them to at least 10% of TWM LLC’s economic interests.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7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Upon the completion of this offering, the Continuing LLC Owners will own 100% of our outstanding Class C common stock and Class D common stock, with the number of shares of Class C common stock and/or Class D common stock held by any such Continuing LLC Owner being equivalent to the number of LLC Interests held by such Continuing LLC Owner, as the case may be.</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3" w:lineRule="exact"/>
        <w:rPr>
          <w:sz w:val="20"/>
          <w:szCs w:val="20"/>
          <w:color w:val="auto"/>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57" w:lineRule="exact"/>
        <w:rPr>
          <w:rFonts w:ascii="Arial" w:cs="Arial" w:eastAsia="Arial" w:hAnsi="Arial"/>
          <w:sz w:val="18"/>
          <w:szCs w:val="18"/>
          <w:color w:val="auto"/>
        </w:rPr>
      </w:pPr>
    </w:p>
    <w:p>
      <w:pPr>
        <w:jc w:val="both"/>
        <w:ind w:left="1980" w:right="859" w:hanging="352"/>
        <w:spacing w:after="0" w:line="312" w:lineRule="auto"/>
        <w:tabs>
          <w:tab w:leader="none" w:pos="19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9" w:lineRule="exact"/>
        <w:rPr>
          <w:rFonts w:ascii="Arial" w:cs="Arial" w:eastAsia="Arial" w:hAnsi="Arial"/>
          <w:sz w:val="16"/>
          <w:szCs w:val="16"/>
          <w:color w:val="auto"/>
        </w:rPr>
      </w:pPr>
    </w:p>
    <w:p>
      <w:pPr>
        <w:ind w:left="1980" w:hanging="352"/>
        <w:spacing w:after="0"/>
        <w:tabs>
          <w:tab w:leader="none" w:pos="19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171"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02"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116" w:lineRule="exact"/>
        <w:rPr>
          <w:rFonts w:ascii="Arial" w:cs="Arial" w:eastAsia="Arial" w:hAnsi="Arial"/>
          <w:sz w:val="18"/>
          <w:szCs w:val="18"/>
          <w:color w:val="auto"/>
        </w:rPr>
      </w:pPr>
    </w:p>
    <w:p>
      <w:pPr>
        <w:ind w:left="1980" w:right="799" w:hanging="352"/>
        <w:spacing w:after="0" w:line="257"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0" w:lineRule="exact"/>
        <w:rPr>
          <w:rFonts w:ascii="Arial" w:cs="Arial" w:eastAsia="Arial" w:hAnsi="Arial"/>
          <w:sz w:val="18"/>
          <w:szCs w:val="18"/>
          <w:color w:val="auto"/>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Following this offering, we intend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 direct operations, we expect to pay dividends, if any, from funds we receive from our subsidiaries. In addition, our ability to pay dividends may be limited by the terms of the New Revolving Credit Facility or any future credit agreement or any future debt or preferred equity securities of Tradeweb or its subsidiaries. See “Dividend Policy.”</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jc w:val="both"/>
        <w:ind w:left="1260" w:right="879" w:firstLine="360"/>
        <w:spacing w:after="0" w:line="264"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69" w:lineRule="exact"/>
        <w:rPr>
          <w:sz w:val="20"/>
          <w:szCs w:val="20"/>
          <w:color w:val="auto"/>
        </w:rPr>
      </w:pPr>
    </w:p>
    <w:p>
      <w:pPr>
        <w:ind w:left="1260" w:right="121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4"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70" w:lineRule="exact"/>
        <w:rPr>
          <w:sz w:val="20"/>
          <w:szCs w:val="20"/>
          <w:color w:val="auto"/>
        </w:rPr>
      </w:pPr>
    </w:p>
    <w:p>
      <w:pPr>
        <w:ind w:left="1260" w:right="1119" w:firstLine="360"/>
        <w:spacing w:after="0" w:line="255"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8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9" w:lineRule="auto"/>
        <w:rPr>
          <w:sz w:val="20"/>
          <w:szCs w:val="20"/>
          <w:color w:val="auto"/>
        </w:rPr>
      </w:pPr>
      <w:r>
        <w:rPr>
          <w:rFonts w:ascii="Arial" w:cs="Arial" w:eastAsia="Arial" w:hAnsi="Arial"/>
          <w:sz w:val="17"/>
          <w:szCs w:val="17"/>
          <w:color w:val="auto"/>
        </w:rPr>
        <w:t>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19" w:lineRule="exact"/>
        <w:rPr>
          <w:sz w:val="20"/>
          <w:szCs w:val="20"/>
          <w:color w:val="auto"/>
        </w:rPr>
      </w:pPr>
    </w:p>
    <w:p>
      <w:pPr>
        <w:ind w:left="1980" w:right="979" w:hanging="352"/>
        <w:spacing w:after="0" w:line="277"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27" w:lineRule="exact"/>
        <w:rPr>
          <w:rFonts w:ascii="Arial" w:cs="Arial" w:eastAsia="Arial" w:hAnsi="Arial"/>
          <w:sz w:val="18"/>
          <w:szCs w:val="18"/>
          <w:color w:val="auto"/>
        </w:rPr>
      </w:pPr>
    </w:p>
    <w:p>
      <w:pPr>
        <w:ind w:left="1980" w:right="779" w:hanging="352"/>
        <w:spacing w:after="0" w:line="231"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5"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80"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4"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Refinitiv Owners and its affiliates beneficially own in the aggregate, less than 50% of the voting power of all the outstanding shares of our stock entitled to vote generally in the election of directors, directors may only be removed for cause, and only upon the affirmative vote of 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 the aggregate, less than 50% of the voting</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19"/>
        <w:spacing w:after="0" w:line="302" w:lineRule="auto"/>
        <w:rPr>
          <w:sz w:val="20"/>
          <w:szCs w:val="20"/>
          <w:color w:val="auto"/>
        </w:rPr>
      </w:pPr>
      <w:r>
        <w:rPr>
          <w:rFonts w:ascii="Arial" w:cs="Arial" w:eastAsia="Arial" w:hAnsi="Arial"/>
          <w:sz w:val="16"/>
          <w:szCs w:val="16"/>
          <w:color w:val="auto"/>
        </w:rPr>
        <w:t>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60" w:right="1119" w:firstLine="360"/>
        <w:spacing w:after="0" w:line="302"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90"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 aggregate, at least 50% in voting power of the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90"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90"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at any time when the Refinitiv Owners and their affiliates own, in the aggregate, less than 50% in voting power of our stock entitled to vote generally in the election of directors.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90" w:lineRule="exact"/>
        <w:rPr>
          <w:sz w:val="20"/>
          <w:szCs w:val="20"/>
          <w:color w:val="auto"/>
        </w:rPr>
      </w:pPr>
    </w:p>
    <w:p>
      <w:pPr>
        <w:ind w:left="1260" w:right="1099" w:firstLine="36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w:t>
      </w:r>
    </w:p>
    <w:p>
      <w:pPr>
        <w:spacing w:after="0" w:line="1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1" w:lineRule="auto"/>
        <w:rPr>
          <w:sz w:val="20"/>
          <w:szCs w:val="20"/>
          <w:color w:val="auto"/>
        </w:rPr>
      </w:pPr>
      <w:r>
        <w:rPr>
          <w:rFonts w:ascii="Arial" w:cs="Arial" w:eastAsia="Arial" w:hAnsi="Arial"/>
          <w:sz w:val="17"/>
          <w:szCs w:val="17"/>
          <w:color w:val="auto"/>
        </w:rPr>
        <w:t>whole or in part, our bylaws without a stockholder vote in any matter not inconsistent with the laws of the State of Delaware or our amended and restated certificate of incorporation. For as long as the Refinitiv Owners and their affiliates beneficially own, in the aggregate, at least 50% in voting power of our stock entitled to vote generally in the election of directors, any amendment, alteration, change, addition, rescission or repeal of our bylaws by our stockholders requires the affirmative vote of a majority in voting power of the outstanding shares of our stock present in person or represented by proxy at the meeting and entitled to vote on such amendment, alteration, change, addition, rescission or repeal. At any time when Refinitiv and its affiliates beneficially own, in the aggregate, less than 50% in voting power of our stock entitled to vote generally in the election of directors, any amendment, alteration, change, addition, rescission or repeal of our bylaws by our stockholders requires the affirmative vote of the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in voting power of all the then outstanding shares of stock entitled to vote thereon, voting together as a single class.</w:t>
      </w:r>
    </w:p>
    <w:p>
      <w:pPr>
        <w:spacing w:after="0" w:line="71"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Our amended and restated certificate of incorporation provides that at any time when the Refinitiv Owners and their affiliates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 outstanding shares of stock entitled to vote thereon, voting together as a single class:</w:t>
      </w:r>
    </w:p>
    <w:p>
      <w:pPr>
        <w:spacing w:after="0" w:line="132" w:lineRule="exact"/>
        <w:rPr>
          <w:sz w:val="20"/>
          <w:szCs w:val="20"/>
          <w:color w:val="auto"/>
        </w:rPr>
      </w:pPr>
    </w:p>
    <w:p>
      <w:pPr>
        <w:ind w:left="1980" w:right="1319" w:hanging="352"/>
        <w:spacing w:after="0" w:line="293"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newly-created directorships;</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71" w:lineRule="exact"/>
        <w:rPr>
          <w:rFonts w:ascii="Arial" w:cs="Arial" w:eastAsia="Arial" w:hAnsi="Arial"/>
          <w:sz w:val="18"/>
          <w:szCs w:val="18"/>
          <w:color w:val="auto"/>
        </w:rPr>
      </w:pPr>
    </w:p>
    <w:p>
      <w:pPr>
        <w:ind w:left="1980" w:right="1559" w:hanging="352"/>
        <w:spacing w:after="0" w:line="223" w:lineRule="auto"/>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94"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4"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79"/>
        <w:spacing w:after="0" w:line="259" w:lineRule="auto"/>
        <w:rPr>
          <w:sz w:val="20"/>
          <w:szCs w:val="20"/>
          <w:color w:val="auto"/>
        </w:rPr>
      </w:pPr>
      <w:r>
        <w:rPr>
          <w:rFonts w:ascii="Arial" w:cs="Arial" w:eastAsia="Arial" w:hAnsi="Arial"/>
          <w:sz w:val="18"/>
          <w:szCs w:val="18"/>
          <w:color w:val="auto"/>
        </w:rPr>
        <w:t>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to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its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w:t>
      </w:r>
    </w:p>
    <w:p>
      <w:pPr>
        <w:spacing w:after="0" w:line="25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90" w:lineRule="auto"/>
        <w:rPr>
          <w:sz w:val="20"/>
          <w:szCs w:val="20"/>
          <w:color w:val="auto"/>
        </w:rPr>
      </w:pPr>
      <w:r>
        <w:rPr>
          <w:rFonts w:ascii="Arial" w:cs="Arial" w:eastAsia="Arial" w:hAnsi="Arial"/>
          <w:sz w:val="16"/>
          <w:szCs w:val="16"/>
          <w:color w:val="auto"/>
        </w:rPr>
        <w:t>for itself or himself or its or his affiliates and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72"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1"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intend to enter into an indemnification agreement with each of our directors and executive officers as described in “Certain Relationships and Related Party Transactions — Related Party Transactions Entered Into in Connection With This Offering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left="1260" w:right="1019" w:firstLine="360"/>
        <w:spacing w:after="0" w:line="342" w:lineRule="auto"/>
        <w:rPr>
          <w:sz w:val="20"/>
          <w:szCs w:val="20"/>
          <w:color w:val="auto"/>
        </w:rPr>
      </w:pPr>
      <w:r>
        <w:rPr>
          <w:rFonts w:ascii="Arial" w:cs="Arial" w:eastAsia="Arial" w:hAnsi="Arial"/>
          <w:sz w:val="16"/>
          <w:szCs w:val="16"/>
          <w:color w:val="auto"/>
        </w:rPr>
        <w:t>The transfer agent and registrar for shares of our Class A common stock, Class B common stock, Class C common stock and Class D common stock will be American Stock Transfer &amp; Trust Company, LLC.</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been approved to list our Class A common stock on Nasdaq under the symbol “TW.”</w:t>
      </w: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DESCRIPTION OF CERTAIN INDEBTEDNESS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Revolving Credit Facility</w:t>
      </w:r>
    </w:p>
    <w:p>
      <w:pPr>
        <w:spacing w:after="0" w:line="10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expect to enter into the New Revolving Credit Facility concurrently with the consummation of this offering. Despite our expectations, the entering into the New Revolving Credit Facility and the terms of such credit facility are subject to a number of factors, and we cannot assure you that we will enter into a credit facility on such terms or at all.</w:t>
      </w:r>
    </w:p>
    <w:p>
      <w:pPr>
        <w:spacing w:after="0" w:line="7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TWM LLC will be the borrower under the New Revolving Credit Facility. The New Revolving Credit Facility is expected to permit borrowings of up to $500.0 million by TWM LLC. Subject to the satisfaction of certain criteria, we will be able to increase the facility by $250.0 million with the consent of lenders participating in the increase. The New Revolving Credit Facility is expected to provide for the issuance of up to $5.0 million of letters of credit as well as borrowings on same-day notice, referred to as swingline loans, in an amount of up to $30.0 million.</w:t>
      </w:r>
    </w:p>
    <w:p>
      <w:pPr>
        <w:spacing w:after="0" w:line="85"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 xml:space="preserve">Borrowings under the New Revolving Credit Facility are expected to bear interest at a rate equal to, at our option, either (a) a base rate equal to the greatest of: (i) the administrative agent’s prime rate; (ii) the federal funds effective rate plus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1.0% and (iii) one month LIBOR plus 1.0%; in each case plus 0.75%, or (b) LIBOR plus 1.75%, subject to a 0.00% floor.</w:t>
      </w:r>
    </w:p>
    <w:p>
      <w:pPr>
        <w:spacing w:after="0" w:line="75"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color w:val="auto"/>
        </w:rPr>
        <w:t>In addition to paying interest on any outstanding principal under the New Revolving Credit Facility, we will be required to pay a commitment fee in respect of unutilized commitments. The commitment fee will be 0.25%. We will also be required to pay customary letters of credit fees and agency fees.</w:t>
      </w:r>
    </w:p>
    <w:p>
      <w:pPr>
        <w:spacing w:after="0" w:line="7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We will have the option to voluntarily repay outstanding loans at any time without premium or penalty other than customary “breakage” costs with respect to LIBOR loans.</w:t>
      </w:r>
    </w:p>
    <w:p>
      <w:pPr>
        <w:spacing w:after="0" w:line="62" w:lineRule="exact"/>
        <w:rPr>
          <w:sz w:val="20"/>
          <w:szCs w:val="20"/>
          <w:color w:val="auto"/>
        </w:rPr>
      </w:pPr>
    </w:p>
    <w:p>
      <w:pPr>
        <w:ind w:left="1260" w:right="1079" w:firstLine="360"/>
        <w:spacing w:after="0" w:line="342" w:lineRule="auto"/>
        <w:rPr>
          <w:sz w:val="20"/>
          <w:szCs w:val="20"/>
          <w:color w:val="auto"/>
        </w:rPr>
      </w:pPr>
      <w:r>
        <w:rPr>
          <w:rFonts w:ascii="Arial" w:cs="Arial" w:eastAsia="Arial" w:hAnsi="Arial"/>
          <w:sz w:val="16"/>
          <w:szCs w:val="16"/>
          <w:color w:val="auto"/>
        </w:rPr>
        <w:t>There will be no scheduled amortization under the New Revolving Credit Facility. The principal amount outstanding will be due and payable in full at maturity, five years from the closing date of the facility.</w:t>
      </w:r>
    </w:p>
    <w:p>
      <w:pPr>
        <w:spacing w:after="0" w:line="16"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Obligations under the New Revolving Credit Facility will be guaranteed by our existing and future direct and indirect material wholly-owned domestic subsidiaries, subject to certain exceptions. The New Revolving Credit Facility will be secured by a first-priority security interest in substantially all of the assets of TWM LLC and the guarantors under the facility, subject to certain exceptions.</w:t>
      </w:r>
    </w:p>
    <w:p>
      <w:pPr>
        <w:spacing w:after="0" w:line="79" w:lineRule="exact"/>
        <w:rPr>
          <w:sz w:val="20"/>
          <w:szCs w:val="20"/>
          <w:color w:val="auto"/>
        </w:rPr>
      </w:pPr>
    </w:p>
    <w:p>
      <w:pPr>
        <w:ind w:left="1260" w:right="759" w:firstLine="360"/>
        <w:spacing w:after="0" w:line="264" w:lineRule="auto"/>
        <w:rPr>
          <w:sz w:val="20"/>
          <w:szCs w:val="20"/>
          <w:color w:val="auto"/>
        </w:rPr>
      </w:pPr>
      <w:r>
        <w:rPr>
          <w:rFonts w:ascii="Arial" w:cs="Arial" w:eastAsia="Arial" w:hAnsi="Arial"/>
          <w:sz w:val="18"/>
          <w:szCs w:val="18"/>
          <w:color w:val="auto"/>
        </w:rPr>
        <w:t>The credit agreement that will govern the New Revolving Credit Facility will contain a number of covenants that, among other things and subject to certain exceptions, restrict our ability and the ability of our restricted subsidiaries to:</w:t>
      </w:r>
    </w:p>
    <w:p>
      <w:pPr>
        <w:spacing w:after="0" w:line="154" w:lineRule="exact"/>
        <w:rPr>
          <w:sz w:val="20"/>
          <w:szCs w:val="20"/>
          <w:color w:val="auto"/>
        </w:rPr>
      </w:pPr>
    </w:p>
    <w:p>
      <w:pPr>
        <w:ind w:left="1980" w:hanging="352"/>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New Revolving Credit Facility is expected to contain a covenant requiring compliance with a</w:t>
      </w:r>
    </w:p>
    <w:p>
      <w:pPr>
        <w:spacing w:after="0" w:line="23" w:lineRule="exact"/>
        <w:rPr>
          <w:sz w:val="20"/>
          <w:szCs w:val="20"/>
          <w:color w:val="auto"/>
        </w:rPr>
      </w:pPr>
    </w:p>
    <w:p>
      <w:pPr>
        <w:ind w:left="1260" w:right="1219" w:firstLine="8"/>
        <w:spacing w:after="0" w:line="302" w:lineRule="auto"/>
        <w:tabs>
          <w:tab w:leader="none" w:pos="147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maximum total net leverage ratio tested on the last day of each fiscal quarter not to exceed 3.5 to 1.0 (increasing to 4.0 to 1.0 for the four-quarter period following a material acquisition) and (ii) minimum cash interest coverage ratio tested on the last day of each fiscal quarter not to exceed 3.0 to 1.0.</w:t>
      </w:r>
    </w:p>
    <w:p>
      <w:pPr>
        <w:spacing w:after="0" w:line="47"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 credit agreement that will govern the New Revolving Credit Facility will also contain certain customary affirmative covenants and events of default for facilities of this type, including relating to a change of control. If an event of default occurs, the lenders under the New Revolving Credit Facility will be entitled to take various actions, including the acceleration of amounts due under the New Revolving Credit Facility and all actions permitted to be taken by secured creditors under applicable law.</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Immediately prior to this offering, there was no public market for our Class A common stock. Future sales 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substantial amounts of our Class A common stock in the public market (including securities convertible into or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redeemable, exchangeable or exercisable for shares of Class A common stock), or the perception that such sales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occur, after this offering could adversely affect the prevailing market price of our Class A common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Furthermore, because substantially all of our Class A common stock outstanding prior to the completion of this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offering (including securities convertible into or redeemable, exchangeable or exercisable for shares of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A common stock) will be subject to the contractual and legal restrictions on resale described below, the sale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a substantial amount of Class A common stock in the public market after these restrictions lapse could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materially adversely affect the prevailing market price of our Class A common stock and our ability to raise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equity capital in the future.</w:t>
      </w:r>
    </w:p>
    <w:p>
      <w:pPr>
        <w:spacing w:after="0" w:line="103"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Upon completion of this offering, we expect to have outstanding an aggregate of 40,000,000 shares of our Class A common stock, assuming no exercise of outstanding options and assuming that the underwriters have not exercised their option to purchase additional shares of Class A common stock. All of the shares of Class A common stock sold in this offering will be freely transferable without restriction or further registration under the Securities Act (other than lock-up restrictions for any person purchasing shares in the directed share program) by persons other than “affiliates,” as that term is defined in Rule 144 under the Securities Act. Generally, the balance of our outstanding shares of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65"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color w:val="auto"/>
        </w:rPr>
        <w:t>In addition, upon completion of the offering, (i) the Other LLC Owners will own an aggregate of 62,300,702 LLC Interests and an aggregate of 62,300,702 shares of Class C common stock and Class D common stock (or 56,300,702 LLC Interests and an aggregate of 56,300,702 shares of Class C common stock and Class D common stock, if the underwriters exercise in full their option to purchase additional shares of Class A common stock), (ii) the Refinitiv LLC Owner will own an aggregate of 22,988,329 LLC Interests and 22,988,329 shares of Class D common stock and (iii) the Refinitiv Direct Owner will own an aggregate of 96,933,192 shares of Class B common stock. Pursuant to the TWM LLC Agreement and, subject to certain restrictions set forth therein and as described elsewhere in this prospectus, the Continuing LLC Owners will be granted the right to have their LLC Interests redeemed, at their election, for shares of our Class A common stock or Class B common stock, in each case, on a one-for-one basis (and such holders’ shares of Class C common stock or Class D common stock, as the case may be, will be cancelled on a one-for-one basis upon such issuance). Shares of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Our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288"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color w:val="auto"/>
        </w:rPr>
        <w:t>Upon the expiration of the lock-up arrangements described below, (i) 180 days after the date of this prospectus, and subject to the provisions of Rule 144, an additional 91,584,405 shares of Class A common stock (including securities convertible into or redeemable, exchangeable or exercisable for shares of Class A common stock) and (ii) 365 days after the date of this prospectus, and subject to the provisions of Rule 144, an additional 90,637,817 shares of Class A common stock (including securities convertible into or</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redeemable, exchangeable or exercisable for shares of Class A common stock) will, in each case, be available for sale in the public market. The sale of these restricted securities is subject, in the case of shares held by affiliates, to the volume restrictions contained in those rules.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In connection with this offering, we, our directors and executive officers and substantially all of our existing stockholders, which collectively hold substantially all of our outstanding shares of our Class A common stock other than shares sold in this offering (including securities convertible into or redeemable, exchangeable or exercisable for shares of our Class A common stock) will agree with the underwriters to enter into lock-up agreements described in “Underwriting (Conflicts of Interest),” pursuant to which shares of our Class A common stock outstanding after this offering (including securities convertible into or redeemable, exchangeable or exercisable for shares of our Class A common stock) will be restricted from immediate resale in accordance with the terms of such lock-up agreements without the prior written consent of the representatives. 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 These restrictions will be in effect for a period of 180 days after the date of this prospectus. Certain transfers or dispositions can be made sooner, provided the transferee becomes bound to the terms of the lock-up.</w:t>
      </w:r>
    </w:p>
    <w:p>
      <w:pPr>
        <w:spacing w:after="0" w:line="77"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for an additional six months. See “Certain Relationships and Related Party Transactions — Related Party Transactions Entered Into in Connection With This Offering — Registration Rights Agreement.”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completion of this offering,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52" w:lineRule="exact"/>
        <w:rPr>
          <w:sz w:val="20"/>
          <w:szCs w:val="20"/>
          <w:color w:val="auto"/>
        </w:rPr>
      </w:pPr>
    </w:p>
    <w:p>
      <w:pPr>
        <w:ind w:left="1980" w:right="1539" w:hanging="352"/>
        <w:spacing w:after="0" w:line="306" w:lineRule="auto"/>
        <w:tabs>
          <w:tab w:leader="none" w:pos="19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1% of the number of shares of our Class A common stock then outstanding, which will equal approximately 400,000 shares immediately after completion of this offering; or</w:t>
      </w:r>
    </w:p>
    <w:p>
      <w:pPr>
        <w:spacing w:after="0" w:line="1"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a sale.</w:t>
      </w:r>
    </w:p>
    <w:p>
      <w:pPr>
        <w:spacing w:after="0" w:line="62"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39"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shares of Class A common stock, other than pursuant to Rule 144 or a registration statement, the purchaser’s holding period for the purpose of effecting a sale under Rule 144 commences on the date of transfer from the affiliate.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1199" w:firstLine="360"/>
        <w:spacing w:after="0" w:line="342" w:lineRule="auto"/>
        <w:rPr>
          <w:sz w:val="20"/>
          <w:szCs w:val="20"/>
          <w:color w:val="auto"/>
        </w:rPr>
      </w:pPr>
      <w:r>
        <w:rPr>
          <w:rFonts w:ascii="Arial" w:cs="Arial" w:eastAsia="Arial" w:hAnsi="Arial"/>
          <w:sz w:val="16"/>
          <w:szCs w:val="16"/>
          <w:color w:val="auto"/>
        </w:rPr>
        <w:t>In general, under Rule 701 as in effect on the date of this prospectus, any of our employees, directors, officers, consultants or advisors who purchased shares from us in reliance on Rule 701 in connection with a</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compensatory stock or option plan or other written agreement before the effective date of this offering, or who purchased shares from us after that date upon the exercise of options granted before that date, are eligible to resell such shares 90 days after the effective date of this offering in reliance upon Rule 144. If such person is not an affiliate, such sale may be made subject only to current public information provisions of Rule 144. If such a person is an affiliate, such sale may be made under Rule 144 without compliance with the holding period requirement, but subject to the other Rule 144 restrictions described above.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8"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 statement on Form S-8 will cover approximately 33,334,000 shares of our Class A common stock. Shares issued under our equity incentive plans after the effective date of the applicable Form S-8 registration statement will be eligible for resale in the public market without restriction, subject to Rule 144 limitations applicable to affiliates and the lock-up agreements described above.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This Offering —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71"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980" w:right="919" w:hanging="352"/>
        <w:spacing w:after="0" w:line="342" w:lineRule="auto"/>
        <w:tabs>
          <w:tab w:leader="none" w:pos="19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7"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79"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85"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60" w:lineRule="exact"/>
        <w:rPr>
          <w:sz w:val="20"/>
          <w:szCs w:val="20"/>
          <w:color w:val="auto"/>
        </w:rPr>
      </w:pPr>
    </w:p>
    <w:p>
      <w:pPr>
        <w:ind w:left="1980" w:right="779" w:hanging="352"/>
        <w:spacing w:after="0" w:line="255" w:lineRule="auto"/>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59" w:hanging="352"/>
        <w:spacing w:after="0" w:line="277" w:lineRule="auto"/>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29"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29"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2"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75" w:lineRule="exact"/>
        <w:rPr>
          <w:sz w:val="20"/>
          <w:szCs w:val="20"/>
          <w:color w:val="auto"/>
        </w:rPr>
      </w:pPr>
    </w:p>
    <w:p>
      <w:pPr>
        <w:ind w:left="1260" w:right="959" w:firstLine="360"/>
        <w:spacing w:after="0" w:line="313" w:lineRule="auto"/>
        <w:rPr>
          <w:sz w:val="20"/>
          <w:szCs w:val="20"/>
          <w:color w:val="auto"/>
        </w:rPr>
      </w:pPr>
      <w:r>
        <w:rPr>
          <w:rFonts w:ascii="Arial" w:cs="Arial" w:eastAsia="Arial" w:hAnsi="Arial"/>
          <w:sz w:val="17"/>
          <w:szCs w:val="17"/>
          <w:b w:val="1"/>
          <w:bCs w:val="1"/>
          <w:color w:val="auto"/>
        </w:rPr>
        <w:t>Each Non-U.S. Holder should consult its own tax advisor regarding the U.S. federal, state, local and non-U.S. tax consequences of owning and disposing of our Class A common stock.</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discussed under “Dividend Policy” above, following this offering, we intend to pay quarterly cash dividends on our Class A common stock. Distributions of cash or property (other than certain pro rata distributions of our stock) with respect to our Class A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87"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59"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0"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 Non-U.S. Holder generally will not be subject to U.S. federal income tax (including withholding thereof)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any gain recognized on any sales or other dispositions of our Class A common stock unless:</w:t>
      </w:r>
    </w:p>
    <w:p>
      <w:pPr>
        <w:spacing w:after="0" w:line="184" w:lineRule="exact"/>
        <w:rPr>
          <w:sz w:val="20"/>
          <w:szCs w:val="20"/>
          <w:color w:val="auto"/>
        </w:rPr>
      </w:pPr>
    </w:p>
    <w:p>
      <w:pPr>
        <w:ind w:left="1980" w:right="799" w:hanging="352"/>
        <w:spacing w:after="0" w:line="272" w:lineRule="auto"/>
        <w:tabs>
          <w:tab w:leader="none" w:pos="1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37" w:lineRule="exact"/>
        <w:rPr>
          <w:rFonts w:ascii="Arial" w:cs="Arial" w:eastAsia="Arial" w:hAnsi="Arial"/>
          <w:sz w:val="17"/>
          <w:szCs w:val="17"/>
          <w:color w:val="auto"/>
        </w:rPr>
      </w:pPr>
    </w:p>
    <w:p>
      <w:pPr>
        <w:ind w:left="1980" w:right="859" w:hanging="352"/>
        <w:spacing w:after="0" w:line="276" w:lineRule="auto"/>
        <w:tabs>
          <w:tab w:leader="none" w:pos="1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32" w:lineRule="exact"/>
        <w:rPr>
          <w:rFonts w:ascii="Arial" w:cs="Arial" w:eastAsia="Arial" w:hAnsi="Arial"/>
          <w:sz w:val="17"/>
          <w:szCs w:val="17"/>
          <w:color w:val="auto"/>
        </w:rPr>
      </w:pPr>
    </w:p>
    <w:p>
      <w:pPr>
        <w:ind w:left="1980" w:right="799" w:hanging="352"/>
        <w:spacing w:after="0" w:line="286" w:lineRule="auto"/>
        <w:tabs>
          <w:tab w:leader="none" w:pos="1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61"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8" w:lineRule="exact"/>
        <w:rPr>
          <w:sz w:val="20"/>
          <w:szCs w:val="20"/>
          <w:color w:val="auto"/>
        </w:rPr>
      </w:pPr>
    </w:p>
    <w:p>
      <w:pPr>
        <w:ind w:left="1260" w:right="939" w:firstLine="360"/>
        <w:spacing w:after="0" w:line="302" w:lineRule="auto"/>
        <w:rPr>
          <w:sz w:val="20"/>
          <w:szCs w:val="20"/>
          <w:color w:val="auto"/>
        </w:rPr>
      </w:pPr>
      <w:r>
        <w:rPr>
          <w:rFonts w:ascii="Arial" w:cs="Arial" w:eastAsia="Arial" w:hAnsi="Arial"/>
          <w:sz w:val="16"/>
          <w:szCs w:val="16"/>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5"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left="1260" w:right="1339" w:firstLine="360"/>
        <w:spacing w:after="0" w:line="274" w:lineRule="auto"/>
        <w:rPr>
          <w:sz w:val="20"/>
          <w:szCs w:val="20"/>
          <w:color w:val="auto"/>
        </w:rPr>
      </w:pPr>
      <w:r>
        <w:rPr>
          <w:rFonts w:ascii="Arial" w:cs="Arial" w:eastAsia="Arial" w:hAnsi="Arial"/>
          <w:sz w:val="16"/>
          <w:szCs w:val="16"/>
          <w:color w:val="auto"/>
        </w:rPr>
        <w:t>The Foreign Account Tax Compliance Act and related Treasury guidance (commonly referred to as “FATCA”) impose U.S. federal withholding tax at a rate of 30% on payments to certain foreign entities of</w:t>
      </w:r>
    </w:p>
    <w:p>
      <w:pPr>
        <w:spacing w:after="0" w:line="1" w:lineRule="exact"/>
        <w:rPr>
          <w:sz w:val="20"/>
          <w:szCs w:val="20"/>
          <w:color w:val="auto"/>
        </w:rPr>
      </w:pPr>
    </w:p>
    <w:p>
      <w:pPr>
        <w:ind w:left="1260" w:right="779" w:firstLine="8"/>
        <w:spacing w:after="0" w:line="264" w:lineRule="auto"/>
        <w:tabs>
          <w:tab w:leader="none" w:pos="147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U.S.-source dividends (including dividends paid on our Class A common stock) and (ii) the gross proceeds from the sale or other disposition of property that produces U.S.-source dividends (including sales or other dispositions of our Class A common stock). Under recently proposed Treasury regulations that may be relied upon pending finalization, the withholding tax on gross proceeds would be eliminated and, consequently,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w:t>
      </w:r>
    </w:p>
    <w:p>
      <w:pPr>
        <w:spacing w:after="0" w:line="1"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UNDERWRITING (CONFLICTS OF INTEREST)</w:t>
      </w:r>
    </w:p>
    <w:p>
      <w:pPr>
        <w:spacing w:after="0" w:line="94"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We are offering shares of our Class A common stock described in this prospectus through a number of underwriters. J.P. Morgan Securities LLC, Citigroup Global Markets Inc., Goldman Sachs &amp; Co. LLC and Morgan Stanley &amp; Co. LLC are acting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9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9"/>
              </w:rPr>
              <w:t>Number of</w:t>
            </w:r>
          </w:p>
        </w:tc>
      </w:tr>
      <w:tr>
        <w:trPr>
          <w:trHeight w:val="186"/>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r>
      <w:tr>
        <w:trPr>
          <w:trHeight w:val="26"/>
        </w:trPr>
        <w:tc>
          <w:tcPr>
            <w:tcW w:w="6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7,109,460</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Citigroup Global Markets Inc.</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7,109,460</w:t>
            </w: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7,109,460</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Morgan Stanley &amp; Co. LLC</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7,109,460</w:t>
            </w:r>
          </w:p>
        </w:tc>
      </w:tr>
      <w:tr>
        <w:trPr>
          <w:trHeight w:val="229"/>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820" w:type="dxa"/>
            <w:vAlign w:val="bottom"/>
            <w:shd w:val="clear" w:color="auto" w:fill="CCEEFF"/>
          </w:tcPr>
          <w:p>
            <w:pPr>
              <w:spacing w:after="0"/>
              <w:rPr>
                <w:sz w:val="19"/>
                <w:szCs w:val="19"/>
                <w:color w:val="auto"/>
              </w:rPr>
            </w:pPr>
          </w:p>
        </w:tc>
      </w:tr>
      <w:tr>
        <w:trPr>
          <w:trHeight w:val="244"/>
        </w:trPr>
        <w:tc>
          <w:tcPr>
            <w:tcW w:w="66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Incorporated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2,003,847</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2,003,847</w:t>
            </w: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2,003,847</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1,203,846</w:t>
            </w: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1,203,846</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Wells Fargo Securities, LLC</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1,203,846</w:t>
            </w: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Jefferies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846,153</w:t>
            </w:r>
          </w:p>
        </w:tc>
      </w:tr>
      <w:tr>
        <w:trPr>
          <w:trHeight w:val="270"/>
        </w:trPr>
        <w:tc>
          <w:tcPr>
            <w:tcW w:w="6680" w:type="dxa"/>
            <w:vAlign w:val="bottom"/>
            <w:gridSpan w:val="3"/>
          </w:tcPr>
          <w:p>
            <w:pPr>
              <w:spacing w:after="0"/>
              <w:rPr>
                <w:sz w:val="20"/>
                <w:szCs w:val="20"/>
                <w:color w:val="auto"/>
              </w:rPr>
            </w:pPr>
            <w:r>
              <w:rPr>
                <w:rFonts w:ascii="Arial" w:cs="Arial" w:eastAsia="Arial" w:hAnsi="Arial"/>
                <w:sz w:val="18"/>
                <w:szCs w:val="18"/>
                <w:color w:val="auto"/>
              </w:rPr>
              <w:t>Sandler O'Neill &amp; Partners, L.P.</w:t>
            </w:r>
          </w:p>
        </w:tc>
        <w:tc>
          <w:tcPr>
            <w:tcW w:w="820" w:type="dxa"/>
            <w:vAlign w:val="bottom"/>
          </w:tcPr>
          <w:p>
            <w:pPr>
              <w:jc w:val="right"/>
              <w:spacing w:after="0"/>
              <w:rPr>
                <w:sz w:val="20"/>
                <w:szCs w:val="20"/>
                <w:color w:val="auto"/>
              </w:rPr>
            </w:pPr>
            <w:r>
              <w:rPr>
                <w:rFonts w:ascii="Arial" w:cs="Arial" w:eastAsia="Arial" w:hAnsi="Arial"/>
                <w:sz w:val="18"/>
                <w:szCs w:val="18"/>
                <w:color w:val="auto"/>
              </w:rPr>
              <w:t>846,153</w:t>
            </w:r>
          </w:p>
        </w:tc>
      </w:tr>
      <w:tr>
        <w:trPr>
          <w:trHeight w:val="27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71,500</w:t>
            </w:r>
          </w:p>
        </w:tc>
      </w:tr>
      <w:tr>
        <w:trPr>
          <w:trHeight w:val="270"/>
        </w:trPr>
        <w:tc>
          <w:tcPr>
            <w:tcW w:w="6680" w:type="dxa"/>
            <w:vAlign w:val="bottom"/>
            <w:gridSpan w:val="3"/>
          </w:tcPr>
          <w:p>
            <w:pPr>
              <w:spacing w:after="0"/>
              <w:rPr>
                <w:sz w:val="20"/>
                <w:szCs w:val="20"/>
                <w:color w:val="auto"/>
              </w:rPr>
            </w:pPr>
            <w:r>
              <w:rPr>
                <w:rFonts w:ascii="Arial" w:cs="Arial" w:eastAsia="Arial" w:hAnsi="Arial"/>
                <w:sz w:val="18"/>
                <w:szCs w:val="18"/>
                <w:color w:val="auto"/>
              </w:rPr>
              <w:t>Academy Securities, Inc.</w:t>
            </w:r>
          </w:p>
        </w:tc>
        <w:tc>
          <w:tcPr>
            <w:tcW w:w="820" w:type="dxa"/>
            <w:vAlign w:val="bottom"/>
          </w:tcPr>
          <w:p>
            <w:pPr>
              <w:jc w:val="right"/>
              <w:spacing w:after="0"/>
              <w:rPr>
                <w:sz w:val="20"/>
                <w:szCs w:val="20"/>
                <w:color w:val="auto"/>
              </w:rPr>
            </w:pPr>
            <w:r>
              <w:rPr>
                <w:rFonts w:ascii="Arial" w:cs="Arial" w:eastAsia="Arial" w:hAnsi="Arial"/>
                <w:sz w:val="18"/>
                <w:szCs w:val="18"/>
                <w:color w:val="auto"/>
              </w:rPr>
              <w:t>58,425</w:t>
            </w:r>
          </w:p>
        </w:tc>
      </w:tr>
      <w:tr>
        <w:trPr>
          <w:trHeight w:val="27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 King &amp; Associaties,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58,425</w:t>
            </w:r>
          </w:p>
        </w:tc>
      </w:tr>
      <w:tr>
        <w:trPr>
          <w:trHeight w:val="277"/>
        </w:trPr>
        <w:tc>
          <w:tcPr>
            <w:tcW w:w="6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Loop Capital Markets LLC</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58,425</w:t>
            </w:r>
          </w:p>
        </w:tc>
      </w:tr>
      <w:tr>
        <w:trPr>
          <w:trHeight w:val="270"/>
        </w:trPr>
        <w:tc>
          <w:tcPr>
            <w:tcW w:w="6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40,000,000</w:t>
            </w: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-205105</wp:posOffset>
            </wp:positionV>
            <wp:extent cx="423672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236720"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-3009265</wp:posOffset>
            </wp:positionV>
            <wp:extent cx="13716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underwriters propose to offer the shares directly to the public at the initial public offering price set forth on the cover page of this prospectus and to certain dealers at that price less a concession not in excess of $1.053 per share. After the initial offering of the shares to the public, the offering price and the other selling terms may be changed by the underwriters. Sales of shares made outside of the United States may be made by affiliates of the underwriters.</w:t>
      </w:r>
    </w:p>
    <w:p>
      <w:pPr>
        <w:spacing w:after="0" w:line="80"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underwriters have an option to buy up to 6,000,000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59" w:lineRule="exact"/>
        <w:rPr>
          <w:sz w:val="20"/>
          <w:szCs w:val="20"/>
          <w:color w:val="auto"/>
        </w:rPr>
      </w:pPr>
    </w:p>
    <w:p>
      <w:pPr>
        <w:ind w:left="1260" w:right="1599" w:firstLine="360"/>
        <w:spacing w:after="0" w:line="342" w:lineRule="auto"/>
        <w:rPr>
          <w:sz w:val="20"/>
          <w:szCs w:val="20"/>
          <w:color w:val="auto"/>
        </w:rPr>
      </w:pPr>
      <w:r>
        <w:rPr>
          <w:rFonts w:ascii="Arial" w:cs="Arial" w:eastAsia="Arial" w:hAnsi="Arial"/>
          <w:sz w:val="16"/>
          <w:szCs w:val="16"/>
          <w:color w:val="auto"/>
        </w:rPr>
        <w:t>At our request, the underwriters have reserved for sale at the initial public offering price up to 1,800,000 shares of our Class A common stock being offered for sale to our directors, officers, certain</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employees and other parties with a connection to the Company. We will offer these shares to the extent permitted under applicable regulations in the United States and in various countries. Certain employees of TWM LLC are entitled to a special bonus in recognition of their performance during calendar year 2018 and may use the special bonus to purchase reserved shares. Pursuant to the underwriting agreement, the sales will be made by the representatives through a directed share program. The number of shares of Class A common stock available for sale to the general public will be reduced to the extent that such persons purchase such reserved shares. Any reserved shares not so purchased will be offered by the underwriters to the general public on the same basis as the other shares of Class A common stock offered hereby. Each person buying shares of Class A common stock through the directed share program will be subject to a 180-day lock-up period with respect to such shares. We have agreed to indemnify the representatives in connection with the directed share program, including for the failure of any participant to pay for its shares of Class A common stock. Other than the underwriting discount described on the front cover of this prospectus, the underwriters will not be entitled to any commission with respect to shares of Class A common stock sold pursuant to the directed share program.</w:t>
      </w:r>
    </w:p>
    <w:p>
      <w:pPr>
        <w:spacing w:after="0" w:line="67"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9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No</w:t>
            </w:r>
          </w:p>
        </w:tc>
        <w:tc>
          <w:tcPr>
            <w:tcW w:w="100" w:type="dxa"/>
            <w:vAlign w:val="bottom"/>
          </w:tcPr>
          <w:p>
            <w:pPr>
              <w:spacing w:after="0"/>
              <w:rPr>
                <w:sz w:val="14"/>
                <w:szCs w:val="14"/>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Full</w:t>
            </w:r>
          </w:p>
        </w:tc>
      </w:tr>
      <w:tr>
        <w:trPr>
          <w:trHeight w:val="186"/>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exercise</w:t>
            </w:r>
          </w:p>
        </w:tc>
        <w:tc>
          <w:tcPr>
            <w:tcW w:w="1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4"/>
                <w:szCs w:val="14"/>
                <w:b w:val="1"/>
                <w:bCs w:val="1"/>
                <w:color w:val="auto"/>
              </w:rPr>
              <w:t>exercise</w:t>
            </w:r>
          </w:p>
        </w:tc>
      </w:tr>
      <w:tr>
        <w:trPr>
          <w:trHeight w:val="26"/>
        </w:trPr>
        <w:tc>
          <w:tcPr>
            <w:tcW w:w="4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3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57"/>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70,200,000</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80,730,000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-334010</wp:posOffset>
            </wp:positionV>
            <wp:extent cx="37134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222"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$12.1 million. We have agreed to reimburse the underwriters for expenses relating to clearance of this offering with FINRA in an amount up to $70,000.</w:t>
      </w:r>
    </w:p>
    <w:p>
      <w:pPr>
        <w:spacing w:after="0" w:line="79"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have agreed that for a period of 180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the representatives, other than the shares of our Class A common stock to be sold hereunder and any shares of our Class A common stock issued upon the exercise of options granted under our existing management incentive plans.</w:t>
      </w:r>
    </w:p>
    <w:p>
      <w:pPr>
        <w:spacing w:after="0" w:line="67"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Our directors and executive officers and substantially all of our other stockholders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the representatives, (1) offer, pledge, announce the intention to sell, sell, contract to sell, sell any option or contract to purchase, purchase any option or contract to sell, grant any option, right or warrant to purchase, or otherwise transfer or dispose of, directly</w:t>
      </w:r>
    </w:p>
    <w:p>
      <w:pPr>
        <w:spacing w:after="0" w:line="2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88" w:lineRule="auto"/>
        <w:rPr>
          <w:sz w:val="20"/>
          <w:szCs w:val="20"/>
          <w:color w:val="auto"/>
        </w:rPr>
      </w:pPr>
      <w:r>
        <w:rPr>
          <w:rFonts w:ascii="Arial" w:cs="Arial" w:eastAsia="Arial" w:hAnsi="Arial"/>
          <w:sz w:val="16"/>
          <w:szCs w:val="16"/>
          <w:color w:val="auto"/>
        </w:rPr>
        <w:t>or indirectly, any shares of our Class A common stock or any securities convertible into or redeemable, exercisable or exchangeable for our Class A common stock, including the LLC Interests (and including, without limitation, Class A common stock or such other securities which may be deemed to be beneficially owned by such directors, executive officers, managers and members in accordance with the rules and regulations of the SEC and securities which may be issued upon exercise of a stock option) or (2) enter into any swap or other agreement that transfers, in whole or in part, any of the economic consequences of ownership of the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Class A common stock.</w:t>
      </w:r>
    </w:p>
    <w:p>
      <w:pPr>
        <w:spacing w:after="0" w:line="61"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have been approved to have our Class A common stock listed on Nasdaq under the symbol “TW.”</w:t>
      </w:r>
    </w:p>
    <w:p>
      <w:pPr>
        <w:spacing w:after="0" w:line="129" w:lineRule="exact"/>
        <w:rPr>
          <w:sz w:val="20"/>
          <w:szCs w:val="20"/>
          <w:color w:val="auto"/>
        </w:rPr>
      </w:pPr>
    </w:p>
    <w:p>
      <w:pPr>
        <w:ind w:left="1260" w:right="779" w:firstLine="360"/>
        <w:spacing w:after="0" w:line="267"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8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85"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64"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certain of the Original LLC Owners and the representatives of the underwriters. In determining the initial public offering price, we and the representatives of the underwriters considered a number of factors including:</w:t>
      </w:r>
    </w:p>
    <w:p>
      <w:pPr>
        <w:spacing w:after="0" w:line="146" w:lineRule="exact"/>
        <w:rPr>
          <w:sz w:val="20"/>
          <w:szCs w:val="20"/>
          <w:color w:val="auto"/>
        </w:rPr>
      </w:pPr>
    </w:p>
    <w:p>
      <w:pPr>
        <w:ind w:left="1980" w:hanging="352"/>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7"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17" w:lineRule="exact"/>
        <w:rPr>
          <w:sz w:val="20"/>
          <w:szCs w:val="20"/>
          <w:color w:val="auto"/>
        </w:rPr>
      </w:pPr>
    </w:p>
    <w:p>
      <w:pPr>
        <w:ind w:left="1260" w:right="1219" w:firstLine="360"/>
        <w:spacing w:after="0" w:line="308"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shares, or that the shares will trade in the public market at or above the initial public offering price.</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Services</w:t>
      </w:r>
    </w:p>
    <w:p>
      <w:pPr>
        <w:spacing w:after="0" w:line="108"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We have engaged Blackstone Advisory Partners L.P., an affiliate of Blackstone, to provide certain financial advisory services in connection with this offering. We have agreed to pay Blackstone Advisory Partners L.P., only upon successful completion of this offering, a fee of $1.0 million.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108" w:lineRule="exact"/>
        <w:rPr>
          <w:sz w:val="20"/>
          <w:szCs w:val="20"/>
          <w:color w:val="auto"/>
        </w:rPr>
      </w:pPr>
    </w:p>
    <w:p>
      <w:pPr>
        <w:ind w:left="1260" w:right="799" w:firstLine="360"/>
        <w:spacing w:after="0" w:line="285" w:lineRule="auto"/>
        <w:rPr>
          <w:sz w:val="20"/>
          <w:szCs w:val="20"/>
          <w:color w:val="auto"/>
        </w:rPr>
      </w:pPr>
      <w:r>
        <w:rPr>
          <w:rFonts w:ascii="Arial" w:cs="Arial" w:eastAsia="Arial" w:hAnsi="Arial"/>
          <w:sz w:val="16"/>
          <w:szCs w:val="16"/>
          <w:color w:val="auto"/>
        </w:rPr>
        <w:t>Because affiliates of each of Deutsche Bank Securities Inc., Goldman Sachs &amp; Co. LLC, Morgan Stanley &amp; Co. LLC, Merrill Lynch, Pierce, Fenner &amp; Smith Incorporated and UBS Securities LLC are Bank Stockholders that will each receive more than 5.0% of the net proceeds from this offering, each of Deutsche Bank Securities Inc., Goldman Sachs &amp; Co. LLC, Morgan Stanley &amp; Co. LLC, Merrill Lynch, Pierce, Fenner &amp; Smith Incorporated and UBS Securities LLC is deemed to have a “conflict of interest” pursuant to FINRA Rule 5121(f)</w:t>
      </w:r>
    </w:p>
    <w:p>
      <w:pPr>
        <w:spacing w:after="0" w:line="2" w:lineRule="exact"/>
        <w:rPr>
          <w:sz w:val="20"/>
          <w:szCs w:val="20"/>
          <w:color w:val="auto"/>
        </w:rPr>
      </w:pPr>
    </w:p>
    <w:p>
      <w:pPr>
        <w:ind w:left="1260" w:right="799"/>
        <w:spacing w:after="0" w:line="267" w:lineRule="auto"/>
        <w:rPr>
          <w:sz w:val="20"/>
          <w:szCs w:val="20"/>
          <w:color w:val="auto"/>
        </w:rPr>
      </w:pPr>
      <w:r>
        <w:rPr>
          <w:rFonts w:ascii="Arial" w:cs="Arial" w:eastAsia="Arial" w:hAnsi="Arial"/>
          <w:sz w:val="17"/>
          <w:szCs w:val="17"/>
          <w:color w:val="auto"/>
        </w:rPr>
        <w:t>(5)(C)(ii). See “Use of Proceeds” and “Certain Relationships and Related Party Transactions — Transactions With Bank Stockholders” and “— Transactions With Certain Original LLC Owners.” Accordingly, this offering will be made in compliance with the applicable provisions of Rule 5121. As such, any underwriter that has a conflict of interest pursuant to Rule 5121 will not confirm sales to accounts in which it exercises discretionary authority without the prior written consent of the customer. Pursuant to Rule 5121, a “qualified independent underwriter” (as defined in Rule 5121) must participate in the preparation of the prospectus and perform its usual standard of due diligence with respect to the registration statement and this prospectus. Sandler O’ Neill &amp; Partners L.P. has agreed to act as qualified independent underwriter for the offering and to undertake the legal responsibilities and liabilities of an underwriter under the Securities Act, specifically including those inherent in Section 11 of the Securities Act. We have also agreed to indemnify Sandler O’ Neill &amp; Partners L.P. against certain liabilities incurred in connection with it acting as a qualified independent underwriter in this offering, including liabilities under the Securities Act.</w:t>
      </w:r>
    </w:p>
    <w:p>
      <w:pPr>
        <w:spacing w:after="0" w:line="77"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Affiliates of Citigroup Global Markets Inc., J.P. Morgan Securities LLC and Morgan Stanley &amp; Co. LLC will participate as arrangers and/or lenders under the New Revolving Credit Facility and affiliates of certain of the other underwriters are participating as lenders thereto.</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spacing w:after="0" w:line="264" w:lineRule="auto"/>
        <w:rPr>
          <w:sz w:val="20"/>
          <w:szCs w:val="20"/>
          <w:color w:val="auto"/>
        </w:rPr>
      </w:pPr>
      <w:r>
        <w:rPr>
          <w:rFonts w:ascii="Arial" w:cs="Arial" w:eastAsia="Arial" w:hAnsi="Arial"/>
          <w:sz w:val="18"/>
          <w:szCs w:val="18"/>
          <w:color w:val="auto"/>
        </w:rPr>
        <w:t>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04" w:lineRule="exact"/>
        <w:rPr>
          <w:sz w:val="20"/>
          <w:szCs w:val="20"/>
          <w:color w:val="auto"/>
        </w:rPr>
      </w:pPr>
    </w:p>
    <w:p>
      <w:pPr>
        <w:jc w:val="both"/>
        <w:ind w:left="1260" w:right="999" w:firstLine="360"/>
        <w:spacing w:after="0" w:line="317" w:lineRule="auto"/>
        <w:rPr>
          <w:sz w:val="20"/>
          <w:szCs w:val="20"/>
          <w:color w:val="auto"/>
        </w:rPr>
      </w:pPr>
      <w:r>
        <w:rPr>
          <w:rFonts w:ascii="Arial" w:cs="Arial" w:eastAsia="Arial" w:hAnsi="Arial"/>
          <w:sz w:val="16"/>
          <w:szCs w:val="16"/>
          <w:color w:val="auto"/>
        </w:rPr>
        <w:t>In relation to each Member State of the European Economic Area (each, a “Relevant Member State”), no offer of shares of Class A common stock may be made to the public in that Relevant Member State other than:</w:t>
      </w:r>
    </w:p>
    <w:p>
      <w:pPr>
        <w:ind w:left="1980" w:hanging="352"/>
        <w:spacing w:after="0"/>
        <w:tabs>
          <w:tab w:leader="none" w:pos="1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63" w:lineRule="exact"/>
        <w:rPr>
          <w:rFonts w:ascii="Arial" w:cs="Arial" w:eastAsia="Arial" w:hAnsi="Arial"/>
          <w:sz w:val="18"/>
          <w:szCs w:val="18"/>
          <w:color w:val="auto"/>
        </w:rPr>
      </w:pPr>
    </w:p>
    <w:p>
      <w:pPr>
        <w:ind w:left="1980" w:right="979" w:hanging="352"/>
        <w:spacing w:after="0" w:line="264" w:lineRule="auto"/>
        <w:tabs>
          <w:tab w:leader="none" w:pos="1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19"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Class A common stock shall require the Company or the representatives to publish a prospectus pursuant to Article 3 of the Prospectus Directive or supplement a prospectus pursuant to Article 16 of the Prospectus Directive.</w:t>
      </w:r>
    </w:p>
    <w:p>
      <w:pPr>
        <w:spacing w:after="0" w:line="7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Each person in a Relevant Member State who initially acquires any shares of Class A common stock or to whom any offer is made will be deemed to have represented, acknowledged and agreed that it is a “qualified investor” within the meaning of the law in that Relevant Member State implementing Article 2(1)(e) of the Prospectus Directive. In the case of any shares of Class A common stock being offered to a financial intermediary as that term is used in Article 3(2) of the Prospectus Directive,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Member State to qualified investors as so defined or in circumstances in which the prior consent of the representatives has been obtained to each such proposed offer or resale.</w:t>
      </w:r>
    </w:p>
    <w:p>
      <w:pPr>
        <w:spacing w:after="0" w:line="75"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acknowledgments and agreements.</w:t>
      </w:r>
    </w:p>
    <w:p>
      <w:pPr>
        <w:spacing w:after="0" w:line="62"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of Class A common stock. Accordingly any person making or intending to make an offer in that Relevant Member State of shares of Class A common stock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of Class A common stock in circumstances in which an obligation arises for the Company or the underwriters to publish a prospectus for such offer.</w:t>
      </w:r>
    </w:p>
    <w:p>
      <w:pPr>
        <w:spacing w:after="0" w:line="74"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of Class A common stock in any Relevant Member State means the communication in any form and by any means of sufficient information on the terms of the offer and the shares of Class A common stock to be offered so as to enable an investor to decide to purchase or subscribe the shares of Class A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60" w:right="939" w:firstLine="360"/>
        <w:spacing w:after="0" w:line="312"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99"/>
        <w:spacing w:after="0" w:line="259" w:lineRule="auto"/>
        <w:rPr>
          <w:sz w:val="20"/>
          <w:szCs w:val="20"/>
          <w:color w:val="auto"/>
        </w:rPr>
      </w:pPr>
      <w:r>
        <w:rPr>
          <w:rFonts w:ascii="Arial" w:cs="Arial" w:eastAsia="Arial" w:hAnsi="Arial"/>
          <w:sz w:val="18"/>
          <w:szCs w:val="18"/>
          <w:color w:val="auto"/>
        </w:rPr>
        <w:t>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79"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60" w:right="1019" w:firstLine="360"/>
        <w:spacing w:after="0" w:line="273" w:lineRule="auto"/>
        <w:rPr>
          <w:sz w:val="20"/>
          <w:szCs w:val="20"/>
          <w:color w:val="auto"/>
        </w:rPr>
      </w:pPr>
      <w:r>
        <w:rPr>
          <w:rFonts w:ascii="Arial" w:cs="Arial" w:eastAsia="Arial" w:hAnsi="Arial"/>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7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5"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90"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7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90"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980" w:right="859" w:hanging="352"/>
        <w:spacing w:after="0" w:line="277" w:lineRule="auto"/>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75"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92" w:lineRule="exact"/>
        <w:rPr>
          <w:rFonts w:ascii="Arial" w:cs="Arial" w:eastAsia="Arial" w:hAnsi="Arial"/>
          <w:sz w:val="18"/>
          <w:szCs w:val="18"/>
          <w:color w:val="auto"/>
        </w:rPr>
      </w:pPr>
    </w:p>
    <w:p>
      <w:pPr>
        <w:ind w:left="1980" w:right="899" w:hanging="352"/>
        <w:spacing w:after="0" w:line="264" w:lineRule="auto"/>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73"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65" w:lineRule="exact"/>
        <w:rPr>
          <w:sz w:val="20"/>
          <w:szCs w:val="20"/>
          <w:color w:val="auto"/>
        </w:rPr>
      </w:pPr>
    </w:p>
    <w:p>
      <w:pPr>
        <w:ind w:left="1260" w:right="939" w:firstLine="360"/>
        <w:spacing w:after="0" w:line="264"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3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43" w:lineRule="exact"/>
        <w:rPr>
          <w:sz w:val="20"/>
          <w:szCs w:val="20"/>
          <w:color w:val="auto"/>
        </w:rPr>
      </w:pPr>
    </w:p>
    <w:p>
      <w:pPr>
        <w:ind w:left="1980" w:right="839" w:hanging="352"/>
        <w:spacing w:after="0" w:line="264" w:lineRule="auto"/>
        <w:tabs>
          <w:tab w:leader="none" w:pos="1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0"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5" w:lineRule="exact"/>
        <w:rPr>
          <w:sz w:val="20"/>
          <w:szCs w:val="20"/>
          <w:color w:val="auto"/>
        </w:rPr>
      </w:pPr>
    </w:p>
    <w:p>
      <w:pPr>
        <w:ind w:left="1980" w:right="1259" w:hanging="352"/>
        <w:spacing w:after="0" w:line="342" w:lineRule="auto"/>
        <w:tabs>
          <w:tab w:leader="none" w:pos="19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96" w:lineRule="exact"/>
        <w:rPr>
          <w:rFonts w:ascii="Arial" w:cs="Arial" w:eastAsia="Arial" w:hAnsi="Arial"/>
          <w:sz w:val="16"/>
          <w:szCs w:val="16"/>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1980" w:right="1419" w:hanging="352"/>
        <w:spacing w:after="0" w:line="277" w:lineRule="auto"/>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Singapore Securities and Futures Act Product Classification — Solely for the purposes of its obligations pursuant to Sections 309B(1)(a) 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8"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as of and for the nine months ended September 30, 2018 included elsewhere in this prospectus.</w:t>
      </w:r>
    </w:p>
    <w:p>
      <w:pPr>
        <w:spacing w:after="0" w:line="70"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During the years ended December 31, 2017 and 2016,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59"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Tradeweb Markets LLC has provided a copy of the above statements to PricewaterhouseCoopers LLP and requested that PricewaterhouseCoopers LLP furnish Tradeweb Markets LLC with a letter addressed to the SEC stating whether or not they agree with the above disclosure. A copy of that letter, dated March 7, 2019, is filed as an exhibit to the registration statement of which this prospectus is a part.</w:t>
      </w:r>
    </w:p>
    <w:p>
      <w:pPr>
        <w:spacing w:after="0" w:line="63"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On November 11, 2018, Tradeweb Markets Inc. engaged Deloitte &amp; Touche LLP as its independent registered public accounting firm, and Tradeweb Markets LLC also engaged Deloitte &amp; Touche LLP as its independent registered public accounting firm on February 6, 2019. During the fiscal years ended December 31, 2017 and 2016 and the subsequent interim period through September 30, 2018, Tradeweb Markets LLC (or any person on its behalf) did not consult with Deloitte &amp; Touche LLP regarding any of the matters described in Items 304(a)(2)(i) or 304(a)(2)(ii) of Regulation S-K.</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The financial statement of Tradeweb Markets Inc. as of December 31, 2018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79"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consolidated financial statements of Tradeweb Markets LLC and its subsidiaries as of December 31, 2018 and for the period from October 1, 2018 to December 31, 2018 (the “Successor Period”) included in this prospectus have been audited by Deloitte &amp; Touche LLP, an independent registered public accounting firm, as stated in their report appearing herein (which report expresses an unqualified opinion on the consolidated financial statements and includes an emphasis of matter paragraph relating to the Successor Period financial statements not being comparable to the Predecessor Period financial statements as a result of pushdown accounting). Such financial statements have been so included in reliance upon the report of such firm given upon their authority as experts in accounting and auditing.</w:t>
      </w:r>
    </w:p>
    <w:p>
      <w:pPr>
        <w:spacing w:after="0" w:line="71"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The consolidated financial statements of Tradeweb Markets LLC and its subsidiaries as of December 31, 2017 (Predecessor), and for January 1, 2018 to September 30, 2018 (Predecessor), and for each of the years ended December 31, 2017 and 2016 (Predecessor), included in this prospectus, have been so included in reliance on the report of PricewaterhouseCoopers LLP, an independent registered public accounting firm, given on the authority of such firm as experts in accounting and auditing.</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color w:val="auto"/>
        </w:rPr>
        <w:t>In connection with the Refinitiv Transaction,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 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 (iii) 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277"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audit of Tradeweb Markets LLC’s financial statements as of and for the period from January 1, 2018 through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57"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will file annual, quarterly and current reports, proxy statements and other information with the SEC.</w:t>
      </w:r>
    </w:p>
    <w:p>
      <w:pPr>
        <w:spacing w:after="0" w:line="73"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You can review the registration statement, as well as our future SEC filings, by accessing the SEC’s website at www.sec.gov. You may also request copies of those documents, at no cost to you, by contacting us at the following address:</w:t>
      </w:r>
    </w:p>
    <w:p>
      <w:pPr>
        <w:spacing w:after="0" w:line="7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(646) 430-6000</w:t>
      </w:r>
    </w:p>
    <w:p>
      <w:pPr>
        <w:spacing w:after="0" w:line="103"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We intend to furnish our stockholders with annual reports containing financial statements audited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INDEX TO FINANCIAL STATEMENTS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180" w:type="dxa"/>
            <w:vAlign w:val="bottom"/>
            <w:tcBorders>
              <w:bottom w:val="single" w:sz="8" w:color="CCEEFF"/>
            </w:tcBorders>
          </w:tcPr>
          <w:p>
            <w:pPr>
              <w:spacing w:after="0"/>
              <w:rPr>
                <w:sz w:val="3"/>
                <w:szCs w:val="3"/>
                <w:color w:val="auto"/>
              </w:rPr>
            </w:pPr>
          </w:p>
        </w:tc>
        <w:tc>
          <w:tcPr>
            <w:tcW w:w="2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77"/>
        </w:trPr>
        <w:tc>
          <w:tcPr>
            <w:tcW w:w="7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Tradeweb Markets Inc. Statement of Financial Condition</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4"/>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24">
              <w:r>
                <w:rPr>
                  <w:rFonts w:ascii="Arial" w:cs="Arial" w:eastAsia="Arial" w:hAnsi="Arial"/>
                  <w:sz w:val="18"/>
                  <w:szCs w:val="18"/>
                  <w:color w:val="0000EE"/>
                </w:rPr>
                <w:t>F-2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260" w:type="dxa"/>
            <w:vAlign w:val="bottom"/>
            <w:gridSpan w:val="6"/>
            <w:shd w:val="clear" w:color="auto" w:fill="CCEEFF"/>
          </w:tcPr>
          <w:p>
            <w:pPr>
              <w:spacing w:after="0"/>
              <w:rPr>
                <w:rFonts w:ascii="Arial" w:cs="Arial" w:eastAsia="Arial" w:hAnsi="Arial"/>
                <w:sz w:val="18"/>
                <w:szCs w:val="18"/>
                <w:color w:val="0000EE"/>
                <w:w w:val="90"/>
              </w:rPr>
            </w:pPr>
            <w:hyperlink w:anchor="page225">
              <w:r>
                <w:rPr>
                  <w:rFonts w:ascii="Arial" w:cs="Arial" w:eastAsia="Arial" w:hAnsi="Arial"/>
                  <w:sz w:val="18"/>
                  <w:szCs w:val="18"/>
                  <w:color w:val="0000EE"/>
                  <w:w w:val="90"/>
                </w:rPr>
                <w:t>Statement of Financial Condition as of December 31, 2018</w:t>
              </w:r>
            </w:hyperlink>
          </w:p>
        </w:tc>
        <w:tc>
          <w:tcPr>
            <w:tcW w:w="3420" w:type="dxa"/>
            <w:vAlign w:val="bottom"/>
            <w:gridSpan w:val="8"/>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rPr>
            </w:pPr>
            <w:hyperlink w:anchor="page225">
              <w:r>
                <w:rPr>
                  <w:rFonts w:ascii="Arial" w:cs="Arial" w:eastAsia="Arial" w:hAnsi="Arial"/>
                  <w:sz w:val="18"/>
                  <w:szCs w:val="18"/>
                  <w:color w:val="0000EE"/>
                </w:rPr>
                <w:t>F-3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4260" w:type="dxa"/>
            <w:vAlign w:val="bottom"/>
            <w:gridSpan w:val="6"/>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Notes to Statement of Financial Condition</w:t>
              </w:r>
            </w:hyperlink>
          </w:p>
        </w:tc>
        <w:tc>
          <w:tcPr>
            <w:tcW w:w="3420" w:type="dxa"/>
            <w:vAlign w:val="bottom"/>
            <w:gridSpan w:val="8"/>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26">
              <w:r>
                <w:rPr>
                  <w:rFonts w:ascii="Arial" w:cs="Arial" w:eastAsia="Arial" w:hAnsi="Arial"/>
                  <w:sz w:val="18"/>
                  <w:szCs w:val="18"/>
                  <w:color w:val="0000EE"/>
                </w:rPr>
                <w:t>F-4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7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Tradeweb Markets LLC and Subsidiaries Consolidated Financial Statements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4"/>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Reports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27">
              <w:r>
                <w:rPr>
                  <w:rFonts w:ascii="Arial" w:cs="Arial" w:eastAsia="Arial" w:hAnsi="Arial"/>
                  <w:sz w:val="18"/>
                  <w:szCs w:val="18"/>
                  <w:color w:val="0000EE"/>
                </w:rPr>
                <w:t>F-5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gridSpan w:val="14"/>
            <w:shd w:val="clear" w:color="auto" w:fill="CCEEFF"/>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Consolidated Statements of Financial Condition as of December 31, 2018 and 2017</w:t>
              </w:r>
            </w:hyperlink>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rPr>
            </w:pPr>
            <w:hyperlink w:anchor="page229">
              <w:r>
                <w:rPr>
                  <w:rFonts w:ascii="Arial" w:cs="Arial" w:eastAsia="Arial" w:hAnsi="Arial"/>
                  <w:sz w:val="18"/>
                  <w:szCs w:val="18"/>
                  <w:color w:val="0000EE"/>
                </w:rPr>
                <w:t>F-7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6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30">
              <w:r>
                <w:rPr>
                  <w:rFonts w:ascii="Arial" w:cs="Arial" w:eastAsia="Arial" w:hAnsi="Arial"/>
                  <w:sz w:val="18"/>
                  <w:szCs w:val="18"/>
                  <w:color w:val="0000EE"/>
                  <w:w w:val="90"/>
                </w:rPr>
                <w:t>Consolidated Statements of Income for October 1, 2018 to December 31, 2018, January 1 to</w:t>
              </w:r>
            </w:hyperlink>
          </w:p>
        </w:tc>
        <w:tc>
          <w:tcPr>
            <w:tcW w:w="102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00" w:type="dxa"/>
            <w:vAlign w:val="bottom"/>
            <w:gridSpan w:val="13"/>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September 30, 2018 and the Years Ended December 31, 2017 and 2016</w:t>
              </w:r>
            </w:hyperlink>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F-8</w:t>
              </w:r>
            </w:hyperlink>
          </w:p>
        </w:tc>
      </w:tr>
      <w:tr>
        <w:trPr>
          <w:trHeight w:val="34"/>
        </w:trPr>
        <w:tc>
          <w:tcPr>
            <w:tcW w:w="180" w:type="dxa"/>
            <w:vAlign w:val="bottom"/>
          </w:tcPr>
          <w:p>
            <w:pPr>
              <w:spacing w:after="0"/>
              <w:rPr>
                <w:sz w:val="2"/>
                <w:szCs w:val="2"/>
                <w:color w:val="auto"/>
              </w:rPr>
            </w:pPr>
          </w:p>
        </w:tc>
        <w:tc>
          <w:tcPr>
            <w:tcW w:w="28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1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0"/>
              </w:rPr>
            </w:pPr>
            <w:hyperlink w:anchor="page231">
              <w:r>
                <w:rPr>
                  <w:rFonts w:ascii="Arial" w:cs="Arial" w:eastAsia="Arial" w:hAnsi="Arial"/>
                  <w:sz w:val="18"/>
                  <w:szCs w:val="18"/>
                  <w:color w:val="0000EE"/>
                  <w:w w:val="90"/>
                </w:rPr>
                <w:t>Consolidated Statements of Changes in Members’ Capital and Accumulated Other Comprehensive</w:t>
              </w:r>
            </w:hyperlink>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89"/>
              </w:rPr>
            </w:pPr>
            <w:hyperlink w:anchor="page231">
              <w:r>
                <w:rPr>
                  <w:rFonts w:ascii="Arial" w:cs="Arial" w:eastAsia="Arial" w:hAnsi="Arial"/>
                  <w:sz w:val="18"/>
                  <w:szCs w:val="18"/>
                  <w:color w:val="0000EE"/>
                  <w:w w:val="89"/>
                </w:rPr>
                <w:t>Loss for October 1, 2018 to December 31, 2018, January 1, 2018 to September 30, 2018 and the</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500" w:type="dxa"/>
            <w:vAlign w:val="bottom"/>
            <w:gridSpan w:val="13"/>
            <w:shd w:val="clear" w:color="auto" w:fill="CCEEFF"/>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Years Ended December 31, 2017 and 2016</w:t>
              </w:r>
            </w:hyperlink>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F-9</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14"/>
          </w:tcPr>
          <w:p>
            <w:pPr>
              <w:spacing w:after="0"/>
              <w:rPr>
                <w:rFonts w:ascii="Arial" w:cs="Arial" w:eastAsia="Arial" w:hAnsi="Arial"/>
                <w:sz w:val="18"/>
                <w:szCs w:val="18"/>
                <w:color w:val="0000EE"/>
                <w:w w:val="93"/>
              </w:rPr>
            </w:pPr>
            <w:hyperlink w:anchor="page232">
              <w:r>
                <w:rPr>
                  <w:rFonts w:ascii="Arial" w:cs="Arial" w:eastAsia="Arial" w:hAnsi="Arial"/>
                  <w:sz w:val="18"/>
                  <w:szCs w:val="18"/>
                  <w:color w:val="0000EE"/>
                  <w:w w:val="93"/>
                </w:rPr>
                <w:t>Consolidated Statements of Cash Flows for October 1, 2018 to December 31, 2018, January 1, 2018 to</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September 30, 2018 and the Years Ended December 31, 2017 and 2016</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w w:val="86"/>
              </w:rPr>
            </w:pPr>
            <w:hyperlink w:anchor="page232">
              <w:r>
                <w:rPr>
                  <w:rFonts w:ascii="Arial" w:cs="Arial" w:eastAsia="Arial" w:hAnsi="Arial"/>
                  <w:sz w:val="18"/>
                  <w:szCs w:val="18"/>
                  <w:color w:val="0000EE"/>
                  <w:w w:val="86"/>
                </w:rPr>
                <w:t>F-10</w:t>
              </w:r>
            </w:hyperlink>
          </w:p>
        </w:tc>
      </w:tr>
      <w:tr>
        <w:trPr>
          <w:trHeight w:val="34"/>
        </w:trPr>
        <w:tc>
          <w:tcPr>
            <w:tcW w:w="180" w:type="dxa"/>
            <w:vAlign w:val="bottom"/>
          </w:tcPr>
          <w:p>
            <w:pPr>
              <w:spacing w:after="0"/>
              <w:rPr>
                <w:sz w:val="2"/>
                <w:szCs w:val="2"/>
                <w:color w:val="auto"/>
              </w:rPr>
            </w:pPr>
          </w:p>
        </w:tc>
        <w:tc>
          <w:tcPr>
            <w:tcW w:w="28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160" w:type="dxa"/>
            <w:vAlign w:val="bottom"/>
            <w:gridSpan w:val="3"/>
            <w:shd w:val="clear" w:color="auto" w:fill="CCEEFF"/>
          </w:tcPr>
          <w:p>
            <w:pPr>
              <w:spacing w:after="0"/>
              <w:rPr>
                <w:rFonts w:ascii="Arial" w:cs="Arial" w:eastAsia="Arial" w:hAnsi="Arial"/>
                <w:sz w:val="18"/>
                <w:szCs w:val="18"/>
                <w:color w:val="0000EE"/>
                <w:w w:val="89"/>
              </w:rPr>
            </w:pPr>
            <w:hyperlink w:anchor="page234">
              <w:r>
                <w:rPr>
                  <w:rFonts w:ascii="Arial" w:cs="Arial" w:eastAsia="Arial" w:hAnsi="Arial"/>
                  <w:sz w:val="18"/>
                  <w:szCs w:val="18"/>
                  <w:color w:val="0000EE"/>
                  <w:w w:val="89"/>
                </w:rPr>
                <w:t>Notes to Consolidated Financial Statements</w:t>
              </w:r>
            </w:hyperlink>
          </w:p>
        </w:tc>
        <w:tc>
          <w:tcPr>
            <w:tcW w:w="4520" w:type="dxa"/>
            <w:vAlign w:val="bottom"/>
            <w:gridSpan w:val="11"/>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w w:val="86"/>
              </w:rPr>
            </w:pPr>
            <w:hyperlink w:anchor="page234">
              <w:r>
                <w:rPr>
                  <w:rFonts w:ascii="Arial" w:cs="Arial" w:eastAsia="Arial" w:hAnsi="Arial"/>
                  <w:sz w:val="18"/>
                  <w:szCs w:val="18"/>
                  <w:color w:val="0000EE"/>
                  <w:w w:val="86"/>
                </w:rPr>
                <w:t>F-12</w:t>
              </w:r>
            </w:hyperlink>
          </w:p>
        </w:tc>
      </w:tr>
      <w:tr>
        <w:trPr>
          <w:trHeight w:val="27"/>
        </w:trPr>
        <w:tc>
          <w:tcPr>
            <w:tcW w:w="18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-2597785</wp:posOffset>
            </wp:positionV>
            <wp:extent cx="48710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Sole Shareholder of Tradeweb Markets Inc.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w:t>
      </w:r>
    </w:p>
    <w:p>
      <w:pPr>
        <w:spacing w:after="0" w:line="108"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We have audited the accompanying statement of financial condition of Tradeweb Markets Inc. (the “Company”) as of December 31, 2018, and the related notes (collectively referred to as the “financial statement”). In our opinion, the financial statement presents fairly, in all material respects, the financial position of the Company as of December 31, 2018, in conformity with accounting principles generally accepted in the United States of America.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5, 2019</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86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Tradeweb Markets Inc.</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6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Statement of Financial Condition</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86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December 31, 2018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 shares authorized, 100 issued and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498284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-874395</wp:posOffset>
            </wp:positionV>
            <wp:extent cx="498284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this financial statement.</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Tradeweb Markets Inc.</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2018</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Tradeweb Markets Inc. (the “Corporation”) was formed as a Delaware corporation on November 7, 2018. The Corporation was formed for the purpose of completing certain reorganization transactions in order to carry on the business of Tradeweb Markets LLC and conducting a public offering. It is expected that following the completion of such reorganization transactions the Corporation will be the sole managing member of Tradeweb Markets LLC and will operate and control all of the businesses and affairs of Tradeweb Markets LLC and, through Tradeweb Markets LLC and its subsidiaries, continue to conduct the business now conducted by these subsidiaries.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The statement of financial condition is presented in accordance with accounting principles generally accepted in the United States of America. Separate statements of operations, comprehensive income, changes in stockholder’s equity and cash flows have not been presented in the financial statement because there have been no activities in this entity other than the initial capitalization.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STOCKHOLDER’S EQUITY</w:t>
      </w:r>
    </w:p>
    <w:p>
      <w:pPr>
        <w:spacing w:after="0" w:line="10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Corporation is authorized to issue 1,000 shares of Common Stock, par value $0.01 per share. The Chief Executive Officer of Tradeweb Markets LLC is the sole shareholder of the Corporation and contributed $100 to the Corporation on November 7, 2018 to purchase 100 shares of common stock. Holders of common stock are entitled to one vote for each share of common stock held on all matters submitted to shareholders for vote, consent or approval.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SUBSEQUENT EVENTS</w:t>
      </w:r>
    </w:p>
    <w:p>
      <w:pPr>
        <w:spacing w:after="0" w:line="108"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color w:val="auto"/>
        </w:rPr>
        <w:t>The Corporation has evaluated subsequent events through March 5, 2019, the date the statement of financial condition was issued. The Corporation did not note any subsequent events requiring disclosure or adjustments to the statement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Management and Members of Tradeweb Markets LLC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We have audited the accompanying consolidated statement of financial condition of Tradeweb Markets LLC and subsidiaries (the “Company”) as of December 31, 2018, the related consolidated statements of income, changes in members’ capital and accumulated other comprehensive loss, and cash flows for the period from October 1, 2018 to December 31, 2018 (the “Successor Period”), and the related notes (collectively referred to as the “financial statements”). In our opinion, the financial statements present fairly, in all material respects, the financial position of the Company as of December 31, 2018, and the results of its operations and its cash flows for period from October 1, 2018 to December 31, 2018, in conformity with accounting principles generally accepted in the United States of America.</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Emphasis of a Matter</w:t>
      </w:r>
    </w:p>
    <w:p>
      <w:pPr>
        <w:spacing w:after="0" w:line="108"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color w:val="auto"/>
        </w:rPr>
        <w:t>As discussed in Notes 1 and 3 to the financial statements, on October 1, 2018, a majority interest in King (Cayman) Holdings Ltd., was acquired by BCP York Holdings, a company owned by certain investment funds affiliated with The Blackstone Group L.P. As a result of the application of pushdown accounting, the Company’s financial statements for the Successor Period are not comparable to the Predecessor Periods, which are from January 1, 2018 to September 30, 2018, and for the years ended December 31, 2017 and 2016.</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5, 2019</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25, 2019 (as to the subsequent events described in Note 23)</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429"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Management and Members of Tradeweb Markets LLC (Predecessor):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We have audited the accompanying consolidated statements of financial condition of Tradeweb Markets LLC and its subsidiaries (Predecessor) (the “Company”) as of December 31, 2017 and the related consolidated statements of income, of changes in members’ capital and accumulated other comprehensive loss and of cash flows for the nine months ended September 30, 2018 and for the years ended December 31, 2017 and December 31, 2016, including the related notes (collectively referred to as the “consolidated financial statements”). In our opinion, the consolidated financial statements present fairly, in all material respects, the financial position of the Company as of December 31, 2017 and the results of its operations and its cash flows for the nine months ended September 30, 2018 and for the years ended December 31, 2017 and December 31, 2016,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ind w:left="1260" w:right="919" w:firstLine="360"/>
        <w:spacing w:after="0" w:line="312"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39"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17, 2018</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6"/>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7"/>
              </w:rPr>
              <w:t>Unaudited Pro</w:t>
            </w:r>
          </w:p>
        </w:tc>
        <w:tc>
          <w:tcPr>
            <w:tcW w:w="80" w:type="dxa"/>
            <w:vAlign w:val="bottom"/>
          </w:tcPr>
          <w:p>
            <w:pPr>
              <w:spacing w:after="0"/>
              <w:rPr>
                <w:sz w:val="2"/>
                <w:szCs w:val="2"/>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79"/>
              </w:rPr>
              <w:t>Successor</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5"/>
              </w:rPr>
              <w:t>Predecessor</w:t>
            </w: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vMerge w:val="continue"/>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8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left w:val="single" w:sz="8" w:color="auto"/>
            </w:tcBorders>
          </w:tcPr>
          <w:p>
            <w:pPr>
              <w:spacing w:after="0"/>
              <w:rPr>
                <w:sz w:val="12"/>
                <w:szCs w:val="12"/>
                <w:color w:val="auto"/>
              </w:rPr>
            </w:pPr>
          </w:p>
        </w:tc>
        <w:tc>
          <w:tcPr>
            <w:tcW w:w="86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Forma as of</w:t>
            </w:r>
          </w:p>
        </w:tc>
        <w:tc>
          <w:tcPr>
            <w:tcW w:w="880" w:type="dxa"/>
            <w:vAlign w:val="bottom"/>
            <w:gridSpan w:val="4"/>
            <w:vMerge w:val="continue"/>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December 31, 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(Note 22)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400"/>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w w:val="93"/>
              </w:rPr>
              <w:t>Cash and cash equivalents including cash deposited with related parties of $283,790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$234,107 at December 31, 2018 and December 31,2017, respectively</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290,104</w:t>
            </w:r>
          </w:p>
        </w:tc>
        <w:tc>
          <w:tcPr>
            <w:tcW w:w="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410,104</w:t>
            </w:r>
          </w:p>
        </w:tc>
        <w:tc>
          <w:tcPr>
            <w:tcW w:w="2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352,598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w w:val="97"/>
              </w:rPr>
              <w:t>Receivable from brokers and dealers and clearing organizations including receivables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from related parties of $3,332 at December 31, 2018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174,591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174,591</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4,324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7"/>
              </w:rPr>
              <w:t>Deposits with clearing organizations including deposits from related parties of $500 at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2018 and December 31, 2017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11,427</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9,926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rPr>
              <w:t>Accounts receivable, net of allowance including receivables from related parties of</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w w:val="97"/>
              </w:rPr>
              <w:t>$40,730 and $27,163 at December 31, 2018 and December 31, 2017,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87,192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87,192</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69,662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Furniture, equipment, purchased software and leasehold improvements, net of</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depreciation and amortization</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38,128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38,128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27,031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20"/>
                <w:szCs w:val="20"/>
                <w:color w:val="auto"/>
              </w:rPr>
            </w:pPr>
            <w:r>
              <w:rPr>
                <w:rFonts w:ascii="Arial" w:cs="Arial" w:eastAsia="Arial" w:hAnsi="Arial"/>
                <w:sz w:val="14"/>
                <w:szCs w:val="14"/>
                <w:color w:val="auto"/>
              </w:rPr>
              <w:t>Software development costs, net of accumulated amortization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170,582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170,582</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41,181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 of accumulated amortization</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1,380,848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1,380,848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222,219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2,694,797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2,694,797</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563,421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 affiliates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3,243</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00" w:type="dxa"/>
            <w:vAlign w:val="bottom"/>
          </w:tcPr>
          <w:p>
            <w:pPr>
              <w:spacing w:after="0"/>
              <w:rPr>
                <w:sz w:val="20"/>
                <w:szCs w:val="20"/>
                <w:color w:val="auto"/>
              </w:rPr>
            </w:pPr>
            <w:r>
              <w:rPr>
                <w:rFonts w:ascii="Arial" w:cs="Arial" w:eastAsia="Arial" w:hAnsi="Arial"/>
                <w:sz w:val="14"/>
                <w:szCs w:val="14"/>
                <w:color w:val="auto"/>
                <w:w w:val="95"/>
              </w:rPr>
              <w:t>Other assets including other assets from related parties of $9 and $27 at 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2018 and December 31, 2017,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25,027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25,027</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18,130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Pr>
          <w:p>
            <w:pPr>
              <w:ind w:left="1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4,877,139</w:t>
            </w: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4,997,139</w:t>
            </w:r>
          </w:p>
        </w:tc>
        <w:tc>
          <w:tcPr>
            <w:tcW w:w="2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1,316,887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4"/>
                <w:szCs w:val="14"/>
                <w:b w:val="1"/>
                <w:bCs w:val="1"/>
                <w:color w:val="auto"/>
              </w:rPr>
              <w:t>Liabilities and Members’ Capital</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5"/>
              </w:rPr>
              <w:t>Payable to brokers and dealers and clearing organizations including payables to related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parties of $2,404 at December 31, 2018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171,214</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171,214</w:t>
            </w:r>
          </w:p>
        </w:tc>
        <w:tc>
          <w:tcPr>
            <w:tcW w:w="20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4,322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120,158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120,158</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89,769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6"/>
              </w:rPr>
              <w:t>Deferred revenue including deferred revenue from related parties of $9,151 and $5,106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2018 and December 31, 2017, respectively</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27,883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27,883</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Contingent consideration payable to related parties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129,393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7"/>
              </w:rPr>
              <w:t>Accounts payable, accrued expenses and other liabilities including payables to related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parties of $2,555 at December 31, 2017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42,548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27,364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Employee equity compensation payable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24,187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24,187</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31,019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Payable to affiliates</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5,009</w:t>
            </w:r>
          </w:p>
        </w:tc>
        <w:tc>
          <w:tcPr>
            <w:tcW w:w="4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4"/>
                <w:szCs w:val="14"/>
                <w:color w:val="auto"/>
              </w:rPr>
              <w:t>Deferred tax 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19,627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19,627</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Total liabilities</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410,626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410,626</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317,118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0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Commitments and contingencies (Note 17)</w:t>
            </w: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Mezzanine Capital</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0" w:type="dxa"/>
            <w:vAlign w:val="bottom"/>
            <w:tcBorders>
              <w:lef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4"/>
                <w:szCs w:val="14"/>
                <w:color w:val="auto"/>
              </w:rPr>
              <w:t>Class C Shares and Class P(C) Shares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14,179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14,179</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13,301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Members’ capital</w:t>
            </w:r>
          </w:p>
        </w:tc>
        <w:tc>
          <w:tcPr>
            <w:tcW w:w="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right w:val="single" w:sz="8" w:color="CCEEFF"/>
            </w:tcBorders>
            <w:shd w:val="clear" w:color="auto" w:fill="CCEEFF"/>
          </w:tcPr>
          <w:p>
            <w:pPr>
              <w:spacing w:after="0"/>
              <w:rPr>
                <w:sz w:val="24"/>
                <w:szCs w:val="24"/>
                <w:color w:val="auto"/>
              </w:rPr>
            </w:pPr>
          </w:p>
        </w:tc>
        <w:tc>
          <w:tcPr>
            <w:tcW w:w="40" w:type="dxa"/>
            <w:vAlign w:val="bottom"/>
            <w:tcBorders>
              <w:top w:val="single" w:sz="8" w:color="CCEEFF"/>
              <w:left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Members’ capital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4,453,200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4,573,200</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999,735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(866)</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4"/>
                <w:szCs w:val="14"/>
                <w:b w:val="1"/>
                <w:bCs w:val="1"/>
                <w:color w:val="auto"/>
              </w:rPr>
              <w:t>Total members’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4,452,334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4,572,334</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986,468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Total liabilities and members’ capital</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4,877,139</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4,997,139</w:t>
            </w:r>
          </w:p>
        </w:tc>
        <w:tc>
          <w:tcPr>
            <w:tcW w:w="20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1,316,887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-231140</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-231140</wp:posOffset>
            </wp:positionV>
            <wp:extent cx="47167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-831215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-831215</wp:posOffset>
            </wp:positionV>
            <wp:extent cx="47167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-1499870</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-1499870</wp:posOffset>
            </wp:positionV>
            <wp:extent cx="47167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Income</w:t>
      </w:r>
    </w:p>
    <w:p>
      <w:pPr>
        <w:spacing w:after="0" w:line="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79"/>
              </w:rPr>
              <w:t>Successor</w:t>
            </w:r>
          </w:p>
        </w:tc>
        <w:tc>
          <w:tcPr>
            <w:tcW w:w="80" w:type="dxa"/>
            <w:vAlign w:val="bottom"/>
            <w:tcBorders>
              <w:right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5"/>
                <w:szCs w:val="15"/>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October 1,</w:t>
            </w:r>
          </w:p>
        </w:tc>
        <w:tc>
          <w:tcPr>
            <w:tcW w:w="100" w:type="dxa"/>
            <w:vAlign w:val="bottom"/>
          </w:tcPr>
          <w:p>
            <w:pPr>
              <w:spacing w:after="0"/>
              <w:rPr>
                <w:sz w:val="12"/>
                <w:szCs w:val="12"/>
                <w:color w:val="auto"/>
              </w:rPr>
            </w:pPr>
          </w:p>
        </w:tc>
        <w:tc>
          <w:tcPr>
            <w:tcW w:w="820" w:type="dxa"/>
            <w:vAlign w:val="bottom"/>
          </w:tcPr>
          <w:p>
            <w:pPr>
              <w:jc w:val="center"/>
              <w:ind w:right="128"/>
              <w:spacing w:after="0" w:line="143" w:lineRule="exact"/>
              <w:rPr>
                <w:sz w:val="20"/>
                <w:szCs w:val="20"/>
                <w:color w:val="auto"/>
              </w:rPr>
            </w:pPr>
            <w:r>
              <w:rPr>
                <w:rFonts w:ascii="Arial" w:cs="Arial" w:eastAsia="Arial" w:hAnsi="Arial"/>
                <w:sz w:val="14"/>
                <w:szCs w:val="14"/>
                <w:b w:val="1"/>
                <w:bCs w:val="1"/>
                <w:color w:val="auto"/>
                <w:w w:val="89"/>
              </w:rPr>
              <w:t>January 1,</w:t>
            </w:r>
          </w:p>
        </w:tc>
        <w:tc>
          <w:tcPr>
            <w:tcW w:w="8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7"/>
              </w:rPr>
              <w:t>Year ended</w:t>
            </w:r>
          </w:p>
        </w:tc>
        <w:tc>
          <w:tcPr>
            <w:tcW w:w="8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2"/>
              </w:rPr>
              <w:t>2018 to</w:t>
            </w:r>
          </w:p>
        </w:tc>
        <w:tc>
          <w:tcPr>
            <w:tcW w:w="100" w:type="dxa"/>
            <w:vAlign w:val="bottom"/>
          </w:tcPr>
          <w:p>
            <w:pPr>
              <w:spacing w:after="0"/>
              <w:rPr>
                <w:sz w:val="11"/>
                <w:szCs w:val="11"/>
                <w:color w:val="auto"/>
              </w:rPr>
            </w:pPr>
          </w:p>
        </w:tc>
        <w:tc>
          <w:tcPr>
            <w:tcW w:w="8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86"/>
              </w:rPr>
              <w:t>2018 to</w:t>
            </w:r>
          </w:p>
        </w:tc>
        <w:tc>
          <w:tcPr>
            <w:tcW w:w="880" w:type="dxa"/>
            <w:vAlign w:val="bottom"/>
            <w:gridSpan w:val="5"/>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88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920" w:type="dxa"/>
            <w:vAlign w:val="bottom"/>
            <w:gridSpan w:val="2"/>
          </w:tcPr>
          <w:p>
            <w:pPr>
              <w:jc w:val="center"/>
              <w:ind w:right="28"/>
              <w:spacing w:after="0" w:line="135" w:lineRule="exact"/>
              <w:rPr>
                <w:sz w:val="20"/>
                <w:szCs w:val="20"/>
                <w:color w:val="auto"/>
              </w:rPr>
            </w:pPr>
            <w:r>
              <w:rPr>
                <w:rFonts w:ascii="Arial" w:cs="Arial" w:eastAsia="Arial" w:hAnsi="Arial"/>
                <w:sz w:val="14"/>
                <w:szCs w:val="14"/>
                <w:b w:val="1"/>
                <w:bCs w:val="1"/>
                <w:color w:val="auto"/>
                <w:w w:val="85"/>
              </w:rPr>
              <w:t>September 30,</w:t>
            </w:r>
          </w:p>
        </w:tc>
        <w:tc>
          <w:tcPr>
            <w:tcW w:w="88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2"/>
        </w:trPr>
        <w:tc>
          <w:tcPr>
            <w:tcW w:w="47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rPr>
              <w:t>Transaction fees including from related parties of $59,259, $159,663,</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$151,695 and $134,231 in the period ended December 31, 2018,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September 30, 2018, December 31, 2017 and December 31, 2016,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97,130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273,751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267,020</w:t>
            </w: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230,171</w:t>
            </w:r>
          </w:p>
        </w:tc>
        <w:tc>
          <w:tcPr>
            <w:tcW w:w="0" w:type="dxa"/>
            <w:vAlign w:val="bottom"/>
          </w:tcPr>
          <w:p>
            <w:pPr>
              <w:spacing w:after="0"/>
              <w:rPr>
                <w:sz w:val="1"/>
                <w:szCs w:val="1"/>
                <w:color w:val="auto"/>
              </w:rPr>
            </w:pPr>
          </w:p>
        </w:tc>
      </w:tr>
      <w:tr>
        <w:trPr>
          <w:trHeight w:val="184"/>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5"/>
              </w:rPr>
              <w:t>Subscription fees including from related parties of $5,718, $16,627, $37,426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2"/>
              </w:rPr>
              <w:t>and $35,169 in the period ended December 31, 2018, September 30, 2018,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December 31, 2017 and December 31, 2016, respectively</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33,052</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107,130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144,409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141,419</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w w:val="99"/>
              </w:rPr>
              <w:t>Commissions including from related parties of $12,401, $34,944, $43,315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and $42,343 in the period ended December 31, 2018, September 30,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2018, December 31, 2017 and December 31, 2016, respectively</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32,840</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79,830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96,745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91,663</w:t>
            </w: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Refinitiv market data fees</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13,467</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36,851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50,125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50,564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2,148</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4,669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Gross revenue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178,637</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505,771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562,968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518,404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Contingent consideration to related parties</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(58,520)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(26,224)</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178,637</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478,941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504,448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492,180</w:t>
            </w:r>
          </w:p>
        </w:tc>
        <w:tc>
          <w:tcPr>
            <w:tcW w:w="0" w:type="dxa"/>
            <w:vAlign w:val="bottom"/>
          </w:tcPr>
          <w:p>
            <w:pPr>
              <w:spacing w:after="0"/>
              <w:rPr>
                <w:sz w:val="1"/>
                <w:szCs w:val="1"/>
                <w:color w:val="auto"/>
              </w:rPr>
            </w:pPr>
          </w:p>
        </w:tc>
      </w:tr>
      <w:tr>
        <w:trPr>
          <w:trHeight w:val="277"/>
        </w:trPr>
        <w:tc>
          <w:tcPr>
            <w:tcW w:w="47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Expenses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Employee compensation and benefits</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80,436</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209,053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248,963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228,584</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33,020</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48,808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68,615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80,859</w:t>
            </w:r>
          </w:p>
        </w:tc>
        <w:tc>
          <w:tcPr>
            <w:tcW w:w="0" w:type="dxa"/>
            <w:vAlign w:val="bottom"/>
          </w:tcPr>
          <w:p>
            <w:pPr>
              <w:spacing w:after="0"/>
              <w:rPr>
                <w:sz w:val="1"/>
                <w:szCs w:val="1"/>
                <w:color w:val="auto"/>
              </w:rPr>
            </w:pPr>
          </w:p>
        </w:tc>
      </w:tr>
      <w:tr>
        <w:trPr>
          <w:trHeight w:val="184"/>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 including from related parties of $180, $539,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7"/>
              </w:rPr>
              <w:t>$719 and $740 in the period ended December 31, 2018, September 30,</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2018, December 31, 2017 and December 31, 2016, respectively</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11,837</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23,056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33,973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27,392</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rPr>
              <w:t>Technology and communications including from related parties of $740,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$2,220, $2,960 and $2,960 in the period ended December 31, 2018,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September 30, 2018, December 31, 2017 and December 31, 2016,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9,907</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26,598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30,013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28,239</w:t>
            </w: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8,194</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20,360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19,351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18,158</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w w:val="98"/>
              </w:rPr>
              <w:t>Occupancy including from related parties of $155, $466, $621 and $600 in</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w w:val="98"/>
              </w:rPr>
              <w:t>the period ended December 31, 2018, September 30, 2018, December</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3,308</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10,732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14,441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15,817</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Expenses</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146,702</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338,607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415,356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399,049</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31,935</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140,334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89,092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93,131</w:t>
            </w: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Interest income including from related parties of $17, $34, $40 and $80 in</w:t>
            </w: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8"/>
              </w:rPr>
              <w:t>the period ended December 31, 2018, September 30, 2018, December</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1,140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Interest expense from related parties</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Income before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32,722</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142,060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89,777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92,436</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(3,415)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(6,129)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29,307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130,160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83,648</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93,161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183.17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839.42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183.16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839.42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number of shares outstanding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159,996</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155,060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153,046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160,012</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155,060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153,046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4"/>
                <w:szCs w:val="14"/>
                <w:color w:val="auto"/>
              </w:rPr>
              <w:t>Unaudited pro forma net income per share (Note 22)</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per share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Basic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0.13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4"/>
                <w:szCs w:val="14"/>
                <w:color w:val="auto"/>
              </w:rPr>
              <w:t>Weighted average number of shares outstanding</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227,254,927</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2"/>
              </w:rPr>
              <w:t>220,398,616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2"/>
              </w:rPr>
              <w:t>227,276,547</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w w:val="92"/>
              </w:rPr>
              <w:t>220,398,616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-1809115</wp:posOffset>
            </wp:positionV>
            <wp:extent cx="8572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-1809115</wp:posOffset>
            </wp:positionV>
            <wp:extent cx="19748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-1809115</wp:posOffset>
            </wp:positionV>
            <wp:extent cx="421068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-2057400</wp:posOffset>
            </wp:positionV>
            <wp:extent cx="8572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-2057400</wp:posOffset>
            </wp:positionV>
            <wp:extent cx="19748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-2057400</wp:posOffset>
            </wp:positionV>
            <wp:extent cx="421068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-2538095</wp:posOffset>
            </wp:positionV>
            <wp:extent cx="8572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-2538095</wp:posOffset>
            </wp:positionV>
            <wp:extent cx="19748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-2538095</wp:posOffset>
            </wp:positionV>
            <wp:extent cx="421068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-2666365</wp:posOffset>
            </wp:positionV>
            <wp:extent cx="5143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-2795270</wp:posOffset>
            </wp:positionV>
            <wp:extent cx="8572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-2795270</wp:posOffset>
            </wp:positionV>
            <wp:extent cx="19748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-2795270</wp:posOffset>
            </wp:positionV>
            <wp:extent cx="421068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-4484370</wp:posOffset>
            </wp:positionV>
            <wp:extent cx="5143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-4613275</wp:posOffset>
            </wp:positionV>
            <wp:extent cx="8572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-4613275</wp:posOffset>
            </wp:positionV>
            <wp:extent cx="19748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-4613275</wp:posOffset>
            </wp:positionV>
            <wp:extent cx="421068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-4861560</wp:posOffset>
            </wp:positionV>
            <wp:extent cx="8572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-4861560</wp:posOffset>
            </wp:positionV>
            <wp:extent cx="19748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-4861560</wp:posOffset>
            </wp:positionV>
            <wp:extent cx="421068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-6370955</wp:posOffset>
            </wp:positionV>
            <wp:extent cx="342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-6370955</wp:posOffset>
            </wp:positionV>
            <wp:extent cx="342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-6370955</wp:posOffset>
            </wp:positionV>
            <wp:extent cx="355028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Consolidated Statements of Changes in Members’ Capital and Accumulated Other Comprehensive Loss</w:t>
      </w:r>
    </w:p>
    <w:p>
      <w:pPr>
        <w:spacing w:after="0" w:line="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Members’</w:t>
            </w: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Predecessor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$1,079,417</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 (11,473)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1,067,944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(4,679)</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93,161</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(4,679)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88,482</w:t>
            </w:r>
          </w:p>
        </w:tc>
        <w:tc>
          <w:tcPr>
            <w:tcW w:w="0" w:type="dxa"/>
            <w:vAlign w:val="bottom"/>
          </w:tcPr>
          <w:p>
            <w:pPr>
              <w:spacing w:after="0"/>
              <w:rPr>
                <w:sz w:val="1"/>
                <w:szCs w:val="1"/>
                <w:color w:val="auto"/>
              </w:rPr>
            </w:pPr>
          </w:p>
        </w:tc>
      </w:tr>
      <w:tr>
        <w:trPr>
          <w:trHeight w:val="215"/>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(130,000)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2016</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$1,040,911</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(16,152)</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2,885</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2,885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contributions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(152,000)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2017</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999,735</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(13,267)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(3,064)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(3,064)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contingent consideration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150,495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(139,350)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(139,350)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September 30, 2018</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right w:val="single" w:sz="8" w:color="CCEEFF"/>
            </w:tcBorders>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1,141,496</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(16,331)</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1,125,165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Members’</w:t>
            </w: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Successor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October 1, 2018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$4,562,154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50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4,562,154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29,307</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29,307</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28,441</w:t>
            </w:r>
          </w:p>
        </w:tc>
        <w:tc>
          <w:tcPr>
            <w:tcW w:w="0" w:type="dxa"/>
            <w:vAlign w:val="bottom"/>
          </w:tcPr>
          <w:p>
            <w:pPr>
              <w:spacing w:after="0"/>
              <w:rPr>
                <w:sz w:val="1"/>
                <w:szCs w:val="1"/>
                <w:color w:val="auto"/>
              </w:rPr>
            </w:pPr>
          </w:p>
        </w:tc>
      </w:tr>
      <w:tr>
        <w:trPr>
          <w:trHeight w:val="202"/>
        </w:trPr>
        <w:tc>
          <w:tcPr>
            <w:tcW w:w="516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180"/>
              <w:spacing w:after="0" w:line="201" w:lineRule="exact"/>
              <w:rPr>
                <w:sz w:val="20"/>
                <w:szCs w:val="20"/>
                <w:color w:val="auto"/>
              </w:rPr>
            </w:pPr>
            <w:r>
              <w:rPr>
                <w:rFonts w:ascii="Arial" w:cs="Arial" w:eastAsia="Arial" w:hAnsi="Arial"/>
                <w:sz w:val="18"/>
                <w:szCs w:val="18"/>
                <w:color w:val="auto"/>
              </w:rPr>
              <w:t>Conversion of certain cash-settled PRSUs to equity settled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PRSUs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19,072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4,573,200</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4,572,334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-2555240</wp:posOffset>
            </wp:positionV>
            <wp:extent cx="469074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-3292475</wp:posOffset>
            </wp:positionV>
            <wp:extent cx="469074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-3867150</wp:posOffset>
            </wp:positionV>
            <wp:extent cx="469074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-4587240</wp:posOffset>
            </wp:positionV>
            <wp:extent cx="469074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-5161915</wp:posOffset>
            </wp:positionV>
            <wp:extent cx="469074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-6456680</wp:posOffset>
            </wp:positionV>
            <wp:extent cx="13716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-6456680</wp:posOffset>
            </wp:positionV>
            <wp:extent cx="393636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93636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-1748790</wp:posOffset>
            </wp:positionV>
            <wp:extent cx="13716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-1748790</wp:posOffset>
            </wp:positionV>
            <wp:extent cx="393636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vMerge w:val="restart"/>
          </w:tcPr>
          <w:p>
            <w:pPr>
              <w:spacing w:after="0"/>
              <w:rPr>
                <w:sz w:val="3"/>
                <w:szCs w:val="3"/>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2"/>
              </w:rPr>
              <w:t>Predecessor</w:t>
            </w:r>
          </w:p>
        </w:tc>
        <w:tc>
          <w:tcPr>
            <w:tcW w:w="100" w:type="dxa"/>
            <w:vAlign w:val="bottom"/>
            <w:vMerge w:val="restart"/>
          </w:tcPr>
          <w:p>
            <w:pPr>
              <w:spacing w:after="0"/>
              <w:rPr>
                <w:sz w:val="3"/>
                <w:szCs w:val="3"/>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2"/>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60" w:type="dxa"/>
            <w:vAlign w:val="bottom"/>
            <w:tcBorders>
              <w:bottom w:val="single" w:sz="8" w:color="auto"/>
            </w:tcBorders>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October 1,</w:t>
            </w:r>
          </w:p>
        </w:tc>
        <w:tc>
          <w:tcPr>
            <w:tcW w:w="6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6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90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left w:val="single" w:sz="8" w:color="auto"/>
            </w:tcBorders>
          </w:tcPr>
          <w:p>
            <w:pPr>
              <w:spacing w:after="0"/>
              <w:rPr>
                <w:sz w:val="14"/>
                <w:szCs w:val="14"/>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60" w:type="dxa"/>
            <w:vAlign w:val="bottom"/>
            <w:tcBorders>
              <w:left w:val="single" w:sz="8" w:color="auto"/>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29,307</w:t>
            </w:r>
          </w:p>
        </w:tc>
        <w:tc>
          <w:tcPr>
            <w:tcW w:w="260" w:type="dxa"/>
            <w:vAlign w:val="bottom"/>
            <w:tcBorders>
              <w:left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130,160</w:t>
            </w:r>
          </w:p>
        </w:tc>
        <w:tc>
          <w:tcPr>
            <w:tcW w:w="8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83,648</w:t>
            </w:r>
          </w:p>
        </w:tc>
        <w:tc>
          <w:tcPr>
            <w:tcW w:w="10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93,161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33,020</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48,808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68,615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80,859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58,520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26,224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Vesting of P-1(C)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(5,728)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968</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(Increase) decrease in operating 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Receivable from brokers and dealers and clearing</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organizations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(169,949)</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Deposits with clearing organizations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(2,248)</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8,085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(28,434)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11,196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(18,683)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Receivable from affiliates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107</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(2,534)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(4,695)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Increase (decrease) in operating 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Payable to brokers and dealers and clearing</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organizations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171,214</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38,368</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(7,568)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12,364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7,851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(12,555)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Pr>
          <w:p>
            <w:pPr>
              <w:ind w:left="540"/>
              <w:spacing w:after="0"/>
              <w:rPr>
                <w:sz w:val="20"/>
                <w:szCs w:val="20"/>
                <w:color w:val="auto"/>
              </w:rPr>
            </w:pPr>
            <w:r>
              <w:rPr>
                <w:rFonts w:ascii="Arial" w:cs="Arial" w:eastAsia="Arial" w:hAnsi="Arial"/>
                <w:sz w:val="16"/>
                <w:szCs w:val="16"/>
                <w:color w:val="auto"/>
              </w:rPr>
              <w:t>Accounts payable, accrued expenses and other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tcPr>
          <w:p>
            <w:pPr>
              <w:ind w:left="720"/>
              <w:spacing w:after="0"/>
              <w:rPr>
                <w:sz w:val="20"/>
                <w:szCs w:val="20"/>
                <w:color w:val="auto"/>
              </w:rPr>
            </w:pPr>
            <w:r>
              <w:rPr>
                <w:rFonts w:ascii="Arial" w:cs="Arial" w:eastAsia="Arial" w:hAnsi="Arial"/>
                <w:sz w:val="16"/>
                <w:szCs w:val="16"/>
                <w:color w:val="auto"/>
              </w:rPr>
              <w:t>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639</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8,793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(3,826)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Employee equity compensation payable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9,345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540"/>
              <w:spacing w:after="0"/>
              <w:rPr>
                <w:sz w:val="20"/>
                <w:szCs w:val="20"/>
                <w:color w:val="auto"/>
              </w:rPr>
            </w:pPr>
            <w:r>
              <w:rPr>
                <w:rFonts w:ascii="Arial" w:cs="Arial" w:eastAsia="Arial" w:hAnsi="Arial"/>
                <w:sz w:val="16"/>
                <w:szCs w:val="16"/>
                <w:color w:val="auto"/>
              </w:rPr>
              <w:t>Payable to affiliates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(1,209)</w:t>
            </w:r>
          </w:p>
        </w:tc>
        <w:tc>
          <w:tcPr>
            <w:tcW w:w="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684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112,556</w:t>
            </w:r>
          </w:p>
        </w:tc>
        <w:tc>
          <w:tcPr>
            <w:tcW w:w="6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164,828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224,580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171,845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furniture, equipment, software and leasehold</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improvements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(9,090)</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(13,461)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6"/>
                <w:szCs w:val="16"/>
                <w:color w:val="auto"/>
              </w:rPr>
              <w:t>Capitalized software development costs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(7,156)</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(19,523)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(27,157)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(25,351)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Business acquisitions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180"/>
              <w:spacing w:after="0"/>
              <w:rPr>
                <w:sz w:val="20"/>
                <w:szCs w:val="20"/>
                <w:color w:val="auto"/>
              </w:rPr>
            </w:pPr>
            <w:r>
              <w:rPr>
                <w:rFonts w:ascii="Arial" w:cs="Arial" w:eastAsia="Arial" w:hAnsi="Arial"/>
                <w:sz w:val="16"/>
                <w:szCs w:val="16"/>
                <w:color w:val="auto"/>
              </w:rPr>
              <w:t>Purchase of investments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(16,246)</w:t>
            </w:r>
          </w:p>
        </w:tc>
        <w:tc>
          <w:tcPr>
            <w:tcW w:w="6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(25,850)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(45,552)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(50,565)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Capital distributions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(139,350)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(152,000)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(130,000)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6"/>
                <w:szCs w:val="16"/>
                <w:color w:val="auto"/>
              </w:rPr>
              <w:t>Mezzanine capital contributions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Mezzanine capital distributions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tcBorders>
              <w:lef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(139,350)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(153,461)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(130,521)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9"/>
              </w:rPr>
              <w:t>Effect of exchange rate changes on cash and cash</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equivalents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(389)</w:t>
            </w:r>
          </w:p>
        </w:tc>
        <w:tc>
          <w:tcPr>
            <w:tcW w:w="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720"/>
              <w:spacing w:after="0"/>
              <w:rPr>
                <w:sz w:val="20"/>
                <w:szCs w:val="20"/>
                <w:color w:val="auto"/>
              </w:rPr>
            </w:pPr>
            <w:r>
              <w:rPr>
                <w:rFonts w:ascii="Arial" w:cs="Arial" w:eastAsia="Arial" w:hAnsi="Arial"/>
                <w:sz w:val="16"/>
                <w:szCs w:val="16"/>
                <w:color w:val="auto"/>
                <w:w w:val="93"/>
              </w:rPr>
              <w:t>Net increase (decrease) in cash and cash equivalents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59,921</w:t>
            </w:r>
          </w:p>
        </w:tc>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(2,415)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28,724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60" w:type="dxa"/>
            <w:vAlign w:val="bottom"/>
            <w:tcBorders>
              <w:lef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16"/>
                <w:szCs w:val="16"/>
                <w:color w:val="auto"/>
              </w:rPr>
              <w:t>Beginning of period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351,383</w:t>
            </w:r>
          </w:p>
        </w:tc>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353,798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325,074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340,515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End of period</w:t>
            </w:r>
          </w:p>
        </w:tc>
        <w:tc>
          <w:tcPr>
            <w:tcW w:w="16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411,304</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351,383</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353,798</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325,074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-248285</wp:posOffset>
            </wp:positionV>
            <wp:extent cx="16319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-248285</wp:posOffset>
            </wp:positionV>
            <wp:extent cx="17145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345630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-1028700</wp:posOffset>
            </wp:positionV>
            <wp:extent cx="7747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-1028700</wp:posOffset>
            </wp:positionV>
            <wp:extent cx="16319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-1028700</wp:posOffset>
            </wp:positionV>
            <wp:extent cx="17145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345630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-1980565</wp:posOffset>
            </wp:positionV>
            <wp:extent cx="774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-1980565</wp:posOffset>
            </wp:positionV>
            <wp:extent cx="16319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-1980565</wp:posOffset>
            </wp:positionV>
            <wp:extent cx="17145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-1980565</wp:posOffset>
            </wp:positionV>
            <wp:extent cx="345630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-2992120</wp:posOffset>
            </wp:positionV>
            <wp:extent cx="7747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-2992120</wp:posOffset>
            </wp:positionV>
            <wp:extent cx="16319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-2992120</wp:posOffset>
            </wp:positionV>
            <wp:extent cx="17145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-2992120</wp:posOffset>
            </wp:positionV>
            <wp:extent cx="345630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-6071235</wp:posOffset>
            </wp:positionV>
            <wp:extent cx="1714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-6071235</wp:posOffset>
            </wp:positionV>
            <wp:extent cx="514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-6071235</wp:posOffset>
            </wp:positionV>
            <wp:extent cx="5143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-6071235</wp:posOffset>
            </wp:positionV>
            <wp:extent cx="33959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2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Predecessor</w:t>
            </w:r>
          </w:p>
        </w:tc>
      </w:tr>
      <w:tr>
        <w:trPr>
          <w:trHeight w:val="200"/>
        </w:trPr>
        <w:tc>
          <w:tcPr>
            <w:tcW w:w="4460" w:type="dxa"/>
            <w:vAlign w:val="bottom"/>
          </w:tcPr>
          <w:p>
            <w:pPr>
              <w:spacing w:after="0"/>
              <w:rPr>
                <w:sz w:val="17"/>
                <w:szCs w:val="17"/>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2"/>
        </w:trPr>
        <w:tc>
          <w:tcPr>
            <w:tcW w:w="4460" w:type="dxa"/>
            <w:vAlign w:val="bottom"/>
          </w:tcPr>
          <w:p>
            <w:pPr>
              <w:spacing w:after="0"/>
              <w:rPr>
                <w:sz w:val="14"/>
                <w:szCs w:val="14"/>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right="162"/>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4460" w:type="dxa"/>
            <w:vAlign w:val="bottom"/>
          </w:tcPr>
          <w:p>
            <w:pPr>
              <w:spacing w:after="0"/>
              <w:rPr>
                <w:sz w:val="14"/>
                <w:szCs w:val="14"/>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4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2016</w:t>
            </w:r>
          </w:p>
        </w:tc>
      </w:tr>
      <w:tr>
        <w:trPr>
          <w:trHeight w:val="243"/>
        </w:trPr>
        <w:tc>
          <w:tcPr>
            <w:tcW w:w="4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21"/>
                <w:szCs w:val="21"/>
                <w:color w:val="auto"/>
              </w:rPr>
            </w:pPr>
          </w:p>
        </w:tc>
        <w:tc>
          <w:tcPr>
            <w:tcW w:w="66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57"/>
        </w:trPr>
        <w:tc>
          <w:tcPr>
            <w:tcW w:w="4460" w:type="dxa"/>
            <w:vAlign w:val="bottom"/>
          </w:tcPr>
          <w:p>
            <w:pPr>
              <w:spacing w:after="0"/>
              <w:rPr>
                <w:sz w:val="20"/>
                <w:szCs w:val="20"/>
                <w:color w:val="auto"/>
              </w:rPr>
            </w:pPr>
            <w:r>
              <w:rPr>
                <w:rFonts w:ascii="Arial" w:cs="Arial" w:eastAsia="Arial" w:hAnsi="Arial"/>
                <w:sz w:val="16"/>
                <w:szCs w:val="16"/>
                <w:color w:val="auto"/>
              </w:rPr>
              <w:t>Interest paid</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1,339</w:t>
            </w: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2,659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6,735</w:t>
            </w:r>
          </w:p>
        </w:tc>
      </w:tr>
      <w:tr>
        <w:trPr>
          <w:trHeight w:val="351"/>
        </w:trPr>
        <w:tc>
          <w:tcPr>
            <w:tcW w:w="4460" w:type="dxa"/>
            <w:vAlign w:val="bottom"/>
          </w:tcPr>
          <w:p>
            <w:pPr>
              <w:spacing w:after="0"/>
              <w:rPr>
                <w:sz w:val="20"/>
                <w:szCs w:val="20"/>
                <w:color w:val="auto"/>
              </w:rPr>
            </w:pPr>
            <w:r>
              <w:rPr>
                <w:rFonts w:ascii="Arial" w:cs="Arial" w:eastAsia="Arial" w:hAnsi="Arial"/>
                <w:sz w:val="16"/>
                <w:szCs w:val="16"/>
                <w:b w:val="1"/>
                <w:bCs w:val="1"/>
                <w:color w:val="auto"/>
                <w:w w:val="94"/>
              </w:rPr>
              <w:t>Supplemental disclosure of non-cash investing and financing</w:t>
            </w:r>
          </w:p>
        </w:tc>
        <w:tc>
          <w:tcPr>
            <w:tcW w:w="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3"/>
        </w:trPr>
        <w:tc>
          <w:tcPr>
            <w:tcW w:w="4460" w:type="dxa"/>
            <w:vAlign w:val="bottom"/>
          </w:tcPr>
          <w:p>
            <w:pPr>
              <w:ind w:left="180"/>
              <w:spacing w:after="0"/>
              <w:rPr>
                <w:sz w:val="20"/>
                <w:szCs w:val="20"/>
                <w:color w:val="auto"/>
              </w:rPr>
            </w:pPr>
            <w:r>
              <w:rPr>
                <w:rFonts w:ascii="Arial" w:cs="Arial" w:eastAsia="Arial" w:hAnsi="Arial"/>
                <w:sz w:val="16"/>
                <w:szCs w:val="16"/>
                <w:b w:val="1"/>
                <w:bCs w:val="1"/>
                <w:color w:val="auto"/>
              </w:rPr>
              <w:t>information</w:t>
            </w:r>
          </w:p>
        </w:tc>
        <w:tc>
          <w:tcPr>
            <w:tcW w:w="2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Vesting of contingent consideration to Class P-1(A) Shares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6"/>
              </w:rPr>
              <w:t>150,495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47"/>
        </w:trPr>
        <w:tc>
          <w:tcPr>
            <w:tcW w:w="4460" w:type="dxa"/>
            <w:vAlign w:val="bottom"/>
          </w:tcPr>
          <w:p>
            <w:pPr>
              <w:spacing w:after="0"/>
              <w:rPr>
                <w:sz w:val="20"/>
                <w:szCs w:val="20"/>
                <w:color w:val="auto"/>
              </w:rPr>
            </w:pPr>
            <w:r>
              <w:rPr>
                <w:rFonts w:ascii="Arial" w:cs="Arial" w:eastAsia="Arial" w:hAnsi="Arial"/>
                <w:sz w:val="16"/>
                <w:szCs w:val="16"/>
                <w:color w:val="auto"/>
                <w:w w:val="96"/>
              </w:rPr>
              <w:t>Conversion of convertible term note payable to Thomson Reuters</w:t>
            </w:r>
          </w:p>
        </w:tc>
        <w:tc>
          <w:tcPr>
            <w:tcW w:w="26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99"/>
        </w:trPr>
        <w:tc>
          <w:tcPr>
            <w:tcW w:w="4460" w:type="dxa"/>
            <w:vAlign w:val="bottom"/>
          </w:tcPr>
          <w:p>
            <w:pPr>
              <w:ind w:left="180"/>
              <w:spacing w:after="0"/>
              <w:rPr>
                <w:sz w:val="20"/>
                <w:szCs w:val="20"/>
                <w:color w:val="auto"/>
              </w:rPr>
            </w:pPr>
            <w:r>
              <w:rPr>
                <w:rFonts w:ascii="Arial" w:cs="Arial" w:eastAsia="Arial" w:hAnsi="Arial"/>
                <w:sz w:val="16"/>
                <w:szCs w:val="16"/>
                <w:color w:val="auto"/>
              </w:rPr>
              <w:t>to Class A Shares</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w w:val="93"/>
              </w:rPr>
              <w:t>29,285</w:t>
            </w: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w w:val="94"/>
              </w:rPr>
              <w:t>Conversion of certain cash-settled PRSUs to equity settled PRSUs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19,072</w:t>
            </w:r>
          </w:p>
        </w:tc>
        <w:tc>
          <w:tcPr>
            <w:tcW w:w="2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7"/>
        </w:trPr>
        <w:tc>
          <w:tcPr>
            <w:tcW w:w="4460" w:type="dxa"/>
            <w:vAlign w:val="bottom"/>
          </w:tcPr>
          <w:p>
            <w:pPr>
              <w:spacing w:after="0"/>
              <w:rPr>
                <w:sz w:val="20"/>
                <w:szCs w:val="20"/>
                <w:color w:val="auto"/>
              </w:rPr>
            </w:pPr>
            <w:r>
              <w:rPr>
                <w:rFonts w:ascii="Arial" w:cs="Arial" w:eastAsia="Arial" w:hAnsi="Arial"/>
                <w:sz w:val="16"/>
                <w:szCs w:val="16"/>
                <w:color w:val="auto"/>
                <w:w w:val="99"/>
              </w:rPr>
              <w:t>Fair value of assets and liabilities from application of pushdown</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6"/>
        </w:trPr>
        <w:tc>
          <w:tcPr>
            <w:tcW w:w="4460" w:type="dxa"/>
            <w:vAlign w:val="bottom"/>
          </w:tcPr>
          <w:p>
            <w:pPr>
              <w:ind w:left="180"/>
              <w:spacing w:after="0"/>
              <w:rPr>
                <w:sz w:val="20"/>
                <w:szCs w:val="20"/>
                <w:color w:val="auto"/>
              </w:rPr>
            </w:pPr>
            <w:r>
              <w:rPr>
                <w:rFonts w:ascii="Arial" w:cs="Arial" w:eastAsia="Arial" w:hAnsi="Arial"/>
                <w:sz w:val="16"/>
                <w:szCs w:val="16"/>
                <w:color w:val="auto"/>
              </w:rPr>
              <w:t>accounting (Note 3)</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-1736725</wp:posOffset>
            </wp:positionV>
            <wp:extent cx="4318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-1736725</wp:posOffset>
            </wp:positionV>
            <wp:extent cx="431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-1736725</wp:posOffset>
            </wp:positionV>
            <wp:extent cx="343027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55" w:lineRule="exact"/>
        <w:rPr>
          <w:sz w:val="20"/>
          <w:szCs w:val="20"/>
          <w:color w:val="auto"/>
        </w:rPr>
      </w:pPr>
    </w:p>
    <w:p>
      <w:pPr>
        <w:ind w:left="1260" w:right="111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that sum to the amounts shown in the consolidated statements of cash flows: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vMerge w:val="restart"/>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vMerge w:val="restart"/>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38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1,</w:t>
            </w:r>
          </w:p>
        </w:tc>
        <w:tc>
          <w:tcPr>
            <w:tcW w:w="20" w:type="dxa"/>
            <w:vAlign w:val="bottom"/>
            <w:shd w:val="clear" w:color="auto" w:fill="000000"/>
          </w:tcPr>
          <w:p>
            <w:pPr>
              <w:spacing w:after="0"/>
              <w:rPr>
                <w:sz w:val="14"/>
                <w:szCs w:val="14"/>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2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ind w:left="4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$ 410,104</w:t>
            </w:r>
          </w:p>
        </w:tc>
        <w:tc>
          <w:tcPr>
            <w:tcW w:w="20" w:type="dxa"/>
            <w:vAlign w:val="bottom"/>
            <w:shd w:val="clear" w:color="auto" w:fill="000000"/>
          </w:tcPr>
          <w:p>
            <w:pPr>
              <w:spacing w:after="0"/>
              <w:rPr>
                <w:sz w:val="17"/>
                <w:szCs w:val="17"/>
                <w:color w:val="auto"/>
              </w:rPr>
            </w:pP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$ 350,183</w:t>
            </w: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$ 352,598</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$ 324,074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80" w:type="dxa"/>
            <w:vAlign w:val="bottom"/>
          </w:tcPr>
          <w:p>
            <w:pPr>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1,200</w:t>
            </w:r>
          </w:p>
        </w:tc>
        <w:tc>
          <w:tcPr>
            <w:tcW w:w="20" w:type="dxa"/>
            <w:vAlign w:val="bottom"/>
            <w:shd w:val="clear" w:color="auto" w:fill="000000"/>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and restricted cash</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$ 411,304</w:t>
            </w:r>
          </w:p>
        </w:tc>
        <w:tc>
          <w:tcPr>
            <w:tcW w:w="20" w:type="dxa"/>
            <w:vAlign w:val="bottom"/>
            <w:shd w:val="clear" w:color="auto" w:fill="000000"/>
          </w:tcPr>
          <w:p>
            <w:pPr>
              <w:spacing w:after="0"/>
              <w:rPr>
                <w:sz w:val="19"/>
                <w:szCs w:val="19"/>
                <w:color w:val="auto"/>
              </w:rPr>
            </w:pP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$ 351,383</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$ 353,798</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$ 325,074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-239395</wp:posOffset>
            </wp:positionV>
            <wp:extent cx="9461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-239395</wp:posOffset>
            </wp:positionV>
            <wp:extent cx="19748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-239395</wp:posOffset>
            </wp:positionV>
            <wp:extent cx="409892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09892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-522605</wp:posOffset>
            </wp:positionV>
            <wp:extent cx="1714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-522605</wp:posOffset>
            </wp:positionV>
            <wp:extent cx="5143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-522605</wp:posOffset>
            </wp:positionV>
            <wp:extent cx="5143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-522605</wp:posOffset>
            </wp:positionV>
            <wp:extent cx="33959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4" w:name="page235"/>
    <w:bookmarkEnd w:id="234"/>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Tradeweb Markets LLC (the “Company”) is a leader in building and operating electronic marketplaces for a global network of clients across the institutional, wholesale and retail client sectors. The Company, a Delaware limited liability company, is a consolidating subsidiary of BCP York Holdings (“BCP”), a company owned by certain investment funds affiliated with The Blackstone Group L.P., through BCP’s majority ownership interest in King (Cayman) Holdings Ltd. (“Refinitiv” or the “Parent”). Refinitiv owns a majority ownership in the Company. A minority interest of the Company is owned by a group of investment and commercial banks (the “Banks”).</w:t>
      </w:r>
    </w:p>
    <w:p>
      <w:pPr>
        <w:spacing w:after="0" w:line="8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A majority interest of Refinitiv (formerly the Thomson Reuters Financial &amp; Risk Business) was acquired by BCP on October 1, 2018 (the “Refinitiv Transaction”) from Thomson Reuters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53" w:lineRule="exact"/>
        <w:rPr>
          <w:sz w:val="20"/>
          <w:szCs w:val="20"/>
          <w:color w:val="auto"/>
        </w:rPr>
      </w:pPr>
    </w:p>
    <w:p>
      <w:pPr>
        <w:ind w:left="1980" w:hanging="352"/>
        <w:spacing w:after="0"/>
        <w:tabs>
          <w:tab w:leader="none" w:pos="19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successor period, reflecting the Refinitiv Transaction, from October 1, 2018 to December 31, 2018.</w:t>
      </w:r>
    </w:p>
    <w:p>
      <w:pPr>
        <w:spacing w:after="0" w:line="194" w:lineRule="exact"/>
        <w:rPr>
          <w:rFonts w:ascii="Arial" w:cs="Arial" w:eastAsia="Arial" w:hAnsi="Arial"/>
          <w:sz w:val="16"/>
          <w:szCs w:val="16"/>
          <w:color w:val="auto"/>
        </w:rPr>
      </w:pPr>
    </w:p>
    <w:p>
      <w:pPr>
        <w:ind w:left="1980" w:hanging="352"/>
        <w:spacing w:after="0"/>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predecessor period of the Company from January 1, 2018 to September 30, 2018.</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2017.</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2016.</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through its subsidiary Tradeweb Global LLC (“TWG”), owns:</w:t>
      </w:r>
    </w:p>
    <w:p>
      <w:pPr>
        <w:spacing w:after="0" w:line="185" w:lineRule="exact"/>
        <w:rPr>
          <w:sz w:val="20"/>
          <w:szCs w:val="20"/>
          <w:color w:val="auto"/>
        </w:rPr>
      </w:pPr>
    </w:p>
    <w:p>
      <w:pPr>
        <w:ind w:left="1980" w:right="859" w:hanging="352"/>
        <w:spacing w:after="0" w:line="259"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32"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27" w:lineRule="exact"/>
        <w:rPr>
          <w:rFonts w:ascii="Arial" w:cs="Arial" w:eastAsia="Arial" w:hAnsi="Arial"/>
          <w:sz w:val="18"/>
          <w:szCs w:val="18"/>
          <w:color w:val="auto"/>
        </w:rPr>
      </w:pPr>
    </w:p>
    <w:p>
      <w:pPr>
        <w:ind w:left="1980" w:hanging="352"/>
        <w:spacing w:after="0"/>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171"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29" w:lineRule="exact"/>
        <w:rPr>
          <w:rFonts w:ascii="Arial" w:cs="Arial" w:eastAsia="Arial" w:hAnsi="Arial"/>
          <w:sz w:val="18"/>
          <w:szCs w:val="18"/>
          <w:color w:val="auto"/>
        </w:rPr>
      </w:pPr>
    </w:p>
    <w:p>
      <w:pPr>
        <w:ind w:left="1980" w:right="879" w:hanging="352"/>
        <w:spacing w:after="0" w:line="264"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January 2019, the Company received authorization from the Dutch Authority for Financial Markets (“AFM”) to operate Tradeweb EU B.V. (“TWEU”), a Trading Venue and Approved Publication Arrangement regulated by the AFM.</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FINRA. DW is also registered as an introducing broker with the CFTC and NFA.</w:t>
      </w:r>
    </w:p>
    <w:p>
      <w:pPr>
        <w:spacing w:after="0" w:line="79" w:lineRule="exact"/>
        <w:rPr>
          <w:sz w:val="20"/>
          <w:szCs w:val="20"/>
          <w:color w:val="auto"/>
        </w:rPr>
      </w:pPr>
    </w:p>
    <w:p>
      <w:pPr>
        <w:ind w:left="1260" w:right="939" w:firstLine="360"/>
        <w:spacing w:after="0" w:line="312" w:lineRule="auto"/>
        <w:rPr>
          <w:sz w:val="20"/>
          <w:szCs w:val="20"/>
          <w:color w:val="auto"/>
        </w:rPr>
      </w:pPr>
      <w:r>
        <w:rPr>
          <w:rFonts w:ascii="Arial" w:cs="Arial" w:eastAsia="Arial" w:hAnsi="Arial"/>
          <w:sz w:val="16"/>
          <w:szCs w:val="16"/>
          <w:color w:val="auto"/>
        </w:rPr>
        <w:t>On October 7, 2011, the Company acquired the assets of the RaffCap business. The acquisition was accounted for as a business combination and therefore the cost of the assets acquired and liabilities assumed by the Company, which consisted of intangible assets and goodwill, were accounted for at fair value.</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1239" w:firstLine="360"/>
        <w:spacing w:after="0" w:line="312" w:lineRule="auto"/>
        <w:rPr>
          <w:sz w:val="20"/>
          <w:szCs w:val="20"/>
          <w:color w:val="auto"/>
        </w:rPr>
      </w:pPr>
      <w:r>
        <w:rPr>
          <w:rFonts w:ascii="Arial" w:cs="Arial" w:eastAsia="Arial" w:hAnsi="Arial"/>
          <w:sz w:val="16"/>
          <w:szCs w:val="16"/>
          <w:color w:val="auto"/>
        </w:rPr>
        <w:t>On November 1, 2013, the Company acquired BondDesk Group LLC and subsidiaries (“BondDesk”). BondDesk’s subsidiary Tradeweb Direct LLC (“TWD”) (formerly known as BondDesk Trading LLC) is a registered broker-dealer under the Securities Exchange Act of 1934 and a member of FINRA.</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Significant Accounting Policies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Consolidation</w:t>
      </w:r>
    </w:p>
    <w:p>
      <w:pPr>
        <w:spacing w:after="0" w:line="108" w:lineRule="exact"/>
        <w:rPr>
          <w:sz w:val="20"/>
          <w:szCs w:val="20"/>
          <w:color w:val="auto"/>
        </w:rPr>
      </w:pPr>
    </w:p>
    <w:p>
      <w:pPr>
        <w:ind w:left="1260" w:right="1419" w:firstLine="360"/>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subsidiaries. All intercompany transactions and balances have been eliminated in consolidation.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Allowance for Doubtful Accounts</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10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 Furniture, equipment, purchased software and leasehold improvements are tested for impairment whenever events or changes in circumstances suggest that an asset’s carrying value may not be fully recoverable in accordance with Accounting Standards Codification (“ASC”) 360.</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Software Development Costs</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The Company capitalizes costs associated with the development of internal use software at the point at which the conceptual formulation, design and testing of possible software project alternatives have been completed, in accordance with ASC 350. The Company capitalizes employee compensation and related benefits and third party consulting costs incurred during the application development stage which directly</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contribute to such development. Once the product is ready for its intended use, such costs are amortized on a straight-line basis over three years. Costs capitalized as part of the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Intangible assets with a finite life are amortized over the estimated lives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6"/>
          <w:szCs w:val="16"/>
          <w:color w:val="auto"/>
        </w:rPr>
        <w:t>Goodwill is the excess of the fair value of the Company above the fair value accounting basis of the net assets and liabilities of the Company under pushdown accounting and is the cost of acquired companies in excess of the fair value of identifiable net assets at acquisition date. Goodwill is not amortized, but in accordance with ASC 350, goodwill is tested for impairment annually on July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IPO Costs</w:t>
      </w:r>
    </w:p>
    <w:p>
      <w:pPr>
        <w:spacing w:after="0" w:line="108"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In 2018, the Company began incurring costs in connection with the filing of its Registration Statement on Form S-1, which are deferred in other assets in accordance with ASC 505-10-25, Equity — Recognition in the consolidated statements of financial condition. Initial public offering (“IPO”) costs consist of legal, accounting, and other costs directly related to the Company’s efforts to raise capital through an IPO. If the IPO becomes effective, these deferred costs will be offset against proceeds received from the offering and reclassified to equity on the consolidated statements of financial condition. Should the Company terminate or more than temporarily delay its planned offering, these costs will be expensed in the consolidated statements of income.</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Translation of Foreign Currency</w:t>
      </w:r>
    </w:p>
    <w:p>
      <w:pPr>
        <w:spacing w:after="0" w:line="108"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w:t>
      </w:r>
    </w:p>
    <w:p>
      <w:pPr>
        <w:spacing w:after="0" w:line="108" w:lineRule="exact"/>
        <w:rPr>
          <w:sz w:val="20"/>
          <w:szCs w:val="20"/>
          <w:color w:val="auto"/>
        </w:rPr>
      </w:pPr>
    </w:p>
    <w:p>
      <w:pPr>
        <w:jc w:val="both"/>
        <w:ind w:left="1260" w:right="979" w:firstLine="360"/>
        <w:spacing w:after="0" w:line="286" w:lineRule="auto"/>
        <w:rPr>
          <w:sz w:val="20"/>
          <w:szCs w:val="20"/>
          <w:color w:val="auto"/>
        </w:rPr>
      </w:pPr>
      <w:r>
        <w:rPr>
          <w:rFonts w:ascii="Arial" w:cs="Arial" w:eastAsia="Arial" w:hAnsi="Arial"/>
          <w:sz w:val="17"/>
          <w:szCs w:val="17"/>
          <w:color w:val="auto"/>
        </w:rPr>
        <w:t>The Company is a multiple member limited liability company which is taxed as a partnership. No income tax provision is required on the earnings of the Company as it is a partnership, and therefore the remaining tax effects of its activities accrue directly to its partners. As a partnership, the Company and</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certain subsidiaries are subject to unincorporated business taxes on income earned, or losses incurred, by conducting business in certain state and local jurisdictions and income taxes in foreign jurisdictions on certain of their operations. TWIDB and its subsidiary DW are C Corporations and therefore incur federal, state and local income tax expense. Income taxes are accounted for in accordance with ASC 740. The Company recorded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70" w:lineRule="exact"/>
        <w:rPr>
          <w:sz w:val="20"/>
          <w:szCs w:val="20"/>
          <w:color w:val="auto"/>
        </w:rPr>
      </w:pPr>
    </w:p>
    <w:p>
      <w:pPr>
        <w:ind w:left="1260" w:right="999" w:firstLine="360"/>
        <w:spacing w:after="0" w:line="276" w:lineRule="auto"/>
        <w:rPr>
          <w:sz w:val="20"/>
          <w:szCs w:val="20"/>
          <w:color w:val="auto"/>
        </w:rPr>
      </w:pPr>
      <w:r>
        <w:rPr>
          <w:rFonts w:ascii="Arial" w:cs="Arial" w:eastAsia="Arial" w:hAnsi="Arial"/>
          <w:sz w:val="17"/>
          <w:szCs w:val="17"/>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64" w:lineRule="exact"/>
        <w:rPr>
          <w:sz w:val="20"/>
          <w:szCs w:val="20"/>
          <w:color w:val="auto"/>
        </w:rPr>
      </w:pPr>
    </w:p>
    <w:p>
      <w:pPr>
        <w:jc w:val="both"/>
        <w:ind w:left="1260" w:right="1159" w:firstLine="360"/>
        <w:spacing w:after="0" w:line="312" w:lineRule="auto"/>
        <w:rPr>
          <w:sz w:val="20"/>
          <w:szCs w:val="20"/>
          <w:color w:val="auto"/>
        </w:rPr>
      </w:pPr>
      <w:r>
        <w:rPr>
          <w:rFonts w:ascii="Arial" w:cs="Arial" w:eastAsia="Arial" w:hAnsi="Arial"/>
          <w:sz w:val="16"/>
          <w:szCs w:val="16"/>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3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December 22, 2017, the President signed into law the Tax Cuts and Jobs Act (“TCJA”) effective for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tax years ending after December 31, 2017. This legislation replaces the prior corporate tax rate structure with 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flat 21% rate, effective in 2018. There were many other future impacts of the tax reform such as the repeal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alternative minimum tax rate, tax loss carryback and carryforward limitations. This legislation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During 2018 the Company finalized its calculations related to the impacts of the TCJA with no adjustment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Company’s previously recorded provisional tax expense.</w:t>
      </w:r>
    </w:p>
    <w:p>
      <w:pPr>
        <w:spacing w:after="0" w:line="103"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 corporations end. The Company has elected to treat taxes due on future U.S. inclusions in taxable income under the GILTI provision as a current period expense when incurred.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The Company earns transaction fees from transactions executed on the Company’s markets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64" w:lineRule="exact"/>
        <w:rPr>
          <w:sz w:val="20"/>
          <w:szCs w:val="20"/>
          <w:color w:val="auto"/>
        </w:rPr>
      </w:pPr>
    </w:p>
    <w:p>
      <w:pPr>
        <w:ind w:left="1260" w:right="939" w:firstLine="360"/>
        <w:spacing w:after="0" w:line="272" w:lineRule="auto"/>
        <w:rPr>
          <w:sz w:val="20"/>
          <w:szCs w:val="20"/>
          <w:color w:val="auto"/>
        </w:rPr>
      </w:pPr>
      <w:r>
        <w:rPr>
          <w:rFonts w:ascii="Arial" w:cs="Arial" w:eastAsia="Arial" w:hAnsi="Arial"/>
          <w:sz w:val="17"/>
          <w:szCs w:val="17"/>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on the consolidated statements of income are viewer fees earned monthly from institutional investors accessing fixed income market data. The frequency of subscription fee billings varies from monthly until annually, depending on contract terms. Fees received by the Company which are not yet earned are included in deferred revenue on the consolidated statements of financial condition until the revenue recognition criteria has been met.</w:t>
      </w:r>
    </w:p>
    <w:p>
      <w:pPr>
        <w:spacing w:after="0" w:line="70" w:lineRule="exact"/>
        <w:rPr>
          <w:sz w:val="20"/>
          <w:szCs w:val="20"/>
          <w:color w:val="auto"/>
        </w:rPr>
      </w:pPr>
    </w:p>
    <w:p>
      <w:pPr>
        <w:jc w:val="both"/>
        <w:ind w:left="1260" w:right="1099" w:firstLine="360"/>
        <w:spacing w:after="0" w:line="312" w:lineRule="auto"/>
        <w:rPr>
          <w:sz w:val="20"/>
          <w:szCs w:val="20"/>
          <w:color w:val="auto"/>
        </w:rPr>
      </w:pPr>
      <w:r>
        <w:rPr>
          <w:rFonts w:ascii="Arial" w:cs="Arial" w:eastAsia="Arial" w:hAnsi="Arial"/>
          <w:sz w:val="16"/>
          <w:szCs w:val="16"/>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8" w:name="page239"/>
    <w:bookmarkEnd w:id="238"/>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019"/>
        <w:spacing w:after="0" w:line="342" w:lineRule="auto"/>
        <w:rPr>
          <w:sz w:val="20"/>
          <w:szCs w:val="20"/>
          <w:color w:val="auto"/>
        </w:rPr>
      </w:pPr>
      <w:r>
        <w:rPr>
          <w:rFonts w:ascii="Arial" w:cs="Arial" w:eastAsia="Arial" w:hAnsi="Arial"/>
          <w:sz w:val="16"/>
          <w:szCs w:val="16"/>
          <w:color w:val="auto"/>
        </w:rPr>
        <w:t>related commission income for brokerage transactions are recorded on a trade-date basis, as if the transactions have settled. This income is received by the Company when the transactions settle or is billed monthly.</w:t>
      </w:r>
    </w:p>
    <w:p>
      <w:pPr>
        <w:spacing w:after="0" w:line="2" w:lineRule="exact"/>
        <w:rPr>
          <w:sz w:val="20"/>
          <w:szCs w:val="20"/>
          <w:color w:val="auto"/>
        </w:rPr>
      </w:pPr>
    </w:p>
    <w:p>
      <w:pPr>
        <w:ind w:left="1260" w:right="859" w:firstLine="360"/>
        <w:spacing w:after="0" w:line="302" w:lineRule="auto"/>
        <w:rPr>
          <w:sz w:val="20"/>
          <w:szCs w:val="20"/>
          <w:color w:val="auto"/>
        </w:rPr>
      </w:pPr>
      <w:r>
        <w:rPr>
          <w:rFonts w:ascii="Arial" w:cs="Arial" w:eastAsia="Arial" w:hAnsi="Arial"/>
          <w:sz w:val="16"/>
          <w:szCs w:val="16"/>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3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On January 1, 2018, the Company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the Company was required to make significant judgements for the Refinitiv market data fees. Significant judgements used in accounting for this contract include:</w:t>
      </w:r>
    </w:p>
    <w:p>
      <w:pPr>
        <w:spacing w:after="0" w:line="26" w:lineRule="exact"/>
        <w:rPr>
          <w:sz w:val="20"/>
          <w:szCs w:val="20"/>
          <w:color w:val="auto"/>
        </w:rPr>
      </w:pPr>
    </w:p>
    <w:p>
      <w:pPr>
        <w:ind w:left="1980" w:right="1019" w:hanging="352"/>
        <w:spacing w:after="0" w:line="277" w:lineRule="auto"/>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8"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8" w:lineRule="exact"/>
        <w:rPr>
          <w:rFonts w:ascii="Arial" w:cs="Arial" w:eastAsia="Arial" w:hAnsi="Arial"/>
          <w:sz w:val="18"/>
          <w:szCs w:val="18"/>
          <w:color w:val="auto"/>
        </w:rPr>
      </w:pPr>
    </w:p>
    <w:p>
      <w:pPr>
        <w:ind w:left="1980" w:right="899" w:hanging="352"/>
        <w:spacing w:after="0" w:line="312" w:lineRule="auto"/>
        <w:tabs>
          <w:tab w:leader="none" w:pos="1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2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color w:val="auto"/>
        </w:rPr>
        <w:t>Some commission and transaction fees earned by the Company have fixed fee components, such as monthly minimums or fixed monthly fees and variable components such as transaction based fees. The breakdown of revenues between fixed and variable revenues, in thousands, for October 1, 2018 to December 31, 2018, January 1, 2018 to September 30, 2018 and for the year ended December 31, 2017 and 2016 is as follows:</w:t>
      </w:r>
    </w:p>
    <w:p>
      <w:pPr>
        <w:spacing w:after="0" w:line="5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Predecessor</w:t>
            </w: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October 1, 2018 to</w:t>
            </w:r>
          </w:p>
        </w:tc>
        <w:tc>
          <w:tcPr>
            <w:tcW w:w="20" w:type="dxa"/>
            <w:vAlign w:val="bottom"/>
            <w:shd w:val="clear" w:color="auto" w:fill="000000"/>
          </w:tcPr>
          <w:p>
            <w:pPr>
              <w:spacing w:after="0"/>
              <w:rPr>
                <w:sz w:val="15"/>
                <w:szCs w:val="15"/>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January 1, 2018 to</w:t>
            </w:r>
          </w:p>
        </w:tc>
        <w:tc>
          <w:tcPr>
            <w:tcW w:w="1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For the Year Ended</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6"/>
                <w:szCs w:val="16"/>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 2018</w:t>
            </w: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shd w:val="clear" w:color="auto" w:fill="000000"/>
          </w:tcPr>
          <w:p>
            <w:pPr>
              <w:spacing w:after="0"/>
              <w:rPr>
                <w:sz w:val="17"/>
                <w:szCs w:val="17"/>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rPr>
              <w:t>Fixed</w:t>
            </w:r>
          </w:p>
        </w:tc>
        <w:tc>
          <w:tcPr>
            <w:tcW w:w="20" w:type="dxa"/>
            <w:vAlign w:val="bottom"/>
            <w:shd w:val="clear" w:color="auto" w:fill="000000"/>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26"/>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$73,800</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$23,330</w:t>
            </w:r>
          </w:p>
        </w:tc>
        <w:tc>
          <w:tcPr>
            <w:tcW w:w="20" w:type="dxa"/>
            <w:vAlign w:val="bottom"/>
            <w:shd w:val="clear" w:color="auto" w:fill="000000"/>
          </w:tcPr>
          <w:p>
            <w:pPr>
              <w:spacing w:after="0"/>
              <w:rPr>
                <w:sz w:val="21"/>
                <w:szCs w:val="21"/>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65,702</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$210,198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56,822</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$176,060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c>
          <w:tcPr>
            <w:tcW w:w="0" w:type="dxa"/>
            <w:vAlign w:val="bottom"/>
          </w:tcPr>
          <w:p>
            <w:pPr>
              <w:spacing w:after="0"/>
              <w:rPr>
                <w:sz w:val="1"/>
                <w:szCs w:val="1"/>
                <w:color w:val="auto"/>
              </w:rPr>
            </w:pPr>
          </w:p>
        </w:tc>
      </w:tr>
      <w:tr>
        <w:trPr>
          <w:trHeight w:val="229"/>
        </w:trPr>
        <w:tc>
          <w:tcPr>
            <w:tcW w:w="2140" w:type="dxa"/>
            <w:vAlign w:val="bottom"/>
            <w:gridSpan w:val="2"/>
          </w:tcPr>
          <w:p>
            <w:pPr>
              <w:spacing w:after="0"/>
              <w:rPr>
                <w:sz w:val="20"/>
                <w:szCs w:val="20"/>
                <w:color w:val="auto"/>
              </w:rPr>
            </w:pPr>
            <w:r>
              <w:rPr>
                <w:rFonts w:ascii="Arial" w:cs="Arial" w:eastAsia="Arial" w:hAnsi="Arial"/>
                <w:sz w:val="18"/>
                <w:szCs w:val="18"/>
                <w:color w:val="auto"/>
                <w:w w:val="98"/>
              </w:rPr>
              <w:t>Subscription fees including</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Refinitiv market data</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fees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c>
          <w:tcPr>
            <w:tcW w:w="640" w:type="dxa"/>
            <w:vAlign w:val="bottom"/>
          </w:tcPr>
          <w:p>
            <w:pPr>
              <w:jc w:val="right"/>
              <w:spacing w:after="0"/>
              <w:rPr>
                <w:sz w:val="20"/>
                <w:szCs w:val="20"/>
                <w:color w:val="auto"/>
              </w:rPr>
            </w:pPr>
            <w:r>
              <w:rPr>
                <w:rFonts w:ascii="Arial" w:cs="Arial" w:eastAsia="Arial" w:hAnsi="Arial"/>
                <w:sz w:val="18"/>
                <w:szCs w:val="18"/>
                <w:color w:val="auto"/>
              </w:rPr>
              <w:t>46,094</w:t>
            </w:r>
          </w:p>
        </w:tc>
        <w:tc>
          <w:tcPr>
            <w:tcW w:w="20" w:type="dxa"/>
            <w:vAlign w:val="bottom"/>
            <w:shd w:val="clear" w:color="auto" w:fill="000000"/>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142,676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192,959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190,487</w:t>
            </w:r>
          </w:p>
        </w:tc>
        <w:tc>
          <w:tcPr>
            <w:tcW w:w="0" w:type="dxa"/>
            <w:vAlign w:val="bottom"/>
          </w:tcPr>
          <w:p>
            <w:pPr>
              <w:spacing w:after="0"/>
              <w:rPr>
                <w:sz w:val="1"/>
                <w:szCs w:val="1"/>
                <w:color w:val="auto"/>
              </w:rPr>
            </w:pPr>
          </w:p>
        </w:tc>
      </w:tr>
      <w:tr>
        <w:trPr>
          <w:trHeight w:val="263"/>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22,608</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20" w:type="dxa"/>
            <w:vAlign w:val="bottom"/>
            <w:shd w:val="clear" w:color="auto" w:fill="000000"/>
          </w:tcPr>
          <w:p>
            <w:pPr>
              <w:spacing w:after="0"/>
              <w:rPr>
                <w:sz w:val="22"/>
                <w:szCs w:val="22"/>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49,367</w:t>
            </w:r>
          </w:p>
        </w:tc>
        <w:tc>
          <w:tcPr>
            <w:tcW w:w="10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30,463</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57,118</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39,627</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54,194</w:t>
            </w: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37,469</w:t>
            </w:r>
          </w:p>
        </w:tc>
        <w:tc>
          <w:tcPr>
            <w:tcW w:w="0" w:type="dxa"/>
            <w:vAlign w:val="bottom"/>
          </w:tcPr>
          <w:p>
            <w:pPr>
              <w:spacing w:after="0"/>
              <w:rPr>
                <w:sz w:val="1"/>
                <w:szCs w:val="1"/>
                <w:color w:val="auto"/>
              </w:rPr>
            </w:pPr>
          </w:p>
        </w:tc>
      </w:tr>
      <w:tr>
        <w:trPr>
          <w:trHeight w:val="263"/>
        </w:trPr>
        <w:tc>
          <w:tcPr>
            <w:tcW w:w="2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2,148</w:t>
            </w:r>
          </w:p>
        </w:tc>
        <w:tc>
          <w:tcPr>
            <w:tcW w:w="20" w:type="dxa"/>
            <w:vAlign w:val="bottom"/>
            <w:shd w:val="clear" w:color="auto" w:fill="000000"/>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8,169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4,633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96,833</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81,804</w:t>
            </w:r>
          </w:p>
        </w:tc>
        <w:tc>
          <w:tcPr>
            <w:tcW w:w="20" w:type="dxa"/>
            <w:vAlign w:val="bottom"/>
            <w:shd w:val="clear" w:color="auto" w:fill="000000"/>
          </w:tcPr>
          <w:p>
            <w:pPr>
              <w:spacing w:after="0"/>
              <w:rPr>
                <w:sz w:val="22"/>
                <w:szCs w:val="22"/>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258,761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247,010</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294,041</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286,624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-248285</wp:posOffset>
            </wp:positionV>
            <wp:extent cx="1714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-248285</wp:posOffset>
            </wp:positionV>
            <wp:extent cx="7747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-248285</wp:posOffset>
            </wp:positionV>
            <wp:extent cx="7747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-248285</wp:posOffset>
            </wp:positionV>
            <wp:extent cx="603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-248285</wp:posOffset>
            </wp:positionV>
            <wp:extent cx="6032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-248285</wp:posOffset>
            </wp:positionV>
            <wp:extent cx="6032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-248285</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179260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-1191260</wp:posOffset>
            </wp:positionV>
            <wp:extent cx="1714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-1191260</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-1191260</wp:posOffset>
            </wp:positionV>
            <wp:extent cx="685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-1191260</wp:posOffset>
            </wp:positionV>
            <wp:extent cx="5143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-1191260</wp:posOffset>
            </wp:positionV>
            <wp:extent cx="5143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-1191260</wp:posOffset>
            </wp:positionV>
            <wp:extent cx="5143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-1191260</wp:posOffset>
            </wp:positionV>
            <wp:extent cx="6032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-1191260</wp:posOffset>
            </wp:positionV>
            <wp:extent cx="5143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-1191260</wp:posOffset>
            </wp:positionV>
            <wp:extent cx="5143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Share-Based Compensation</w:t>
      </w:r>
    </w:p>
    <w:p>
      <w:pPr>
        <w:spacing w:after="0" w:line="67" w:lineRule="exact"/>
        <w:rPr>
          <w:sz w:val="20"/>
          <w:szCs w:val="20"/>
          <w:color w:val="auto"/>
        </w:rPr>
      </w:pPr>
    </w:p>
    <w:p>
      <w:pPr>
        <w:ind w:left="1260" w:right="1079" w:firstLine="360"/>
        <w:spacing w:after="0" w:line="259" w:lineRule="auto"/>
        <w:rPr>
          <w:sz w:val="20"/>
          <w:szCs w:val="20"/>
          <w:color w:val="auto"/>
        </w:rPr>
      </w:pPr>
      <w:r>
        <w:rPr>
          <w:rFonts w:ascii="Arial" w:cs="Arial" w:eastAsia="Arial" w:hAnsi="Arial"/>
          <w:sz w:val="18"/>
          <w:szCs w:val="18"/>
          <w:color w:val="auto"/>
        </w:rPr>
        <w:t>The Company accounts for share-based compensation in accordance with ASC 718. ASC 718 focuses primarily on accounting for a transaction in which an entity obtains employee services in exchange for share-based payments. Under ASC 718, the shared-based payments received by the employees of the Company are accounted for either as equity awards or as liability awards.</w:t>
      </w:r>
    </w:p>
    <w:p>
      <w:pPr>
        <w:spacing w:after="0" w:line="65" w:lineRule="exact"/>
        <w:rPr>
          <w:sz w:val="20"/>
          <w:szCs w:val="20"/>
          <w:color w:val="auto"/>
        </w:rPr>
      </w:pPr>
    </w:p>
    <w:p>
      <w:pPr>
        <w:ind w:left="1260" w:right="1099" w:firstLine="360"/>
        <w:spacing w:after="0" w:line="259"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9" w:name="page240"/>
    <w:bookmarkEnd w:id="239"/>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302" w:lineRule="auto"/>
        <w:rPr>
          <w:sz w:val="20"/>
          <w:szCs w:val="20"/>
          <w:color w:val="auto"/>
        </w:rPr>
      </w:pPr>
      <w:r>
        <w:rPr>
          <w:rFonts w:ascii="Arial" w:cs="Arial" w:eastAsia="Arial" w:hAnsi="Arial"/>
          <w:sz w:val="16"/>
          <w:szCs w:val="16"/>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46"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Under ASC 718, the grant-date fair value of share based awards that do not require future service (i.e., vested awards) are expensed immediately. The grant-date fair value of share-based employee awards that require future service, and are graded-vesting awards, are amortized over the relevant service period on a straight-line basis, with each tranche separately measured. The grant-date fair value of share-based employee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7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the share-based payment awards requires the input of highly subjective assumptions, including the expected life of the share-based payment awards and the stock price volatility. The Company uses the Black-Scholes pricing model to value some of its share-based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85"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The Company has elected to account for forfeitures when they occur. If in a reporting period a forfeiture occurs, any expenses already recognized relating to the forfeited awards in prior reporting periods are reversed in the current reporting period.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Income Per Share</w:t>
      </w:r>
    </w:p>
    <w:p>
      <w:pPr>
        <w:spacing w:after="0" w:line="108"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Basic net income per share is computed by dividing the net income attributable to the Company’s shares by the weighted-average number of the Company’s shares outstanding during the period. For purposes of computing diluted net income per share, the weighted-average number of the Company’s shares reflects the dilutive effect that could occur if convertible securities were converted into or exercised for the Company’s shares.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w:t>
      </w:r>
    </w:p>
    <w:p>
      <w:pPr>
        <w:spacing w:after="0" w:line="108"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80"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Fair Value Measurement</w:t>
      </w:r>
    </w:p>
    <w:p>
      <w:pPr>
        <w:spacing w:after="0" w:line="121" w:lineRule="exact"/>
        <w:rPr>
          <w:sz w:val="20"/>
          <w:szCs w:val="20"/>
          <w:color w:val="auto"/>
        </w:rPr>
      </w:pPr>
    </w:p>
    <w:p>
      <w:pPr>
        <w:ind w:left="2280" w:right="1439" w:hanging="647"/>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103" w:lineRule="exact"/>
        <w:rPr>
          <w:sz w:val="20"/>
          <w:szCs w:val="20"/>
          <w:color w:val="auto"/>
        </w:rPr>
      </w:pPr>
    </w:p>
    <w:p>
      <w:pPr>
        <w:ind w:left="2280" w:right="859" w:hanging="647"/>
        <w:spacing w:after="0" w:line="277" w:lineRule="auto"/>
        <w:rPr>
          <w:sz w:val="20"/>
          <w:szCs w:val="20"/>
          <w:color w:val="auto"/>
        </w:rPr>
      </w:pPr>
      <w:r>
        <w:rPr>
          <w:rFonts w:ascii="Arial" w:cs="Arial" w:eastAsia="Arial" w:hAnsi="Arial"/>
          <w:sz w:val="18"/>
          <w:szCs w:val="18"/>
          <w:color w:val="auto"/>
        </w:rPr>
        <w:t>Level 2 Quoted prices in markets that are not considered to be active or financial instruments for which all significant inputs are observable, either directly or indirectly;</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0" w:name="page241"/>
    <w:bookmarkEnd w:id="240"/>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5" w:lineRule="exact"/>
        <w:rPr>
          <w:sz w:val="20"/>
          <w:szCs w:val="20"/>
          <w:color w:val="auto"/>
        </w:rPr>
      </w:pPr>
    </w:p>
    <w:p>
      <w:pPr>
        <w:ind w:left="2280" w:right="939" w:hanging="647"/>
        <w:spacing w:after="0" w:line="277" w:lineRule="auto"/>
        <w:rPr>
          <w:sz w:val="20"/>
          <w:szCs w:val="20"/>
          <w:color w:val="auto"/>
        </w:rPr>
      </w:pPr>
      <w:r>
        <w:rPr>
          <w:rFonts w:ascii="Arial" w:cs="Arial" w:eastAsia="Arial" w:hAnsi="Arial"/>
          <w:sz w:val="18"/>
          <w:szCs w:val="18"/>
          <w:color w:val="auto"/>
        </w:rPr>
        <w:t>Level 3 Prices or valuations that require inputs that are both significant to the fair value measurement and unobservable.</w:t>
      </w:r>
    </w:p>
    <w:p>
      <w:pPr>
        <w:spacing w:after="0" w:line="62"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In February 2016, the FASB issued ASU2016-02, Leases. This standard requires lessees to recognize a right-of-use asset and a lease liability for virtually all leases. The asset will reflect the present value of unpaid lease payments coupled with initial direct costs, prepaid lease payments, and lease incentives. The amount of the lease liability will be calculated as the present value of unpaid lease payments. ASU2016-02 will be effective for the Company in the fiscal year beginning January 1, 2019. The new standard must be adopted using a modified retrospective transition. The Company will adopt the transition method provided by ASU 2018 — 11, Leases — Targeted Improvements, in which the Company will initially apply the new lease standard on the adoption date of January 1, 2019, recognizing the cumulative-effect adjustment to members’ capital. The Company is evaluating its current lease contracts and currently intends to use the package of practical expedients allowing entities to not reassess (i) whether any expired or existing contracts are or contain leases, (ii) the lease classification for any expired or existing leases and (iii) initial direct costs for any existing leases. The Company has not quantified the impact on its consolidated financial statements, but it anticipates an increase in the recognition of right-of-use assets and lease liabilities.</w:t>
      </w:r>
    </w:p>
    <w:p>
      <w:pPr>
        <w:spacing w:after="0" w:line="80"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This standard provided new guidance for estimating credit losses on certain types of financial instruments by introducing an approach based on expected losses. This guidance will be effective in the fiscal year beginning January 1, 2020. The Company is currently evaluating the impact of this standard on the Company’s consolidated financial statements.</w:t>
      </w:r>
    </w:p>
    <w:p>
      <w:pPr>
        <w:spacing w:after="0" w:line="8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 consensus of the Emerging Issues Task Force). This update provides specific guidance on the eight cash flow classification and presentation issues on the statements of cash flow. ASU 2016-15 was adopted by the Company beginning on January 1, 2018. The adoption of this ASU did not have a material impact on the Company’s financial statements.</w:t>
      </w:r>
    </w:p>
    <w:p>
      <w:pPr>
        <w:spacing w:after="0" w:line="80"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In November 2016, the FASB issued ASU 2016-18, Statement of Cash Flows — Restricted Cash. This update requires that a statement of cash flows explain the change during the period in total cash, cash equivalents, and amounts generally described as restricted cash or restricted cash equivalents. The standard must be adopted using a retrospective transition method to each period presented. ASU 2016-18 was adopted by the Company beginning on January 1, 2018. The adoption resulted in the Company presenting a reconciliation of cash and cash equivalents and restricted cash that sum to the amounts shown in the consolidated statement of cash flows.</w:t>
      </w:r>
    </w:p>
    <w:p>
      <w:pPr>
        <w:spacing w:after="0" w:line="57" w:lineRule="exact"/>
        <w:rPr>
          <w:sz w:val="20"/>
          <w:szCs w:val="20"/>
          <w:color w:val="auto"/>
        </w:rPr>
      </w:pPr>
    </w:p>
    <w:p>
      <w:pPr>
        <w:ind w:left="1260" w:right="819" w:firstLine="36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 does not anticipate the adoption of this ASU to have a material impact on the Company’s financial statements.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Pushdown Accounting</w:t>
      </w:r>
    </w:p>
    <w:p>
      <w:pPr>
        <w:spacing w:after="0" w:line="108"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to record the fair value of the assets and liabilities of Refinitiv on the date of the Refinitiv Transaction. The Company, as a consolidating subsidiary</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1" w:name="page242"/>
    <w:bookmarkEnd w:id="241"/>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899"/>
        <w:spacing w:after="0" w:line="264" w:lineRule="auto"/>
        <w:rPr>
          <w:sz w:val="20"/>
          <w:szCs w:val="20"/>
          <w:color w:val="auto"/>
        </w:rPr>
      </w:pPr>
      <w:r>
        <w:rPr>
          <w:rFonts w:ascii="Arial" w:cs="Arial" w:eastAsia="Arial" w:hAnsi="Arial"/>
          <w:sz w:val="18"/>
          <w:szCs w:val="18"/>
          <w:color w:val="auto"/>
        </w:rPr>
        <w:t>of Refinitiv, accounted for the Refinitiv Transaction using pushdown accounting. Under pushdown accounting, the excess of the fair value of the Company above the fair value accounting basis of the net assets and liabilities of the Company is recorded as goodwill.</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The fair value of assets acquired and liabilities assumed was determined based on assumptions that reasonable market participants would use in the principal (or most advantageous) market for the asset or liability. The following assumptions, the majority of which include significant unobservable inputs (Level 3), and valuation methodologies were used to determine fair value:</w:t>
      </w:r>
    </w:p>
    <w:p>
      <w:pPr>
        <w:spacing w:after="0" w:line="146" w:lineRule="exact"/>
        <w:rPr>
          <w:sz w:val="20"/>
          <w:szCs w:val="20"/>
          <w:color w:val="auto"/>
        </w:rPr>
      </w:pPr>
    </w:p>
    <w:p>
      <w:pPr>
        <w:ind w:left="1980" w:right="859" w:hanging="352"/>
        <w:spacing w:after="0" w:line="302" w:lineRule="auto"/>
        <w:tabs>
          <w:tab w:leader="none" w:pos="1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Licenses — The income approach: with or without method was used. Under this method, fair value is estimated based on income streams, such as cash flows or earnings, discounting to a present value. These discounted cash flows are calculated both with the asset and without the asset. The difference in the cash flows is discounted to the present value to determine the value of the asset.</w:t>
      </w:r>
    </w:p>
    <w:p>
      <w:pPr>
        <w:spacing w:after="0" w:line="113" w:lineRule="exact"/>
        <w:rPr>
          <w:rFonts w:ascii="Arial" w:cs="Arial" w:eastAsia="Arial" w:hAnsi="Arial"/>
          <w:sz w:val="16"/>
          <w:szCs w:val="16"/>
          <w:color w:val="auto"/>
        </w:rPr>
      </w:pPr>
    </w:p>
    <w:p>
      <w:pPr>
        <w:ind w:left="1980" w:right="779" w:hanging="352"/>
        <w:spacing w:after="0" w:line="264" w:lineRule="auto"/>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Content and Data — The income approach: discounted cash flow method was used. Under this method, fair value is estimated based on income streams, such as cash flows or earnings, discounting to a present value.</w:t>
      </w:r>
    </w:p>
    <w:p>
      <w:pPr>
        <w:spacing w:after="0" w:line="154" w:lineRule="exact"/>
        <w:rPr>
          <w:rFonts w:ascii="Arial" w:cs="Arial" w:eastAsia="Arial" w:hAnsi="Arial"/>
          <w:sz w:val="18"/>
          <w:szCs w:val="18"/>
          <w:color w:val="auto"/>
        </w:rPr>
      </w:pPr>
    </w:p>
    <w:p>
      <w:pPr>
        <w:ind w:left="1980" w:right="939" w:hanging="352"/>
        <w:spacing w:after="0" w:line="308" w:lineRule="auto"/>
        <w:tabs>
          <w:tab w:leader="none" w:pos="19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Tradename and software development costs — The income approach: relief from royalty method was used. Under this method, the value of the asset is a function of several components:</w:t>
      </w:r>
    </w:p>
    <w:p>
      <w:pPr>
        <w:spacing w:after="0" w:line="106" w:lineRule="exact"/>
        <w:rPr>
          <w:rFonts w:ascii="Arial" w:cs="Arial" w:eastAsia="Arial" w:hAnsi="Arial"/>
          <w:sz w:val="17"/>
          <w:szCs w:val="17"/>
          <w:color w:val="auto"/>
        </w:rPr>
      </w:pPr>
    </w:p>
    <w:p>
      <w:pPr>
        <w:ind w:left="2340" w:hanging="351"/>
        <w:spacing w:after="0"/>
        <w:tabs>
          <w:tab w:leader="none" w:pos="23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projected revenue attributable to the asset.</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expected economic life of the asset.</w:t>
      </w:r>
    </w:p>
    <w:p>
      <w:pPr>
        <w:spacing w:after="0" w:line="184" w:lineRule="exact"/>
        <w:rPr>
          <w:rFonts w:ascii="Arial" w:cs="Arial" w:eastAsia="Arial" w:hAnsi="Arial"/>
          <w:sz w:val="18"/>
          <w:szCs w:val="18"/>
          <w:color w:val="auto"/>
        </w:rPr>
      </w:pPr>
    </w:p>
    <w:p>
      <w:pPr>
        <w:ind w:left="2340" w:right="859" w:hanging="351"/>
        <w:spacing w:after="0" w:line="277" w:lineRule="auto"/>
        <w:tabs>
          <w:tab w:leader="none" w:pos="23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royalty rate, as a percentage of revenue that would hypothetically be charged by a licensor of the asset to an unrelated licensee.</w:t>
      </w:r>
    </w:p>
    <w:p>
      <w:pPr>
        <w:spacing w:after="0" w:line="143" w:lineRule="exact"/>
        <w:rPr>
          <w:rFonts w:ascii="Arial" w:cs="Arial" w:eastAsia="Arial" w:hAnsi="Arial"/>
          <w:sz w:val="18"/>
          <w:szCs w:val="18"/>
          <w:color w:val="auto"/>
        </w:rPr>
      </w:pPr>
    </w:p>
    <w:p>
      <w:pPr>
        <w:ind w:left="2340" w:right="939" w:hanging="351"/>
        <w:spacing w:after="0" w:line="277" w:lineRule="auto"/>
        <w:tabs>
          <w:tab w:leader="none" w:pos="23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discount rate that reflects the level of risk associated with the future income attributable to the asset.</w:t>
      </w:r>
    </w:p>
    <w:p>
      <w:pPr>
        <w:spacing w:after="0" w:line="129" w:lineRule="exact"/>
        <w:rPr>
          <w:rFonts w:ascii="Arial" w:cs="Arial" w:eastAsia="Arial" w:hAnsi="Arial"/>
          <w:sz w:val="18"/>
          <w:szCs w:val="18"/>
          <w:color w:val="auto"/>
        </w:rPr>
      </w:pPr>
    </w:p>
    <w:p>
      <w:pPr>
        <w:ind w:left="1980" w:right="759" w:hanging="352"/>
        <w:spacing w:after="0" w:line="264" w:lineRule="auto"/>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Customer relationships — The income approach: multi-period excess earnings method was used. Under this method, the economic benefit of the asset is measured indirectly by calculating the income attributable to an asset after contributory asset charges.</w:t>
      </w:r>
    </w:p>
    <w:p>
      <w:pPr>
        <w:spacing w:after="0" w:line="140"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Leasehold improvements, furniture and purchased software — The cost approach was used. Under this method the assets are valued based on the cost to a market participant to acquire a substitute asset of comparable utility, adjusted for obsolescence.</w:t>
      </w:r>
    </w:p>
    <w:p>
      <w:pPr>
        <w:spacing w:after="0" w:line="154" w:lineRule="exact"/>
        <w:rPr>
          <w:rFonts w:ascii="Arial" w:cs="Arial" w:eastAsia="Arial" w:hAnsi="Arial"/>
          <w:sz w:val="18"/>
          <w:szCs w:val="18"/>
          <w:color w:val="auto"/>
        </w:rPr>
      </w:pPr>
    </w:p>
    <w:p>
      <w:pPr>
        <w:ind w:left="1980" w:right="999" w:hanging="352"/>
        <w:spacing w:after="0" w:line="312" w:lineRule="auto"/>
        <w:tabs>
          <w:tab w:leader="none" w:pos="1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Computer hardware and office equipment — The market approach was used. Under this method, the fair value of an asset reflects the price at which comparable assets are purchased under similar circumstances based on recent sales prices of similar assets in an arm’s-length transaction.</w:t>
      </w:r>
    </w:p>
    <w:p>
      <w:pPr>
        <w:spacing w:after="0" w:line="106" w:lineRule="exact"/>
        <w:rPr>
          <w:rFonts w:ascii="Arial" w:cs="Arial" w:eastAsia="Arial" w:hAnsi="Arial"/>
          <w:sz w:val="16"/>
          <w:szCs w:val="16"/>
          <w:color w:val="auto"/>
        </w:rPr>
      </w:pPr>
    </w:p>
    <w:p>
      <w:pPr>
        <w:ind w:left="1980" w:right="779" w:hanging="352"/>
        <w:spacing w:after="0" w:line="277" w:lineRule="auto"/>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Leasehold interests — The income approach was used. Under this method, fair value is estimated based on cash flows, discounting to a present value.</w:t>
      </w:r>
    </w:p>
    <w:p>
      <w:pPr>
        <w:spacing w:after="0" w:line="62"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The amount and timing of future cash flows used in these approaches were based on the Company’s most recent financial forecasts as of the date of the Refinitiv Transaction. In preparing the purchase price allocations, the Company considered a report of a third-party valuation expert. The Company’s management is responsible for these internal and third-party valuations and appraisals and they are continuing to review the amounts and allocations to finalize these amounts. The Company has one year from the date of the Refinitiv Transaction to finalize these amounts.</w:t>
      </w:r>
    </w:p>
    <w:p>
      <w:pPr>
        <w:spacing w:after="0" w:line="2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2" w:name="page243"/>
    <w:bookmarkEnd w:id="242"/>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allocation applying pushdown accounting is summarized in the table below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Company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4,575,000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Less: fair value of the net assets and liabilities of the Company</w:t>
            </w: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(1,880,203)</w:t>
            </w:r>
          </w:p>
        </w:tc>
        <w:tc>
          <w:tcPr>
            <w:tcW w:w="0" w:type="dxa"/>
            <w:vAlign w:val="bottom"/>
          </w:tcPr>
          <w:p>
            <w:pPr>
              <w:spacing w:after="0"/>
              <w:rPr>
                <w:sz w:val="1"/>
                <w:szCs w:val="1"/>
                <w:color w:val="auto"/>
              </w:rPr>
            </w:pPr>
          </w:p>
        </w:tc>
      </w:tr>
      <w:tr>
        <w:trPr>
          <w:trHeight w:val="237"/>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2,694,797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Net assets and liabilities of the Company at October 1, 2018:</w:t>
            </w: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Furniture, equipment, purchased software and leasehold improvements: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hardware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software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Furniture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equipment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168,500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and Data</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Licenses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168,800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2,091,439</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82,201</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Leasehold interests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Employee equity compensation payable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Payable to affiliates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211,236</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net assets and liabilities of the Company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1,880,203</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-265430</wp:posOffset>
            </wp:positionV>
            <wp:extent cx="47510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-1551305</wp:posOffset>
            </wp:positionV>
            <wp:extent cx="475107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-4819015</wp:posOffset>
            </wp:positionV>
            <wp:extent cx="475107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Restricted Cash</w:t>
      </w:r>
    </w:p>
    <w:p>
      <w:pPr>
        <w:spacing w:after="0" w:line="81"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December 31, 2018 and December 31, 2017, cash in the amount of $1,200,000 has been segregated in the PAB reserve account exceeding the requirements pursuant to SEC Rule 15c3-3.</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Receivable from and Payable to Brokers and Dealers and Clearing Organizations</w:t>
      </w:r>
    </w:p>
    <w:p>
      <w:pPr>
        <w:spacing w:after="0" w:line="81"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Deposits with Clearing Organizations</w:t>
      </w:r>
    </w:p>
    <w:p>
      <w:pPr>
        <w:spacing w:after="0" w:line="108"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Furniture, Equipment, Purchased Software and Leasehold Improvements</w:t>
      </w:r>
    </w:p>
    <w:p>
      <w:pPr>
        <w:spacing w:after="0" w:line="108" w:lineRule="exact"/>
        <w:rPr>
          <w:sz w:val="20"/>
          <w:szCs w:val="20"/>
          <w:color w:val="auto"/>
        </w:rPr>
      </w:pPr>
    </w:p>
    <w:p>
      <w:pPr>
        <w:ind w:left="1260" w:right="1579" w:firstLine="360"/>
        <w:spacing w:after="0" w:line="291" w:lineRule="auto"/>
        <w:rPr>
          <w:sz w:val="20"/>
          <w:szCs w:val="20"/>
          <w:color w:val="auto"/>
        </w:rPr>
      </w:pPr>
      <w:r>
        <w:rPr>
          <w:rFonts w:ascii="Arial" w:cs="Arial" w:eastAsia="Arial" w:hAnsi="Arial"/>
          <w:sz w:val="17"/>
          <w:szCs w:val="17"/>
          <w:color w:val="auto"/>
        </w:rPr>
        <w:t>The components of furniture, equipment, purchased software and leasehold improvements, net of accumulated depreciation and amortization are as follows (in thousands):</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90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9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5"/>
                <w:szCs w:val="15"/>
                <w:color w:val="auto"/>
              </w:rPr>
            </w:pPr>
          </w:p>
        </w:tc>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94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$22,818</w:t>
            </w:r>
          </w:p>
        </w:tc>
        <w:tc>
          <w:tcPr>
            <w:tcW w:w="100" w:type="dxa"/>
            <w:vAlign w:val="bottom"/>
            <w:shd w:val="clear" w:color="auto" w:fill="CCEEFF"/>
          </w:tcPr>
          <w:p>
            <w:pPr>
              <w:spacing w:after="0"/>
              <w:rPr>
                <w:sz w:val="21"/>
                <w:szCs w:val="21"/>
                <w:color w:val="auto"/>
              </w:rPr>
            </w:pPr>
          </w:p>
        </w:tc>
        <w:tc>
          <w:tcPr>
            <w:tcW w:w="320" w:type="dxa"/>
            <w:vAlign w:val="bottom"/>
            <w:tcBorders>
              <w:lef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67,852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27,139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12,991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(87,301)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6"/>
              </w:rPr>
              <w:t>Furniture, equipment, purchased software and leasehold improvements, net of</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lef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$38,128</w:t>
            </w:r>
          </w:p>
        </w:tc>
        <w:tc>
          <w:tcPr>
            <w:tcW w:w="100" w:type="dxa"/>
            <w:vAlign w:val="bottom"/>
          </w:tcPr>
          <w:p>
            <w:pPr>
              <w:spacing w:after="0"/>
              <w:rPr>
                <w:sz w:val="20"/>
                <w:szCs w:val="20"/>
                <w:color w:val="auto"/>
              </w:rPr>
            </w:pPr>
          </w:p>
        </w:tc>
        <w:tc>
          <w:tcPr>
            <w:tcW w:w="320" w:type="dxa"/>
            <w:vAlign w:val="bottom"/>
            <w:tcBorders>
              <w:lef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-1225550</wp:posOffset>
            </wp:positionV>
            <wp:extent cx="521398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9" w:lineRule="exact"/>
        <w:rPr>
          <w:sz w:val="20"/>
          <w:szCs w:val="20"/>
          <w:color w:val="auto"/>
        </w:rPr>
      </w:pPr>
    </w:p>
    <w:p>
      <w:pPr>
        <w:ind w:left="1260" w:right="859"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depreciation and amortization expense related to these assets was $3,094,000, $9,270,000, $11,959,000 and $12,910,000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Software Development Cost</w:t>
      </w:r>
    </w:p>
    <w:p>
      <w:pPr>
        <w:spacing w:after="0" w:line="108" w:lineRule="exact"/>
        <w:rPr>
          <w:sz w:val="20"/>
          <w:szCs w:val="20"/>
          <w:color w:val="auto"/>
        </w:rPr>
      </w:pPr>
    </w:p>
    <w:p>
      <w:pPr>
        <w:ind w:left="1260" w:right="1419" w:firstLine="360"/>
        <w:spacing w:after="0" w:line="277" w:lineRule="auto"/>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line="20" w:lineRule="exact"/>
              <w:rPr>
                <w:sz w:val="1"/>
                <w:szCs w:val="1"/>
                <w:color w:val="auto"/>
              </w:rPr>
            </w:pPr>
          </w:p>
        </w:tc>
      </w:tr>
      <w:tr>
        <w:trPr>
          <w:trHeight w:val="150"/>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6"/>
        </w:trPr>
        <w:tc>
          <w:tcPr>
            <w:tcW w:w="6220" w:type="dxa"/>
            <w:vAlign w:val="bottom"/>
          </w:tcPr>
          <w:p>
            <w:pPr>
              <w:spacing w:after="0"/>
              <w:rPr>
                <w:sz w:val="16"/>
                <w:szCs w:val="16"/>
                <w:color w:val="auto"/>
              </w:rPr>
            </w:pPr>
          </w:p>
        </w:tc>
        <w:tc>
          <w:tcPr>
            <w:tcW w:w="80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$ 175,656</w:t>
            </w: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218,382</w:t>
            </w:r>
          </w:p>
        </w:tc>
        <w:tc>
          <w:tcPr>
            <w:tcW w:w="0" w:type="dxa"/>
            <w:vAlign w:val="bottom"/>
          </w:tcPr>
          <w:p>
            <w:pPr>
              <w:spacing w:after="0"/>
              <w:rPr>
                <w:sz w:val="1"/>
                <w:szCs w:val="1"/>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(177,201)</w:t>
            </w: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170,582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41,181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-248285</wp:posOffset>
            </wp:positionV>
            <wp:extent cx="521398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-591185</wp:posOffset>
            </wp:positionV>
            <wp:extent cx="521398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9"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For October 1, 2018 to December 31, 2018, January 1, 2018 to September 30, 2018 and for the years ended December 31, 2017 and 2016, software development costs totaling $7,156,000, $19,523,000, $27,157,000 and $25,351,000, respectively, were capitalized. In addition, on October 1, 2018, a fair value of $168,500,000 was assigned to software development costs of the Company as a result of the Refinitiv Transaction. Non-capitalized software costs and routine maintenance costs are expensed as incurred and are included in employee compensation and benefits and professional fees on the consolidated statements of income. For October 1, 2018 to December 31, 2018, January 1, 2018 to September 30, 2018 and for the years ended December 31, 2017 and 2016, amortization expense related to these assets was $5,074,000, $19,962,000, $25,420,000 and $26,824,000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Intangible Assets and Goodwill</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Intangible assets and goodwill relate primarily to the allocation of purchase price associated with the Refinitiv Transaction, the acquisition by TR of Tradeweb Group LLC in 2004, the merger in 2010 of the Company with Tradeweb NewMarkets LLC (“NewMarkets”), which was a company owned by the Banks and TR (the “Merger”), the purchase of the RaffCap business in 2011 and the purchase of BondDesk in 2013. The following is a summary of goodwill (in thousands):</w:t>
      </w:r>
    </w:p>
    <w:p>
      <w:pPr>
        <w:spacing w:after="0" w:line="85"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50"/>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Refinitiv Transaction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$ 2,694,797</w:t>
            </w:r>
          </w:p>
        </w:tc>
        <w:tc>
          <w:tcPr>
            <w:tcW w:w="140" w:type="dxa"/>
            <w:vAlign w:val="bottom"/>
            <w:tcBorders>
              <w:right w:val="single" w:sz="8" w:color="auto"/>
            </w:tcBorders>
            <w:gridSpan w:val="2"/>
            <w:shd w:val="clear" w:color="auto" w:fill="CCEEFF"/>
          </w:tcPr>
          <w:p>
            <w:pPr>
              <w:spacing w:after="0"/>
              <w:rPr>
                <w:sz w:val="21"/>
                <w:szCs w:val="21"/>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TR Acquisition</w:t>
            </w: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334,185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RaffCap Business</w:t>
            </w: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BondDesk</w:t>
            </w: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103,158</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2,694,797</w:t>
            </w:r>
          </w:p>
        </w:tc>
        <w:tc>
          <w:tcPr>
            <w:tcW w:w="140" w:type="dxa"/>
            <w:vAlign w:val="bottom"/>
            <w:tcBorders>
              <w:right w:val="single" w:sz="8" w:color="auto"/>
            </w:tcBorders>
            <w:gridSpan w:val="2"/>
            <w:shd w:val="clear" w:color="auto" w:fill="CCEEFF"/>
          </w:tcPr>
          <w:p>
            <w:pPr>
              <w:spacing w:after="0"/>
              <w:rPr>
                <w:sz w:val="22"/>
                <w:szCs w:val="22"/>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563,421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-248285</wp:posOffset>
            </wp:positionV>
            <wp:extent cx="475107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-1242695</wp:posOffset>
            </wp:positionV>
            <wp:extent cx="1714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-1242695</wp:posOffset>
            </wp:positionV>
            <wp:extent cx="417639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intangible assets which have an indefinite useful life (in thousands):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5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78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left="64"/>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Licences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$ 168,800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left="64"/>
              <w:spacing w:after="0"/>
              <w:rPr>
                <w:sz w:val="20"/>
                <w:szCs w:val="20"/>
                <w:color w:val="auto"/>
              </w:rPr>
            </w:pPr>
            <w:r>
              <w:rPr>
                <w:rFonts w:ascii="Arial" w:cs="Arial" w:eastAsia="Arial" w:hAnsi="Arial"/>
                <w:sz w:val="18"/>
                <w:szCs w:val="18"/>
                <w:color w:val="auto"/>
                <w:w w:val="85"/>
              </w:rPr>
              <w:t>$ 12,000</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154,300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323,100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000000"/>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$ 12,000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-248285</wp:posOffset>
            </wp:positionV>
            <wp:extent cx="475107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-591185</wp:posOffset>
            </wp:positionV>
            <wp:extent cx="1714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-591185</wp:posOffset>
            </wp:positionV>
            <wp:extent cx="417639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82"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Intangible assets that are subject to amortization, including the related accumulated amortization, are comprised as follows (in thousands):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7"/>
          </w:tcPr>
          <w:p>
            <w:pPr>
              <w:jc w:val="center"/>
              <w:ind w:left="480"/>
              <w:spacing w:after="0"/>
              <w:rPr>
                <w:sz w:val="20"/>
                <w:szCs w:val="20"/>
                <w:color w:val="auto"/>
              </w:rPr>
            </w:pPr>
            <w:r>
              <w:rPr>
                <w:rFonts w:ascii="Arial" w:cs="Arial" w:eastAsia="Arial" w:hAnsi="Arial"/>
                <w:sz w:val="14"/>
                <w:szCs w:val="14"/>
                <w:b w:val="1"/>
                <w:bCs w:val="1"/>
                <w:color w:val="auto"/>
                <w:w w:val="91"/>
              </w:rPr>
              <w:t>December 31, 2018</w:t>
            </w:r>
          </w:p>
        </w:tc>
        <w:tc>
          <w:tcPr>
            <w:tcW w:w="660" w:type="dxa"/>
            <w:vAlign w:val="bottom"/>
            <w:tcBorders>
              <w:bottom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8"/>
          </w:tcPr>
          <w:p>
            <w:pPr>
              <w:jc w:val="center"/>
              <w:ind w:left="340"/>
              <w:spacing w:after="0"/>
              <w:rPr>
                <w:sz w:val="20"/>
                <w:szCs w:val="20"/>
                <w:color w:val="auto"/>
              </w:rPr>
            </w:pPr>
            <w:r>
              <w:rPr>
                <w:rFonts w:ascii="Arial" w:cs="Arial" w:eastAsia="Arial" w:hAnsi="Arial"/>
                <w:sz w:val="14"/>
                <w:szCs w:val="14"/>
                <w:b w:val="1"/>
                <w:bCs w:val="1"/>
                <w:color w:val="auto"/>
                <w:w w:val="91"/>
              </w:rPr>
              <w:t>December 31, 2017</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Carrying</w:t>
            </w: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CCEEFF"/>
              <w:right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6"/>
              </w:rPr>
              <w:t>Customer relationships – Refinitiv</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12 Years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928,200</w:t>
            </w: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 (19,338)</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908,862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Content and data</w:t>
            </w: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7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154,400</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(5,514)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148,886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Customer relationships – Fixed</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13 Years</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155,284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96"/>
              </w:rPr>
              <w:t>(155,270)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Business</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Customer relationships – DW</w:t>
            </w:r>
          </w:p>
        </w:tc>
        <w:tc>
          <w:tcPr>
            <w:tcW w:w="8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11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(42,348)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22,652</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Customer relationships –</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12 Years</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17,600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(9,166)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8,434</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RaffCap</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20" w:type="dxa"/>
            <w:vAlign w:val="bottom"/>
          </w:tcPr>
          <w:p>
            <w:pPr>
              <w:spacing w:after="0" w:line="179" w:lineRule="exact"/>
              <w:rPr>
                <w:sz w:val="20"/>
                <w:szCs w:val="20"/>
                <w:color w:val="auto"/>
              </w:rPr>
            </w:pPr>
            <w:r>
              <w:rPr>
                <w:rFonts w:ascii="Arial" w:cs="Arial" w:eastAsia="Arial" w:hAnsi="Arial"/>
                <w:sz w:val="16"/>
                <w:szCs w:val="16"/>
                <w:color w:val="auto"/>
              </w:rPr>
              <w:t>Customer relationships –</w:t>
            </w:r>
          </w:p>
        </w:tc>
        <w:tc>
          <w:tcPr>
            <w:tcW w:w="80" w:type="dxa"/>
            <w:vAlign w:val="bottom"/>
          </w:tcPr>
          <w:p>
            <w:pPr>
              <w:spacing w:after="0"/>
              <w:rPr>
                <w:sz w:val="15"/>
                <w:szCs w:val="15"/>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0"/>
              </w:rPr>
              <w:t>15 Years</w:t>
            </w:r>
          </w:p>
        </w:tc>
        <w:tc>
          <w:tcPr>
            <w:tcW w:w="8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89"/>
              </w:rPr>
              <w:t>104,000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(28,806)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75,194</w:t>
            </w:r>
          </w:p>
        </w:tc>
        <w:tc>
          <w:tcPr>
            <w:tcW w:w="0" w:type="dxa"/>
            <w:vAlign w:val="bottom"/>
          </w:tcPr>
          <w:p>
            <w:pPr>
              <w:spacing w:after="0"/>
              <w:rPr>
                <w:sz w:val="1"/>
                <w:szCs w:val="1"/>
                <w:color w:val="auto"/>
              </w:rPr>
            </w:pPr>
          </w:p>
        </w:tc>
      </w:tr>
      <w:tr>
        <w:trPr>
          <w:trHeight w:val="185"/>
        </w:trPr>
        <w:tc>
          <w:tcPr>
            <w:tcW w:w="2320" w:type="dxa"/>
            <w:vAlign w:val="bottom"/>
          </w:tcPr>
          <w:p>
            <w:pPr>
              <w:ind w:left="180"/>
              <w:spacing w:after="0"/>
              <w:rPr>
                <w:sz w:val="20"/>
                <w:szCs w:val="20"/>
                <w:color w:val="auto"/>
              </w:rPr>
            </w:pPr>
            <w:r>
              <w:rPr>
                <w:rFonts w:ascii="Arial" w:cs="Arial" w:eastAsia="Arial" w:hAnsi="Arial"/>
                <w:sz w:val="16"/>
                <w:szCs w:val="16"/>
                <w:color w:val="auto"/>
              </w:rPr>
              <w:t>BondDesk</w:t>
            </w: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Other</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10 Years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Tradenames</w:t>
            </w: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Liquidity contracts</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16 Years</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185,000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102,135</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1,082,600</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 (24,852)</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1,057,748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529,184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(318,965)</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210,219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-179705</wp:posOffset>
            </wp:positionV>
            <wp:extent cx="6858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-1774825</wp:posOffset>
            </wp:positionV>
            <wp:extent cx="5143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-1774825</wp:posOffset>
            </wp:positionV>
            <wp:extent cx="5143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-1774825</wp:posOffset>
            </wp:positionV>
            <wp:extent cx="6032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-1774825</wp:posOffset>
            </wp:positionV>
            <wp:extent cx="5143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-1774825</wp:posOffset>
            </wp:positionV>
            <wp:extent cx="5143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-1774825</wp:posOffset>
            </wp:positionV>
            <wp:extent cx="211836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01" w:lineRule="exact"/>
        <w:rPr>
          <w:sz w:val="20"/>
          <w:szCs w:val="20"/>
          <w:color w:val="auto"/>
        </w:rPr>
      </w:pPr>
    </w:p>
    <w:p>
      <w:pPr>
        <w:ind w:left="1260" w:right="859"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amortization expense relating to these assets was $24,852,000, $19,576,000, $31,236,000 and $41,125,000, respectively.</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5" w:name="page246"/>
    <w:bookmarkEnd w:id="245"/>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The estimated annual future amortization for existing intangibles assets through December 31, 2023 is as follows (in thousands):</w:t>
      </w:r>
    </w:p>
    <w:p>
      <w:pPr>
        <w:spacing w:after="0" w:line="68"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$99,408</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r>
        <w:trPr>
          <w:trHeight w:val="270"/>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70"/>
        </w:trPr>
        <w:tc>
          <w:tcPr>
            <w:tcW w:w="20" w:type="dxa"/>
            <w:vAlign w:val="bottom"/>
          </w:tcPr>
          <w:p>
            <w:pPr>
              <w:spacing w:after="0"/>
              <w:rPr>
                <w:sz w:val="23"/>
                <w:szCs w:val="23"/>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-840105</wp:posOffset>
            </wp:positionV>
            <wp:extent cx="13716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Deferred Revenue</w:t>
      </w:r>
    </w:p>
    <w:p>
      <w:pPr>
        <w:spacing w:after="0" w:line="108"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The Company records deferred revenue when cash payments are received or due in advance of services to be performed. The recognized revenue and remaining balance is shown below (in thousands):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line="20" w:lineRule="exact"/>
              <w:rPr>
                <w:sz w:val="1"/>
                <w:szCs w:val="1"/>
                <w:color w:val="auto"/>
              </w:rPr>
            </w:pPr>
          </w:p>
        </w:tc>
      </w:tr>
      <w:tr>
        <w:trPr>
          <w:trHeight w:val="150"/>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January 1,</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2018 to</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left w:val="single" w:sz="8" w:color="auto"/>
            </w:tcBorders>
          </w:tcPr>
          <w:p>
            <w:pPr>
              <w:spacing w:after="0"/>
              <w:rPr>
                <w:sz w:val="16"/>
                <w:szCs w:val="16"/>
                <w:color w:val="auto"/>
              </w:rPr>
            </w:pP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left w:val="single" w:sz="8" w:color="auto"/>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balance – beginning of period</w:t>
            </w: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$ 28,280</w:t>
            </w:r>
          </w:p>
        </w:tc>
        <w:tc>
          <w:tcPr>
            <w:tcW w:w="100" w:type="dxa"/>
            <w:vAlign w:val="bottom"/>
            <w:shd w:val="clear" w:color="auto" w:fill="CCEEFF"/>
          </w:tcPr>
          <w:p>
            <w:pPr>
              <w:spacing w:after="0"/>
              <w:rPr>
                <w:sz w:val="21"/>
                <w:szCs w:val="21"/>
                <w:color w:val="auto"/>
              </w:rPr>
            </w:pPr>
          </w:p>
        </w:tc>
        <w:tc>
          <w:tcPr>
            <w:tcW w:w="420" w:type="dxa"/>
            <w:vAlign w:val="bottom"/>
            <w:tcBorders>
              <w:left w:val="single" w:sz="8" w:color="auto"/>
            </w:tcBorders>
            <w:gridSpan w:val="3"/>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29,673</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42,184</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New billings</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26,609</w:t>
            </w:r>
          </w:p>
        </w:tc>
        <w:tc>
          <w:tcPr>
            <w:tcW w:w="10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100,091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127,312</w:t>
            </w: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480" w:type="dxa"/>
            <w:vAlign w:val="bottom"/>
            <w:gridSpan w:val="2"/>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(27,006)</w:t>
            </w:r>
          </w:p>
        </w:tc>
        <w:tc>
          <w:tcPr>
            <w:tcW w:w="100" w:type="dxa"/>
            <w:vAlign w:val="bottom"/>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(101,484)</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(139,823)</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Deferred revenue balance – end of period</w:t>
            </w:r>
          </w:p>
        </w:tc>
        <w:tc>
          <w:tcPr>
            <w:tcW w:w="480" w:type="dxa"/>
            <w:vAlign w:val="bottom"/>
            <w:gridSpan w:val="2"/>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$ 27,883</w:t>
            </w:r>
          </w:p>
        </w:tc>
        <w:tc>
          <w:tcPr>
            <w:tcW w:w="100" w:type="dxa"/>
            <w:vAlign w:val="bottom"/>
          </w:tcPr>
          <w:p>
            <w:pPr>
              <w:spacing w:after="0"/>
              <w:rPr>
                <w:sz w:val="22"/>
                <w:szCs w:val="22"/>
                <w:color w:val="auto"/>
              </w:rPr>
            </w:pPr>
          </w:p>
        </w:tc>
        <w:tc>
          <w:tcPr>
            <w:tcW w:w="420" w:type="dxa"/>
            <w:vAlign w:val="bottom"/>
            <w:tcBorders>
              <w:left w:val="single" w:sz="8" w:color="auto"/>
            </w:tcBorders>
            <w:gridSpan w:val="3"/>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28,280</w:t>
            </w:r>
          </w:p>
        </w:tc>
        <w:tc>
          <w:tcPr>
            <w:tcW w:w="26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-753745</wp:posOffset>
            </wp:positionV>
            <wp:extent cx="1714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-753745</wp:posOffset>
            </wp:positionV>
            <wp:extent cx="13716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-753745</wp:posOffset>
            </wp:positionV>
            <wp:extent cx="373062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86" w:lineRule="exact"/>
        <w:rPr>
          <w:sz w:val="20"/>
          <w:szCs w:val="20"/>
          <w:color w:val="auto"/>
        </w:rPr>
      </w:pPr>
    </w:p>
    <w:p>
      <w:pPr>
        <w:ind w:left="1620" w:hanging="352"/>
        <w:spacing w:after="0"/>
        <w:tabs>
          <w:tab w:leader="none" w:pos="16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consists of the following (in thousands):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42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3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20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420" w:type="dxa"/>
            <w:vAlign w:val="bottom"/>
            <w:gridSpan w:val="5"/>
            <w:vMerge w:val="continue"/>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12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5"/>
                <w:szCs w:val="15"/>
                <w:color w:val="auto"/>
              </w:rPr>
            </w:pPr>
          </w:p>
        </w:tc>
        <w:tc>
          <w:tcPr>
            <w:tcW w:w="14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September 30, 2018</w:t>
            </w: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lef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Federal</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1,235</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5,739</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4,331</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1,212</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3,559</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2,748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2,447</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9,298</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7,079</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Deferred – Federal</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(5,783)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Deferred – state and local</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40" w:type="dxa"/>
            <w:vAlign w:val="bottom"/>
          </w:tcPr>
          <w:p>
            <w:pPr>
              <w:ind w:left="180"/>
              <w:spacing w:after="0"/>
              <w:rPr>
                <w:sz w:val="20"/>
                <w:szCs w:val="20"/>
                <w:color w:val="auto"/>
              </w:rPr>
            </w:pPr>
            <w:r>
              <w:rPr>
                <w:rFonts w:ascii="Arial" w:cs="Arial" w:eastAsia="Arial" w:hAnsi="Arial"/>
                <w:sz w:val="18"/>
                <w:szCs w:val="18"/>
                <w:color w:val="auto"/>
              </w:rPr>
              <w:t>Total deferred</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(6,323)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3,415</w:t>
            </w:r>
          </w:p>
        </w:tc>
        <w:tc>
          <w:tcPr>
            <w:tcW w:w="80" w:type="dxa"/>
            <w:vAlign w:val="bottom"/>
            <w:shd w:val="clear" w:color="auto" w:fill="CCEEFF"/>
          </w:tcPr>
          <w:p>
            <w:pPr>
              <w:spacing w:after="0"/>
              <w:rPr>
                <w:sz w:val="22"/>
                <w:szCs w:val="22"/>
                <w:color w:val="auto"/>
              </w:rPr>
            </w:pPr>
          </w:p>
        </w:tc>
        <w:tc>
          <w:tcPr>
            <w:tcW w:w="52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11,900</w:t>
            </w:r>
          </w:p>
        </w:tc>
        <w:tc>
          <w:tcPr>
            <w:tcW w:w="2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6,129</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-248285</wp:posOffset>
            </wp:positionV>
            <wp:extent cx="20574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482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-934085</wp:posOffset>
            </wp:positionV>
            <wp:extent cx="20574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-934085</wp:posOffset>
            </wp:positionV>
            <wp:extent cx="46482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-1602740</wp:posOffset>
            </wp:positionV>
            <wp:extent cx="521398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6" w:name="page247"/>
    <w:bookmarkEnd w:id="246"/>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reconciliation of the statutory tax rate to the effective rate is as follows: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4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3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2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5"/>
                <w:szCs w:val="15"/>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September 30, 2018</w:t>
            </w: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at statutory rate</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1"/>
                <w:szCs w:val="21"/>
                <w:color w:val="auto"/>
              </w:rPr>
            </w:pPr>
          </w:p>
        </w:tc>
        <w:tc>
          <w:tcPr>
            <w:tcW w:w="1340" w:type="dxa"/>
            <w:vAlign w:val="bottom"/>
            <w:tcBorders>
              <w:left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w w:val="90"/>
              </w:rPr>
              <w:t>State and local taxes – net of federal</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benefit</w:t>
            </w: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2"/>
                <w:szCs w:val="22"/>
                <w:color w:val="auto"/>
              </w:rPr>
            </w:pPr>
          </w:p>
        </w:tc>
        <w:tc>
          <w:tcPr>
            <w:tcW w:w="1340" w:type="dxa"/>
            <w:vAlign w:val="bottom"/>
            <w:tcBorders>
              <w:left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w w:val="97"/>
              </w:rPr>
              <w:t>Tax Cuts and Jobs Act provisional</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tax charge</w:t>
            </w: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580" w:type="dxa"/>
            <w:vAlign w:val="bottom"/>
            <w:gridSpan w:val="2"/>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(19.0)%</w:t>
            </w:r>
          </w:p>
        </w:tc>
        <w:tc>
          <w:tcPr>
            <w:tcW w:w="80" w:type="dxa"/>
            <w:vAlign w:val="bottom"/>
            <w:shd w:val="clear" w:color="auto" w:fill="CCEEFF"/>
          </w:tcPr>
          <w:p>
            <w:pPr>
              <w:spacing w:after="0"/>
              <w:rPr>
                <w:sz w:val="23"/>
                <w:szCs w:val="23"/>
                <w:color w:val="auto"/>
              </w:rPr>
            </w:pPr>
          </w:p>
        </w:tc>
        <w:tc>
          <w:tcPr>
            <w:tcW w:w="1340" w:type="dxa"/>
            <w:vAlign w:val="bottom"/>
            <w:tcBorders>
              <w:left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580" w:type="dxa"/>
            <w:vAlign w:val="bottom"/>
            <w:gridSpan w:val="2"/>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2"/>
                <w:szCs w:val="22"/>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2"/>
                <w:szCs w:val="22"/>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2"/>
                <w:szCs w:val="2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-1354455</wp:posOffset>
            </wp:positionV>
            <wp:extent cx="1714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-1354455</wp:posOffset>
            </wp:positionV>
            <wp:extent cx="13716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-1354455</wp:posOffset>
            </wp:positionV>
            <wp:extent cx="13716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-1354455</wp:posOffset>
            </wp:positionV>
            <wp:extent cx="12890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-1354455</wp:posOffset>
            </wp:positionV>
            <wp:extent cx="180975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components of the Company’s deferred tax assets (liabilities) are as follows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6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6"/>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Net operating losses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$ 8,966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(28,799)</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(2,146)</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(liabilities)</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(19,627)</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$ 6,820</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-248285</wp:posOffset>
            </wp:positionV>
            <wp:extent cx="49911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991100"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-916940</wp:posOffset>
            </wp:positionV>
            <wp:extent cx="6858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-916940</wp:posOffset>
            </wp:positionV>
            <wp:extent cx="417639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09"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As of December 31, 2018, the Company has federal, New York state and New York City net operating loss carryforwards for income tax purposes of $17,196,000, $24,449,000 and $22,654,000, respectively. If not utilized, the federal net operating loss carryforwards will begin to expire in 2032 and the state and local net operating loss carryforwards will begin to expire in 2035.</w:t>
      </w:r>
    </w:p>
    <w:p>
      <w:pPr>
        <w:spacing w:after="0" w:line="79" w:lineRule="exact"/>
        <w:rPr>
          <w:sz w:val="20"/>
          <w:szCs w:val="20"/>
          <w:color w:val="auto"/>
        </w:rPr>
      </w:pPr>
    </w:p>
    <w:p>
      <w:pPr>
        <w:jc w:val="both"/>
        <w:ind w:left="1260" w:right="1139" w:firstLine="360"/>
        <w:spacing w:after="0" w:line="279" w:lineRule="auto"/>
        <w:rPr>
          <w:sz w:val="20"/>
          <w:szCs w:val="20"/>
          <w:color w:val="auto"/>
        </w:rPr>
      </w:pPr>
      <w:r>
        <w:rPr>
          <w:rFonts w:ascii="Arial" w:cs="Arial" w:eastAsia="Arial" w:hAnsi="Arial"/>
          <w:sz w:val="17"/>
          <w:szCs w:val="17"/>
          <w:color w:val="auto"/>
        </w:rPr>
        <w:t>The Company was audited by the City of New York (“NYC”) for the tax periods from 2011 – 2013 and TWG was audited for the tax periods 2009 – 2011. In 2018, NYC issued an assessment for the periods under audit. Furthermore, NYC has also requested an extension of the statute of limitations, for TWG for the years 2012 – 2014 and for the Company for 2014, as it will audit those periods as well.</w:t>
      </w:r>
    </w:p>
    <w:p>
      <w:pPr>
        <w:spacing w:after="0" w:line="63"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For October 1, 2018 to December 31, 2018 and January 1, 2018 to September 30, 2018, the Company recorded the additional tax, penalties and interest of $26,000 and $1,288,000, respectively, resulting from NYC UBT audit assessments. For the tax periods from 2012 – 2016, the Company has calculated and recorded a provision of $70,000 and $2,003,000 for October 1, 2018 to December 31, 2018 and January 1, 2018 to September 30, 2018, respectively, for the additional exposure based on the methodology from the UBT audit assessment. This provision is included in accounts payable, accrued expenses and other liabilities on the consolidated statement of financial condition and in provision for income taxes in the consolidated statement of income. This provision was made using the best estimate of the amount expected to be paid based on available information and assessment of all relevant factors. Due to the uncertainty associated with tax audits, it is possible that at some future date liabilities resulting from this audit could vary significantly from this provision. Nevertheless, based on currently enacted legislation and information currently known to us, the Company believes that the ultimate resolution of this audit will not have a material adverse impact on the Company’s financial condition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620" w:hanging="352"/>
        <w:spacing w:after="0"/>
        <w:tabs>
          <w:tab w:leader="none" w:pos="16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94"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Company’s issued and vested shares are as follows: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4960" w:type="dxa"/>
            <w:vAlign w:val="bottom"/>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49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96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26"/>
        </w:trPr>
        <w:tc>
          <w:tcPr>
            <w:tcW w:w="49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Vested Shares Issued</w:t>
            </w: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Class 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146,333</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146,333</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Class P(A)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Class P-1(A)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P-1(C)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-1183005</wp:posOffset>
            </wp:positionV>
            <wp:extent cx="475107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Each outstanding Class A Share, Class P(A) Share, Class P-1(A) Share, Class C Share, Class P(C) Share and Class P-1(C) Share equally participates in the earnings of the Company. All of these shares cannot be transferred without approval by the Board of Managers of the Company, with the exception of transfers to certain related parties. Most of the Class A, Class P(A) and Class P-1(A) Shareholders have the right to appoint the members of the Board of Managers. The Class C , Class P(C) and Class P-1(C) Shareholders do not have the right to appoint members of the Board of Managers.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Share-Based Compensation Plans</w:t>
      </w:r>
    </w:p>
    <w:p>
      <w:pPr>
        <w:spacing w:after="0" w:line="108"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The Company has a share-based incentive plan which provides for the grant of performance-based restricted share units (“PRSUs”), to encourage employees of the Company to participate in the long-term success of the Company.</w:t>
      </w:r>
    </w:p>
    <w:p>
      <w:pPr>
        <w:spacing w:after="0" w:line="73" w:lineRule="exact"/>
        <w:rPr>
          <w:sz w:val="20"/>
          <w:szCs w:val="20"/>
          <w:color w:val="auto"/>
        </w:rPr>
      </w:pPr>
    </w:p>
    <w:p>
      <w:pPr>
        <w:jc w:val="both"/>
        <w:ind w:left="1260" w:right="859" w:firstLine="360"/>
        <w:spacing w:after="0" w:line="302" w:lineRule="auto"/>
        <w:rPr>
          <w:sz w:val="20"/>
          <w:szCs w:val="20"/>
          <w:color w:val="auto"/>
        </w:rPr>
      </w:pPr>
      <w:r>
        <w:rPr>
          <w:rFonts w:ascii="Arial" w:cs="Arial" w:eastAsia="Arial" w:hAnsi="Arial"/>
          <w:sz w:val="16"/>
          <w:szCs w:val="16"/>
          <w:color w:val="auto"/>
        </w:rPr>
        <w:t>The Company’s outstanding PRSUs as of December 31, 2018 vest on January 1, 2019, 2020 and 2021. The final value of the PRSUs upon vesting is determined by a performance modifier, which is adjusted as a result of the financial performance of the Company in the grant year. If an employee’s employment with the Company is terminated, with the exception of retirement, all unvested PRSUs are forfeited.</w:t>
      </w:r>
    </w:p>
    <w:p>
      <w:pPr>
        <w:spacing w:after="0" w:line="46"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On December 31, 2018, certain PRSUs, which previously were cash-settled, were converted to equity settled PRSUs. The conversion was at fair value, using a unit price consistent with the share price of the Company, and as a result of the impact of the performance modifier on PRSUs value, 1,033.2 cash-settled PRSUs were converted into the equivalent value of 1,442.2 equity settled PRSUs. Equity-settled PRSUs have vesting terms similar to the cash-settled PRSUs and are converted into shares of the Company on the February 1 following vesting. The shares received upon conversion are subject to certain selling restrictions including an underwriter’s lockup period if an IPO of the Company is effective or a restriction that the shares can only be sold to the Company in January or June, if there is not an effective IPO of the Company. As a result of the modification, which impacted 54 employees, the Company reclassified $19,072,000 from employee equity compensation payable to members’ capital.</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equity-settled PRSUs issued by the Company:</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r>
      <w:tr>
        <w:trPr>
          <w:trHeight w:val="186"/>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PRSUs</w:t>
            </w: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Value of PRSUs</w:t>
            </w:r>
          </w:p>
        </w:tc>
      </w:tr>
      <w:tr>
        <w:trPr>
          <w:trHeight w:val="26"/>
        </w:trPr>
        <w:tc>
          <w:tcPr>
            <w:tcW w:w="53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63"/>
        </w:trPr>
        <w:tc>
          <w:tcPr>
            <w:tcW w:w="5620" w:type="dxa"/>
            <w:vAlign w:val="bottom"/>
            <w:gridSpan w:val="2"/>
          </w:tcPr>
          <w:p>
            <w:pPr>
              <w:spacing w:after="0"/>
              <w:rPr>
                <w:sz w:val="20"/>
                <w:szCs w:val="20"/>
                <w:color w:val="auto"/>
              </w:rPr>
            </w:pPr>
            <w:r>
              <w:rPr>
                <w:rFonts w:ascii="Arial" w:cs="Arial" w:eastAsia="Arial" w:hAnsi="Arial"/>
                <w:sz w:val="18"/>
                <w:szCs w:val="18"/>
                <w:color w:val="auto"/>
              </w:rPr>
              <w:t>Converted to equity settled PRSUs</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1,442.2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30,482</w:t>
            </w:r>
          </w:p>
        </w:tc>
      </w:tr>
      <w:tr>
        <w:trPr>
          <w:trHeight w:val="20"/>
        </w:trPr>
        <w:tc>
          <w:tcPr>
            <w:tcW w:w="53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5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1,442.</w:t>
            </w:r>
            <w:r>
              <w:rPr>
                <w:rFonts w:ascii="Arial" w:cs="Arial" w:eastAsia="Arial" w:hAnsi="Arial"/>
                <w:sz w:val="18"/>
                <w:szCs w:val="18"/>
                <w:u w:val="single" w:color="auto"/>
                <w:color w:val="auto"/>
                <w:w w:val="93"/>
              </w:rPr>
              <w:t>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30,482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-539750</wp:posOffset>
            </wp:positionV>
            <wp:extent cx="13716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-539750</wp:posOffset>
            </wp:positionV>
            <wp:extent cx="13716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The remaining PRSUs that are cash-settled are accounted for as liability awards. The Company measures the cost of employee services received in exchange for the award based on its current fair value. The fair value of each award is based on the fair value of the Company and the value of accumulated</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8" w:name="page249"/>
    <w:bookmarkEnd w:id="248"/>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1179"/>
        <w:spacing w:after="0" w:line="264" w:lineRule="auto"/>
        <w:rPr>
          <w:sz w:val="20"/>
          <w:szCs w:val="20"/>
          <w:color w:val="auto"/>
        </w:rPr>
      </w:pPr>
      <w:r>
        <w:rPr>
          <w:rFonts w:ascii="Arial" w:cs="Arial" w:eastAsia="Arial" w:hAnsi="Arial"/>
          <w:sz w:val="18"/>
          <w:szCs w:val="18"/>
          <w:color w:val="auto"/>
        </w:rPr>
        <w:t>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cash-settled PRSUs issued by the Company:</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Number of</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PRSUs</w:t>
            </w: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Value of PRSUs</w:t>
            </w: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512.8</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21,723</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23,170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1,074.6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26,770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1,577.6</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31,039</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531.9</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29,609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32,246</w:t>
            </w: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31,130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1,539.</w:t>
            </w:r>
            <w:r>
              <w:rPr>
                <w:rFonts w:ascii="Arial" w:cs="Arial" w:eastAsia="Arial" w:hAnsi="Arial"/>
                <w:sz w:val="18"/>
                <w:szCs w:val="18"/>
                <w:u w:val="single" w:color="auto"/>
                <w:color w:val="auto"/>
                <w:w w:val="89"/>
              </w:rPr>
              <w:t>2</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Successor</w:t>
            </w: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42,892</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0" w:type="dxa"/>
            <w:vAlign w:val="bottom"/>
            <w:tcBorders>
              <w:right w:val="single" w:sz="8" w:color="CCEEFF"/>
            </w:tcBorders>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34,891</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Converted to equity settled PRSUs</w:t>
            </w:r>
          </w:p>
        </w:tc>
        <w:tc>
          <w:tcPr>
            <w:tcW w:w="3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(1,033.2)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42,696</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34,221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-1371600</wp:posOffset>
            </wp:positionV>
            <wp:extent cx="475107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-2040255</wp:posOffset>
            </wp:positionV>
            <wp:extent cx="475107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-3052445</wp:posOffset>
            </wp:positionV>
            <wp:extent cx="13716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-3052445</wp:posOffset>
            </wp:positionV>
            <wp:extent cx="13716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36"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The Company maintains an Option Plan which was established to recruit and retain key employees, directors and consultants by providing such participating individuals with a proprietary interest in the performance of the Company. There are currently 13,912.7 shares reserved for issuance under the Option Plan. In October 2018, the Company made a special award of options under the Option Plan. The options have a graded vesting schedule with vesting dates of January 1, 2019, 2020, 2021 and 2022. Half of the options only vest if the Company achieves certain performance targets. All options expire ten years from the grant date.</w:t>
      </w:r>
    </w:p>
    <w:p>
      <w:pPr>
        <w:spacing w:after="0" w:line="57"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In accounting for the options issued under this plan, the Company measures and recognizes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the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members’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280" w:firstLine="360"/>
        <w:spacing w:after="0" w:line="277" w:lineRule="auto"/>
        <w:rPr>
          <w:sz w:val="20"/>
          <w:szCs w:val="20"/>
          <w:color w:val="auto"/>
        </w:rPr>
      </w:pPr>
      <w:r>
        <w:rPr>
          <w:rFonts w:ascii="Arial" w:cs="Arial" w:eastAsia="Arial" w:hAnsi="Arial"/>
          <w:sz w:val="18"/>
          <w:szCs w:val="18"/>
          <w:color w:val="auto"/>
        </w:rPr>
        <w:t>The fair value of the options is calculated at the date of grant using the Black-Scholes model. The significant assumptions used to estimate the fair value of the options as of grant date are as follows:</w:t>
      </w:r>
    </w:p>
    <w:p>
      <w:pPr>
        <w:spacing w:after="0" w:line="8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Weighted Average Risk Free Interest Rate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2.94%</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Weighted Average Expected Volatility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Weighted Average Expected Dividend Yield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4.02%</w:t>
            </w:r>
          </w:p>
        </w:tc>
      </w:tr>
      <w:tr>
        <w:trPr>
          <w:trHeight w:val="27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140" w:type="dxa"/>
            <w:vAlign w:val="bottom"/>
          </w:tcPr>
          <w:p>
            <w:pPr>
              <w:spacing w:after="0"/>
              <w:rPr>
                <w:sz w:val="23"/>
                <w:szCs w:val="23"/>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Exercise Price</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$28,594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-685165</wp:posOffset>
            </wp:positionV>
            <wp:extent cx="4751070" cy="1714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options issued by the Company:</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9"/>
              </w:rPr>
              <w:t>Intrinsic</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Contract</w:t>
            </w:r>
          </w:p>
        </w:tc>
      </w:t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Options</w:t>
            </w:r>
          </w:p>
        </w:tc>
        <w:tc>
          <w:tcPr>
            <w:tcW w:w="9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of Options</w:t>
            </w: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Life (years)</w:t>
            </w:r>
          </w:p>
        </w:tc>
      </w:tr>
      <w:tr>
        <w:trPr>
          <w:trHeight w:val="26"/>
        </w:trPr>
        <w:tc>
          <w:tcPr>
            <w:tcW w:w="3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63"/>
        </w:trPr>
        <w:tc>
          <w:tcPr>
            <w:tcW w:w="3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13,025.8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2,569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$28,594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13,025.</w:t>
            </w:r>
            <w:r>
              <w:rPr>
                <w:rFonts w:ascii="Arial" w:cs="Arial" w:eastAsia="Arial" w:hAnsi="Arial"/>
                <w:sz w:val="18"/>
                <w:szCs w:val="18"/>
                <w:u w:val="single" w:color="auto"/>
                <w:color w:val="auto"/>
                <w:w w:val="94"/>
              </w:rPr>
              <w:t>8</w:t>
            </w:r>
          </w:p>
        </w:tc>
        <w:tc>
          <w:tcPr>
            <w:tcW w:w="2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2,569</w:t>
            </w:r>
          </w:p>
        </w:tc>
        <w:tc>
          <w:tcPr>
            <w:tcW w:w="1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4,741</w:t>
            </w:r>
          </w:p>
        </w:tc>
        <w:tc>
          <w:tcPr>
            <w:tcW w:w="240" w:type="dxa"/>
            <w:vAlign w:val="bottom"/>
            <w:tcBorders>
              <w:righ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28,594</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9.</w:t>
            </w:r>
            <w:r>
              <w:rPr>
                <w:rFonts w:ascii="Arial" w:cs="Arial" w:eastAsia="Arial" w:hAnsi="Arial"/>
                <w:sz w:val="18"/>
                <w:szCs w:val="18"/>
                <w:u w:val="single" w:color="auto"/>
                <w:color w:val="auto"/>
                <w:w w:val="87"/>
              </w:rPr>
              <w:t>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-196850</wp:posOffset>
            </wp:positionV>
            <wp:extent cx="5918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-196850</wp:posOffset>
            </wp:positionV>
            <wp:extent cx="26606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-196850</wp:posOffset>
            </wp:positionV>
            <wp:extent cx="30035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00164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-539750</wp:posOffset>
            </wp:positionV>
            <wp:extent cx="13716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-539750</wp:posOffset>
            </wp:positionV>
            <wp:extent cx="13716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-539750</wp:posOffset>
            </wp:positionV>
            <wp:extent cx="12001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-539750</wp:posOffset>
            </wp:positionV>
            <wp:extent cx="12001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-539750</wp:posOffset>
            </wp:positionV>
            <wp:extent cx="12001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9" w:lineRule="exact"/>
        <w:rPr>
          <w:sz w:val="20"/>
          <w:szCs w:val="20"/>
          <w:color w:val="auto"/>
        </w:rPr>
      </w:pPr>
    </w:p>
    <w:p>
      <w:pPr>
        <w:ind w:left="1260" w:right="1340" w:firstLine="360"/>
        <w:spacing w:after="0" w:line="259" w:lineRule="auto"/>
        <w:rPr>
          <w:sz w:val="20"/>
          <w:szCs w:val="20"/>
          <w:color w:val="auto"/>
        </w:rPr>
      </w:pPr>
      <w:r>
        <w:rPr>
          <w:rFonts w:ascii="Arial" w:cs="Arial" w:eastAsia="Arial" w:hAnsi="Arial"/>
          <w:sz w:val="18"/>
          <w:szCs w:val="18"/>
          <w:color w:val="auto"/>
        </w:rPr>
        <w:t>Prior to 2015, the Company granted employees Stock Appreciation Rights (“SARs”). The SARs had graded vesting schedules with expiration dates through December 31, 2016. If an employee was terminated without cause, all unvested SARs were forfeited. All vested SARs were only exercisable during a specific period of the year and must have been exercised by 2017.</w:t>
      </w:r>
    </w:p>
    <w:p>
      <w:pPr>
        <w:spacing w:after="0" w:line="79" w:lineRule="exact"/>
        <w:rPr>
          <w:sz w:val="20"/>
          <w:szCs w:val="20"/>
          <w:color w:val="auto"/>
        </w:rPr>
      </w:pPr>
    </w:p>
    <w:p>
      <w:pPr>
        <w:ind w:left="1260" w:right="1360" w:firstLine="360"/>
        <w:spacing w:after="0" w:line="264" w:lineRule="auto"/>
        <w:rPr>
          <w:sz w:val="20"/>
          <w:szCs w:val="20"/>
          <w:color w:val="auto"/>
        </w:rPr>
      </w:pPr>
      <w:r>
        <w:rPr>
          <w:rFonts w:ascii="Arial" w:cs="Arial" w:eastAsia="Arial" w:hAnsi="Arial"/>
          <w:sz w:val="18"/>
          <w:szCs w:val="18"/>
          <w:color w:val="auto"/>
        </w:rPr>
        <w:t>The fair value of the SARs is calculated at the date of grant and remeasurement date using an appropriate valuation model such as Black-Scholes. Consequently, the fair values of these awards are based on the estimated fair value at that date.</w:t>
      </w:r>
    </w:p>
    <w:p>
      <w:pPr>
        <w:spacing w:after="0" w:line="73" w:lineRule="exact"/>
        <w:rPr>
          <w:sz w:val="20"/>
          <w:szCs w:val="20"/>
          <w:color w:val="auto"/>
        </w:rPr>
      </w:pPr>
    </w:p>
    <w:p>
      <w:pPr>
        <w:ind w:left="1260" w:right="1480" w:firstLine="360"/>
        <w:spacing w:after="0" w:line="277" w:lineRule="auto"/>
        <w:rPr>
          <w:sz w:val="20"/>
          <w:szCs w:val="20"/>
          <w:color w:val="auto"/>
        </w:rPr>
      </w:pPr>
      <w:r>
        <w:rPr>
          <w:rFonts w:ascii="Arial" w:cs="Arial" w:eastAsia="Arial" w:hAnsi="Arial"/>
          <w:sz w:val="18"/>
          <w:szCs w:val="18"/>
          <w:color w:val="auto"/>
        </w:rPr>
        <w:t>At December 31, 2016, due to the expiration of the SARs, the fair value of each award equals the intrinsic value.</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activity for the SARs issued by the Company:</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Exercise Price</w:t>
            </w:r>
          </w:p>
        </w:tc>
      </w:tr>
      <w:tr>
        <w:trPr>
          <w:trHeight w:val="186"/>
        </w:trPr>
        <w:tc>
          <w:tcPr>
            <w:tcW w:w="5420" w:type="dxa"/>
            <w:vAlign w:val="bottom"/>
          </w:tcPr>
          <w:p>
            <w:pPr>
              <w:spacing w:after="0"/>
              <w:rPr>
                <w:sz w:val="20"/>
                <w:szCs w:val="20"/>
                <w:color w:val="auto"/>
              </w:rPr>
            </w:pPr>
            <w:r>
              <w:rPr>
                <w:rFonts w:ascii="Arial" w:cs="Arial" w:eastAsia="Arial" w:hAnsi="Arial"/>
                <w:sz w:val="14"/>
                <w:szCs w:val="14"/>
                <w:b w:val="1"/>
                <w:bCs w:val="1"/>
                <w:color w:val="auto"/>
              </w:rPr>
              <w:t>Predecessor</w:t>
            </w:r>
          </w:p>
        </w:tc>
        <w:tc>
          <w:tcPr>
            <w:tcW w:w="24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SARS</w:t>
            </w:r>
          </w:p>
        </w:tc>
        <w:tc>
          <w:tcPr>
            <w:tcW w:w="120" w:type="dxa"/>
            <w:vAlign w:val="bottom"/>
          </w:tcPr>
          <w:p>
            <w:pPr>
              <w:spacing w:after="0"/>
              <w:rPr>
                <w:sz w:val="16"/>
                <w:szCs w:val="16"/>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of SARs</w:t>
            </w:r>
          </w:p>
        </w:tc>
      </w:tr>
      <w:tr>
        <w:trPr>
          <w:trHeight w:val="26"/>
        </w:trPr>
        <w:tc>
          <w:tcPr>
            <w:tcW w:w="5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6,315.5</w:t>
            </w: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16,839</w:t>
            </w:r>
          </w:p>
        </w:tc>
        <w:tc>
          <w:tcPr>
            <w:tcW w:w="160" w:type="dxa"/>
            <w:vAlign w:val="bottom"/>
            <w:shd w:val="clear" w:color="auto" w:fill="CCEEFF"/>
          </w:tcPr>
          <w:p>
            <w:pPr>
              <w:spacing w:after="0"/>
              <w:rPr>
                <w:sz w:val="21"/>
                <w:szCs w:val="21"/>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Forfeited</w:t>
            </w:r>
          </w:p>
        </w:tc>
        <w:tc>
          <w:tcPr>
            <w:tcW w:w="2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17,280</w:t>
            </w:r>
          </w:p>
        </w:tc>
        <w:tc>
          <w:tcPr>
            <w:tcW w:w="160" w:type="dxa"/>
            <w:vAlign w:val="bottom"/>
          </w:tcPr>
          <w:p>
            <w:pPr>
              <w:spacing w:after="0"/>
              <w:rPr>
                <w:sz w:val="22"/>
                <w:szCs w:val="22"/>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4"/>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(3,338.4)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16,389</w:t>
            </w:r>
          </w:p>
        </w:tc>
        <w:tc>
          <w:tcPr>
            <w:tcW w:w="160" w:type="dxa"/>
            <w:vAlign w:val="bottom"/>
            <w:shd w:val="clear" w:color="auto" w:fill="CCEEFF"/>
          </w:tcPr>
          <w:p>
            <w:pPr>
              <w:spacing w:after="0"/>
              <w:rPr>
                <w:sz w:val="22"/>
                <w:szCs w:val="22"/>
                <w:color w:val="auto"/>
              </w:rPr>
            </w:pPr>
          </w:p>
        </w:tc>
      </w:tr>
      <w:tr>
        <w:trPr>
          <w:trHeight w:val="257"/>
        </w:trPr>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2,886.1</w:t>
            </w: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17,344</w:t>
            </w:r>
          </w:p>
        </w:tc>
        <w:tc>
          <w:tcPr>
            <w:tcW w:w="160" w:type="dxa"/>
            <w:vAlign w:val="bottom"/>
            <w:tcBorders>
              <w:top w:val="single" w:sz="8" w:color="CCEEFF"/>
            </w:tcBorders>
          </w:tcPr>
          <w:p>
            <w:pPr>
              <w:spacing w:after="0"/>
              <w:rPr>
                <w:sz w:val="22"/>
                <w:szCs w:val="22"/>
                <w:color w:val="auto"/>
              </w:rPr>
            </w:pPr>
          </w:p>
        </w:tc>
      </w:tr>
      <w:tr>
        <w:trPr>
          <w:trHeight w:val="26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(2,886.1)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17,344</w:t>
            </w:r>
          </w:p>
        </w:tc>
        <w:tc>
          <w:tcPr>
            <w:tcW w:w="160" w:type="dxa"/>
            <w:vAlign w:val="bottom"/>
            <w:shd w:val="clear" w:color="auto" w:fill="CCEEFF"/>
          </w:tcPr>
          <w:p>
            <w:pPr>
              <w:spacing w:after="0"/>
              <w:rPr>
                <w:sz w:val="22"/>
                <w:szCs w:val="22"/>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-719455</wp:posOffset>
            </wp:positionV>
            <wp:extent cx="475107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-1062990</wp:posOffset>
            </wp:positionV>
            <wp:extent cx="13716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-1062990</wp:posOffset>
            </wp:positionV>
            <wp:extent cx="13716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ind w:left="1260" w:right="2000" w:firstLine="360"/>
        <w:spacing w:after="0" w:line="277" w:lineRule="auto"/>
        <w:rPr>
          <w:sz w:val="20"/>
          <w:szCs w:val="20"/>
          <w:color w:val="auto"/>
        </w:rPr>
      </w:pPr>
      <w:r>
        <w:rPr>
          <w:rFonts w:ascii="Arial" w:cs="Arial" w:eastAsia="Arial" w:hAnsi="Arial"/>
          <w:sz w:val="18"/>
          <w:szCs w:val="18"/>
          <w:color w:val="auto"/>
        </w:rPr>
        <w:t>As of December 31, 2018, total unrecognized compensation cost related to non-vested share-based compensation arrangements and the expected recognition period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Cash-Settled</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Equity Settled</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6"/>
        </w:trPr>
        <w:tc>
          <w:tcPr>
            <w:tcW w:w="16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PRSUs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PRSUs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620" w:type="dxa"/>
            <w:vAlign w:val="bottom"/>
          </w:tcPr>
          <w:p>
            <w:pPr>
              <w:spacing w:after="0"/>
              <w:rPr>
                <w:sz w:val="16"/>
                <w:szCs w:val="16"/>
                <w:color w:val="auto"/>
              </w:rPr>
            </w:pPr>
          </w:p>
        </w:tc>
      </w:tr>
      <w:tr>
        <w:trPr>
          <w:trHeight w:val="26"/>
        </w:trPr>
        <w:tc>
          <w:tcPr>
            <w:tcW w:w="16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6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unrecognized compensation cost</w:t>
            </w:r>
          </w:p>
        </w:tc>
        <w:tc>
          <w:tcPr>
            <w:tcW w:w="204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7"/>
              </w:rPr>
              <w:t>$ 419,000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$24,853,000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$33,460,000</w:t>
            </w:r>
          </w:p>
        </w:tc>
        <w:tc>
          <w:tcPr>
            <w:tcW w:w="1620" w:type="dxa"/>
            <w:vAlign w:val="bottom"/>
          </w:tcPr>
          <w:p>
            <w:pPr>
              <w:spacing w:after="0"/>
              <w:rPr>
                <w:sz w:val="20"/>
                <w:szCs w:val="20"/>
                <w:color w:val="auto"/>
              </w:rPr>
            </w:pPr>
          </w:p>
        </w:tc>
      </w:tr>
      <w:tr>
        <w:trPr>
          <w:trHeight w:val="270"/>
        </w:trPr>
        <w:tc>
          <w:tcPr>
            <w:tcW w:w="4800" w:type="dxa"/>
            <w:vAlign w:val="bottom"/>
            <w:gridSpan w:val="2"/>
          </w:tcPr>
          <w:p>
            <w:pPr>
              <w:ind w:left="1620"/>
              <w:spacing w:after="0"/>
              <w:rPr>
                <w:sz w:val="20"/>
                <w:szCs w:val="20"/>
                <w:color w:val="auto"/>
              </w:rPr>
            </w:pPr>
            <w:r>
              <w:rPr>
                <w:rFonts w:ascii="Arial" w:cs="Arial" w:eastAsia="Arial" w:hAnsi="Arial"/>
                <w:sz w:val="18"/>
                <w:szCs w:val="18"/>
                <w:color w:val="auto"/>
              </w:rPr>
              <w:t>Weighted average recognition period</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1.8 years</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1.7 years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0.9 years</w:t>
            </w:r>
          </w:p>
        </w:tc>
        <w:tc>
          <w:tcPr>
            <w:tcW w:w="1620" w:type="dxa"/>
            <w:vAlign w:val="bottom"/>
          </w:tcPr>
          <w:p>
            <w:pPr>
              <w:spacing w:after="0"/>
              <w:rPr>
                <w:sz w:val="23"/>
                <w:szCs w:val="23"/>
                <w:color w:val="auto"/>
              </w:rPr>
            </w:pPr>
          </w:p>
        </w:tc>
      </w:tr>
      <w:tr>
        <w:trPr>
          <w:trHeight w:val="459"/>
        </w:trPr>
        <w:tc>
          <w:tcPr>
            <w:tcW w:w="1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gridSpan w:val="4"/>
          </w:tcPr>
          <w:p>
            <w:pPr>
              <w:ind w:left="400"/>
              <w:spacing w:after="0"/>
              <w:rPr>
                <w:sz w:val="20"/>
                <w:szCs w:val="20"/>
                <w:color w:val="auto"/>
              </w:rPr>
            </w:pPr>
            <w:r>
              <w:rPr>
                <w:rFonts w:ascii="Arial" w:cs="Arial" w:eastAsia="Arial" w:hAnsi="Arial"/>
                <w:sz w:val="18"/>
                <w:szCs w:val="18"/>
                <w:color w:val="auto"/>
              </w:rPr>
              <w:t>F-27</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-882650</wp:posOffset>
            </wp:positionV>
            <wp:extent cx="13716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-882650</wp:posOffset>
            </wp:positionV>
            <wp:extent cx="13716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-882650</wp:posOffset>
            </wp:positionV>
            <wp:extent cx="13716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0" w:name="page251"/>
    <w:bookmarkEnd w:id="250"/>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440" w:firstLine="360"/>
        <w:spacing w:after="0" w:line="277" w:lineRule="auto"/>
        <w:rPr>
          <w:sz w:val="20"/>
          <w:szCs w:val="20"/>
          <w:color w:val="auto"/>
        </w:rPr>
      </w:pPr>
      <w:r>
        <w:rPr>
          <w:rFonts w:ascii="Arial" w:cs="Arial" w:eastAsia="Arial" w:hAnsi="Arial"/>
          <w:sz w:val="18"/>
          <w:szCs w:val="18"/>
          <w:color w:val="auto"/>
        </w:rPr>
        <w:t>Certain employees acquired or vested in Class C Shares, Class P(C) Shares and Class P-1(C) Shares of the Company (collectively the “Employee Shares”).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records activity of the Employee Shares.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Class C</w:t>
            </w:r>
          </w:p>
        </w:tc>
        <w:tc>
          <w:tcPr>
            <w:tcW w:w="9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Class P(C)</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Class P-1(C)</w:t>
            </w:r>
          </w:p>
        </w:tc>
      </w:tr>
      <w:tr>
        <w:trPr>
          <w:trHeight w:val="185"/>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6"/>
                <w:szCs w:val="16"/>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Shares</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2015</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528</w:t>
            </w: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Sold</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504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Purchased</w:t>
            </w: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Outstanding at December 31, 2017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8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September 30, 2018</w:t>
            </w: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280" w:type="dxa"/>
            <w:vAlign w:val="bottom"/>
            <w:tcBorders>
              <w:top w:val="single" w:sz="8" w:color="CCEEFF"/>
              <w:bottom w:val="single" w:sz="8" w:color="CCEEFF"/>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Outstanding at October 1, 2018</w:t>
            </w:r>
          </w:p>
        </w:tc>
        <w:tc>
          <w:tcPr>
            <w:tcW w:w="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232</w:t>
            </w:r>
          </w:p>
        </w:tc>
        <w:tc>
          <w:tcPr>
            <w:tcW w:w="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2018</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28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-1457325</wp:posOffset>
            </wp:positionV>
            <wp:extent cx="475107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-1731645</wp:posOffset>
            </wp:positionV>
            <wp:extent cx="13716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-1731645</wp:posOffset>
            </wp:positionV>
            <wp:extent cx="13716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-1731645</wp:posOffset>
            </wp:positionV>
            <wp:extent cx="13716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1260" w:right="1260" w:firstLine="360"/>
        <w:spacing w:after="0" w:line="254" w:lineRule="auto"/>
        <w:rPr>
          <w:sz w:val="20"/>
          <w:szCs w:val="20"/>
          <w:color w:val="auto"/>
        </w:rPr>
      </w:pPr>
      <w:r>
        <w:rPr>
          <w:rFonts w:ascii="Arial" w:cs="Arial" w:eastAsia="Arial" w:hAnsi="Arial"/>
          <w:sz w:val="18"/>
          <w:szCs w:val="18"/>
          <w:color w:val="auto"/>
        </w:rPr>
        <w:t>The Employee Shares are classified as mezzanine capital, as opposed to members’ capital, due to the right of employees to sell the shares back to the Company at fair market value upon termination of employment. Employee Shares that have been outstanding for less than six months are included in employee equity compensation payable. At December 31, 2017 there were no Employee Shares included in employee compensation payable. At December 31, 2018, $6,727,000 of vested Class P-1(C) Shares are included in employee compensation payable with any changes in the value of the shares included in compensation cost on the consolidated statements of income. Changes in the Employee Shares’ fair value included in mezzanine capital are not recognized as compensation cost.</w:t>
      </w:r>
    </w:p>
    <w:p>
      <w:pPr>
        <w:spacing w:after="0" w:line="84" w:lineRule="exact"/>
        <w:rPr>
          <w:sz w:val="20"/>
          <w:szCs w:val="20"/>
          <w:color w:val="auto"/>
        </w:rPr>
      </w:pPr>
    </w:p>
    <w:p>
      <w:pPr>
        <w:ind w:left="1260" w:right="1380" w:firstLine="360"/>
        <w:spacing w:after="0" w:line="279" w:lineRule="auto"/>
        <w:rPr>
          <w:sz w:val="20"/>
          <w:szCs w:val="20"/>
          <w:color w:val="auto"/>
        </w:rPr>
      </w:pPr>
      <w:r>
        <w:rPr>
          <w:rFonts w:ascii="Arial" w:cs="Arial" w:eastAsia="Arial" w:hAnsi="Arial"/>
          <w:sz w:val="17"/>
          <w:szCs w:val="17"/>
          <w:color w:val="auto"/>
        </w:rPr>
        <w:t>For October 1, 2018 to December 31, 2018, January 1, 2018 to September 30, 2018 and for the years ended December 31, 2017 and 2016, $9,413,000, $15,949,000, $26,100,000 and $19,032,000, respectively, has been expensed relating to PRSUs, options and shares granted to or acquired by employees and included in employee compensation and benefits in the consolidated statements of income.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Related Party Transactions</w:t>
      </w:r>
    </w:p>
    <w:p>
      <w:pPr>
        <w:spacing w:after="0" w:line="108" w:lineRule="exact"/>
        <w:rPr>
          <w:sz w:val="20"/>
          <w:szCs w:val="20"/>
          <w:color w:val="auto"/>
        </w:rPr>
      </w:pPr>
    </w:p>
    <w:p>
      <w:pPr>
        <w:jc w:val="both"/>
        <w:ind w:left="1260" w:right="1380" w:firstLine="360"/>
        <w:spacing w:after="0" w:line="264" w:lineRule="auto"/>
        <w:rPr>
          <w:sz w:val="20"/>
          <w:szCs w:val="20"/>
          <w:color w:val="auto"/>
        </w:rPr>
      </w:pPr>
      <w:r>
        <w:rPr>
          <w:rFonts w:ascii="Arial" w:cs="Arial" w:eastAsia="Arial" w:hAnsi="Arial"/>
          <w:sz w:val="18"/>
          <w:szCs w:val="18"/>
          <w:color w:val="auto"/>
        </w:rPr>
        <w:t>The Company enters into transactions with affiliates of the Banks and Refinitiv. At December 31, 2018 and December 31, 2017, the following balances with such affiliates were included in the consolidated statements of financial condition in the following line items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260" w:type="dxa"/>
            <w:vAlign w:val="bottom"/>
          </w:tcPr>
          <w:p>
            <w:pPr>
              <w:spacing w:after="0"/>
              <w:rPr>
                <w:sz w:val="3"/>
                <w:szCs w:val="3"/>
                <w:color w:val="auto"/>
              </w:rPr>
            </w:pPr>
          </w:p>
        </w:tc>
        <w:tc>
          <w:tcPr>
            <w:tcW w:w="5660" w:type="dxa"/>
            <w:vAlign w:val="bottom"/>
          </w:tcPr>
          <w:p>
            <w:pPr>
              <w:spacing w:after="0"/>
              <w:rPr>
                <w:sz w:val="3"/>
                <w:szCs w:val="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Predecessor</w:t>
            </w: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1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$283,790</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$234,107</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 from brokers and dealers and clearing organizations</w:t>
            </w:r>
          </w:p>
        </w:tc>
        <w:tc>
          <w:tcPr>
            <w:tcW w:w="11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40,730</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27,163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375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5,106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129,393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Payable to affiliates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5,578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260" w:type="dxa"/>
            <w:vAlign w:val="bottom"/>
          </w:tcPr>
          <w:p>
            <w:pPr>
              <w:spacing w:after="0"/>
              <w:rPr>
                <w:sz w:val="24"/>
                <w:szCs w:val="24"/>
                <w:color w:val="auto"/>
              </w:rPr>
            </w:pPr>
          </w:p>
        </w:tc>
        <w:tc>
          <w:tcPr>
            <w:tcW w:w="5660" w:type="dxa"/>
            <w:vAlign w:val="bottom"/>
          </w:tcPr>
          <w:p>
            <w:pPr>
              <w:ind w:left="3940"/>
              <w:spacing w:after="0"/>
              <w:rPr>
                <w:sz w:val="20"/>
                <w:szCs w:val="20"/>
                <w:color w:val="auto"/>
              </w:rPr>
            </w:pPr>
            <w:r>
              <w:rPr>
                <w:rFonts w:ascii="Arial" w:cs="Arial" w:eastAsia="Arial" w:hAnsi="Arial"/>
                <w:sz w:val="18"/>
                <w:szCs w:val="18"/>
                <w:color w:val="auto"/>
              </w:rPr>
              <w:t>F-28</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-2228850</wp:posOffset>
            </wp:positionV>
            <wp:extent cx="521398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1" w:name="page252"/>
    <w:bookmarkEnd w:id="251"/>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The Company maintains a shared services agreement with Refinitiv (TR in the predecessor periods). Under the terms of the agreement, Refinitiv provides the Company with certain real estate, payroll, benefits administration, insurance, content, financial reporting and tax support. For October 1, 2018 to December 31, 2018, January 1, 2018 to September 30, 2018 and for the years ended December 31, 2017 and 2016, the Company incurred shared services fees of $1,075,000, $3,225,000, $4,300,000 and $4,300,000 relating to this agreement, respectively. These fees are included in occupancy, technology and communications and general and administrative expenses in the consolidated statements of income.</w:t>
      </w:r>
    </w:p>
    <w:p>
      <w:pPr>
        <w:spacing w:after="0" w:line="4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Company maintains a market data license agreement with Refinitiv (TR in the predecessor periods). Under the agreement, the Company delivers to Refinitiv certain market data feeds which Refinitiv redistributes to its customers. The Company earns license fees or royalties for these feeds. For October 1, 2018 to December 31, 2018, January 1, 2018 to September 30, 2018 and for the years ended December 31, 2017 and 2016, the Company earned $13,467,000, $36,851,000, $50,125,000 and $50,564,000, respectively, of revenue under this agreement.</w:t>
      </w:r>
    </w:p>
    <w:p>
      <w:pPr>
        <w:spacing w:after="0" w:line="7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Company reimburses affiliates of Refinitiv (TR in the predecessor periods) for expenses paid on behalf of the Company for various services including salaries and bonuses, marketing, professional fees, communications, data costs and certain other administrative services. For October 1, 2018 to December 31, 2018, January 1, 2018 to September 30, 2018 and for the years ended December 31, 2017 and 2016, the Company reimbursed such affiliates approximately $3,837,000, $28,736,000, $38,361,000 and $34,350,000, respectively, for these expenses.</w:t>
      </w:r>
    </w:p>
    <w:p>
      <w:pPr>
        <w:spacing w:after="0" w:line="72"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For October 1, 2018 to December 31, 2018, January 1, 2018 to September 30, 2018 and for the years ended December 31, 2017 and 2016, the Company earned approximately $90,845,000, $211,234,000, $232,436,000 and $211,743,000, respectively, of transaction, subscription and other fees from affiliates of the Banks.</w:t>
      </w:r>
    </w:p>
    <w:p>
      <w:pPr>
        <w:spacing w:after="0" w:line="12"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the Company earned $17,000, $34,000, $40,000 and $80,000, respectively, of interest income from money market funds invested with and savings accounts deposited with affiliates of the Banks. Interest rates earned on the money market and savings accounts are comparable to rates offered to third parties.</w:t>
      </w:r>
    </w:p>
    <w:p>
      <w:pPr>
        <w:spacing w:after="0" w:line="67"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The Company borrowed $29,285,000 from a subsidiary of TR under a convertible term note. Interest charged on the outstanding borrowings is the greater of LIBOR or 150 basis points, plus 300 basis points per annum, and is reset and payable quarterly. On May 5, 2017, TR converted all outstanding borrowings into 1,835 Class A Shares at the price of $15,958 per share. During the years ended December 31, 2017 and 2016, the interest rate charged was 4.50% per annum. The Company paid and expensed interest on this note of $455,000 and $1,339,000 in the years ended December 31, 2017 and 2016, respectively.</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During 2014, the Company issued Class A Shares and unvested Class P-1(A) Shares to some of the Banks 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result of a $120,000,000 capital contribution. In connection with this investment, employees invested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$5,266,000 in the Company and were issued Class C Shares and unvested Class P-1(C) Shares. Certain Class P-</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1(A) Shares and Class P-1(C) Shares vested on July 31, 2018, based on a formula determined by the Company’s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new credit platforms’ revenues and any remaining unvested Class P-1(A) Shares and Class P-1(C) Shares were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cancelled. The value of the vested Class P-1(A) Shares which are included in members’ capital is $150,495,000</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the value of the vested P-1(C) Shares which are included in employee equity compensation payable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$6,727,000. The Company recognized contingent consideration for January 1, 2018 to September 30, 2018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 the years ended December 31, 2017 and 2016, of $26,830,000, $58,520,000 and $26,224,000, respectively,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relating to these shares, which is included in net revenue on the consolidated statements of income.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$129,393,000 is included in contingent consideration payable on the consolidated statements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financial condition.</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Fair Value of Financial Instruments</w:t>
      </w:r>
    </w:p>
    <w:p>
      <w:pPr>
        <w:spacing w:after="0" w:line="81" w:lineRule="exact"/>
        <w:rPr>
          <w:sz w:val="20"/>
          <w:szCs w:val="20"/>
          <w:color w:val="auto"/>
        </w:rPr>
      </w:pPr>
    </w:p>
    <w:p>
      <w:pPr>
        <w:jc w:val="both"/>
        <w:ind w:left="1260" w:right="1039" w:firstLine="360"/>
        <w:spacing w:after="0" w:line="264" w:lineRule="auto"/>
        <w:rPr>
          <w:sz w:val="20"/>
          <w:szCs w:val="20"/>
          <w:color w:val="auto"/>
        </w:rPr>
      </w:pPr>
      <w:r>
        <w:rPr>
          <w:rFonts w:ascii="Arial" w:cs="Arial" w:eastAsia="Arial" w:hAnsi="Arial"/>
          <w:sz w:val="18"/>
          <w:szCs w:val="18"/>
          <w:color w:val="auto"/>
        </w:rPr>
        <w:t>Certain financial instruments that are not carried at fair value on the consolidated statements of financial condition are carried at amounts that approximate fair value. These instruments include deposits with clearing organizations and accounts receivable.</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2" w:name="page253"/>
    <w:bookmarkEnd w:id="252"/>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342" w:lineRule="auto"/>
        <w:rPr>
          <w:sz w:val="20"/>
          <w:szCs w:val="20"/>
          <w:color w:val="auto"/>
        </w:rPr>
      </w:pPr>
      <w:r>
        <w:rPr>
          <w:rFonts w:ascii="Arial" w:cs="Arial" w:eastAsia="Arial" w:hAnsi="Arial"/>
          <w:sz w:val="16"/>
          <w:szCs w:val="16"/>
          <w:color w:val="auto"/>
        </w:rPr>
        <w:t>Following is a description of the fair value methodologies used for the Company’s instruments measured at fair value, as well as the general classification of such instruments pursuant to the valuation hierarchy:</w:t>
      </w:r>
    </w:p>
    <w:p>
      <w:pPr>
        <w:spacing w:after="0" w:line="16"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6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Contingent consideration is classified within level 3 of the fair value hierarchy because the valuation requires assumptions that are both significant and unobservable. The contingent consideration valuation is determined using a monte carlo simulation, with key inputs being the standard deviation applied to the Company’s new credit platforms’ revenues, revenue multiple and discount rate. At December 31, 2017, the inputs in the valuation are as follows:</w:t>
      </w:r>
    </w:p>
    <w:p>
      <w:pPr>
        <w:spacing w:after="0" w:line="10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Standard deviation</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tcPr>
          <w:p>
            <w:pPr>
              <w:spacing w:after="0"/>
              <w:rPr>
                <w:sz w:val="17"/>
                <w:szCs w:val="17"/>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Revenue multiple</w:t>
            </w:r>
          </w:p>
        </w:tc>
        <w:tc>
          <w:tcPr>
            <w:tcW w:w="3620" w:type="dxa"/>
            <w:vAlign w:val="bottom"/>
            <w:gridSpan w:val="2"/>
          </w:tcPr>
          <w:p>
            <w:pPr>
              <w:jc w:val="right"/>
              <w:ind w:right="140"/>
              <w:spacing w:after="0"/>
              <w:rPr>
                <w:sz w:val="20"/>
                <w:szCs w:val="20"/>
                <w:color w:val="auto"/>
              </w:rPr>
            </w:pPr>
            <w:r>
              <w:rPr>
                <w:rFonts w:ascii="Arial" w:cs="Arial" w:eastAsia="Arial" w:hAnsi="Arial"/>
                <w:sz w:val="18"/>
                <w:szCs w:val="18"/>
                <w:color w:val="auto"/>
              </w:rPr>
              <w:t>7.03x</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Discount rate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-170815</wp:posOffset>
            </wp:positionV>
            <wp:extent cx="4751070" cy="1714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has no instruments that are classified within level 2 of the fair value hierarchy.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fair value measurements are as follows (in thousands):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Markets for</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Significant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Indentical</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8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Predecessor</w:t>
            </w: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As of December 31, 2017</w:t>
            </w: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3"/>
          </w:tcPr>
          <w:p>
            <w:pPr>
              <w:ind w:left="320"/>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101,154</w:t>
            </w:r>
          </w:p>
        </w:tc>
        <w:tc>
          <w:tcPr>
            <w:tcW w:w="200" w:type="dxa"/>
            <w:vAlign w:val="bottom"/>
          </w:tcPr>
          <w:p>
            <w:pPr>
              <w:spacing w:after="0"/>
              <w:rPr>
                <w:sz w:val="19"/>
                <w:szCs w:val="19"/>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c>
          <w:tcPr>
            <w:tcW w:w="0" w:type="dxa"/>
            <w:vAlign w:val="bottom"/>
          </w:tcPr>
          <w:p>
            <w:pPr>
              <w:spacing w:after="0"/>
              <w:rPr>
                <w:sz w:val="1"/>
                <w:szCs w:val="1"/>
                <w:color w:val="auto"/>
              </w:rPr>
            </w:pPr>
          </w:p>
        </w:tc>
      </w:tr>
      <w:tr>
        <w:trPr>
          <w:trHeight w:val="210"/>
        </w:trPr>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101,154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129,393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tcBorders>
              <w:top w:val="single" w:sz="8" w:color="CCEEFF"/>
              <w:bottom w:val="single" w:sz="8" w:color="CCEEFF"/>
            </w:tcBorders>
          </w:tcPr>
          <w:p>
            <w:pPr>
              <w:spacing w:after="0"/>
              <w:rPr>
                <w:sz w:val="21"/>
                <w:szCs w:val="21"/>
                <w:color w:val="auto"/>
              </w:rPr>
            </w:pPr>
          </w:p>
        </w:tc>
        <w:tc>
          <w:tcPr>
            <w:tcW w:w="22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129,393</w:t>
            </w:r>
          </w:p>
        </w:tc>
        <w:tc>
          <w:tcPr>
            <w:tcW w:w="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90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Successor</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8"/>
              </w:rPr>
              <w:t>As of December 31, 2018</w:t>
            </w:r>
          </w:p>
        </w:tc>
        <w:tc>
          <w:tcPr>
            <w:tcW w:w="2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127,927</w:t>
            </w: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tcBorders>
          </w:tcPr>
          <w:p>
            <w:pPr>
              <w:spacing w:after="0"/>
              <w:rPr>
                <w:sz w:val="19"/>
                <w:szCs w:val="19"/>
                <w:color w:val="auto"/>
              </w:rPr>
            </w:pPr>
          </w:p>
        </w:tc>
        <w:tc>
          <w:tcPr>
            <w:tcW w:w="22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127,927</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127,927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-1517015</wp:posOffset>
            </wp:positionV>
            <wp:extent cx="19748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-1517015</wp:posOffset>
            </wp:positionV>
            <wp:extent cx="410781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-2083435</wp:posOffset>
            </wp:positionV>
            <wp:extent cx="13716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-2083435</wp:posOffset>
            </wp:positionV>
            <wp:extent cx="13716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-2083435</wp:posOffset>
            </wp:positionV>
            <wp:extent cx="345630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Credit Risk</w:t>
      </w:r>
    </w:p>
    <w:p>
      <w:pPr>
        <w:spacing w:after="0" w:line="108"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Company may be exposed to credit risk regarding its receivables, which are primarily receivable from financial institutions, including investment managers and broker/dealers. At December 31, 2018 and December 31, 2017 the Company established an allowance for doubtful accounts of $1,169,000 and $928,000, respectively, with regard to these accounts receivable.</w:t>
      </w:r>
    </w:p>
    <w:p>
      <w:pPr>
        <w:spacing w:after="0" w:line="79"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20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3" w:name="page254"/>
    <w:bookmarkEnd w:id="253"/>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80" w:lineRule="exact"/>
        <w:rPr>
          <w:sz w:val="20"/>
          <w:szCs w:val="20"/>
          <w:color w:val="auto"/>
        </w:rPr>
      </w:pPr>
    </w:p>
    <w:p>
      <w:pPr>
        <w:ind w:left="1260" w:right="799" w:firstLine="360"/>
        <w:spacing w:after="0" w:line="312" w:lineRule="auto"/>
        <w:rPr>
          <w:sz w:val="20"/>
          <w:szCs w:val="20"/>
          <w:color w:val="auto"/>
        </w:rPr>
      </w:pPr>
      <w:r>
        <w:rPr>
          <w:rFonts w:ascii="Arial" w:cs="Arial" w:eastAsia="Arial" w:hAnsi="Arial"/>
          <w:sz w:val="16"/>
          <w:szCs w:val="16"/>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Commitments and Contingencies</w:t>
      </w:r>
    </w:p>
    <w:p>
      <w:pPr>
        <w:spacing w:after="0" w:line="108"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The Company is obligated under operating leases in the US and UK for office space through 2027. Minimum rent is expensed on a straight-line basis over the term of the lease. The terms of the leases require the following remaining future minimum rental payments at December 31, 2018 (in thousands):</w:t>
      </w:r>
    </w:p>
    <w:p>
      <w:pPr>
        <w:spacing w:after="0" w:line="7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Year ending</w:t>
            </w:r>
          </w:p>
        </w:tc>
        <w:tc>
          <w:tcPr>
            <w:tcW w:w="600" w:type="dxa"/>
            <w:vAlign w:val="bottom"/>
          </w:tcPr>
          <w:p>
            <w:pPr>
              <w:spacing w:after="0"/>
              <w:rPr>
                <w:sz w:val="14"/>
                <w:szCs w:val="14"/>
                <w:color w:val="auto"/>
              </w:rPr>
            </w:pPr>
          </w:p>
        </w:tc>
      </w:tr>
      <w:tr>
        <w:trPr>
          <w:trHeight w:val="186"/>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$11,393</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7,580</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64"/>
        </w:trPr>
        <w:tc>
          <w:tcPr>
            <w:tcW w:w="61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jc w:val="right"/>
              <w:spacing w:after="0"/>
              <w:rPr>
                <w:sz w:val="20"/>
                <w:szCs w:val="20"/>
                <w:color w:val="auto"/>
              </w:rPr>
            </w:pPr>
            <w:r>
              <w:rPr>
                <w:rFonts w:ascii="Arial" w:cs="Arial" w:eastAsia="Arial" w:hAnsi="Arial"/>
                <w:sz w:val="18"/>
                <w:szCs w:val="18"/>
                <w:color w:val="auto"/>
              </w:rPr>
              <w:t>11,156</w:t>
            </w:r>
          </w:p>
        </w:tc>
      </w:tr>
      <w:tr>
        <w:trPr>
          <w:trHeight w:val="257"/>
        </w:trPr>
        <w:tc>
          <w:tcPr>
            <w:tcW w:w="20" w:type="dxa"/>
            <w:vAlign w:val="bottom"/>
          </w:tcPr>
          <w:p>
            <w:pPr>
              <w:spacing w:after="0"/>
              <w:rPr>
                <w:sz w:val="22"/>
                <w:szCs w:val="22"/>
                <w:color w:val="auto"/>
              </w:rPr>
            </w:pPr>
          </w:p>
        </w:tc>
        <w:tc>
          <w:tcPr>
            <w:tcW w:w="59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43,374</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-196850</wp:posOffset>
            </wp:positionV>
            <wp:extent cx="39192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-1191260</wp:posOffset>
            </wp:positionV>
            <wp:extent cx="13716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979" w:firstLine="360"/>
        <w:spacing w:after="0" w:line="264" w:lineRule="auto"/>
        <w:rPr>
          <w:sz w:val="20"/>
          <w:szCs w:val="20"/>
          <w:color w:val="auto"/>
        </w:rPr>
      </w:pPr>
      <w:r>
        <w:rPr>
          <w:rFonts w:ascii="Arial" w:cs="Arial" w:eastAsia="Arial" w:hAnsi="Arial"/>
          <w:sz w:val="18"/>
          <w:szCs w:val="18"/>
          <w:color w:val="auto"/>
        </w:rPr>
        <w:t>The actual rent charged to occupancy amounted to $2,733,000, $9,011,000, $11,774,000 and $13,253,000 for October 1, 2018 to December 31, 2018, January 1, 2018 to September 30, 2018 and for the years ended December 31, 2017 and 2016, respectively.</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One US lease is secured by a letter of credit in the amount of $1,200,000, which is guaranteed by Refinitiv.</w:t>
      </w:r>
    </w:p>
    <w:p>
      <w:pPr>
        <w:spacing w:after="0" w:line="140"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8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color w:val="auto"/>
        </w:rPr>
        <w:t>The Company was named as a defendant, along with dozens of financial institutions, in antitrust class actions (consolidated into two actions) relating to trading practices in United States Treasury securities auctions and, separately, interest rate swaps. The Company was dismissed from the interest rate swaps matter and believes it has substantial defenses to the other plaintiffs’ claims and intends to defend itself vigorously.</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 is a co-defendant in a matter relating to the distribution of financial strength ratings over the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Company’s trading platform to one of its customers. The matter alleges that while certain business units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client were licensed to receive the data via the Company’s platform, the data was also distributed without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authorization to certain end clients of the customer. The plaintiff claims to have suffered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$80,000,000 in damages and also seeks punitive damages, attorneys’ fees and costs. The Company intends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continue to vigorously defend what the Company believes to be meritless and excessive claims.</w:t>
      </w:r>
    </w:p>
    <w:p>
      <w:pPr>
        <w:spacing w:after="0" w:line="2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300" w:firstLine="360"/>
        <w:spacing w:after="0" w:line="293" w:lineRule="auto"/>
        <w:rPr>
          <w:sz w:val="20"/>
          <w:szCs w:val="20"/>
          <w:color w:val="auto"/>
        </w:rPr>
      </w:pPr>
      <w:r>
        <w:rPr>
          <w:rFonts w:ascii="Arial" w:cs="Arial" w:eastAsia="Arial" w:hAnsi="Arial"/>
          <w:sz w:val="16"/>
          <w:szCs w:val="16"/>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7" w:lineRule="exact"/>
        <w:rPr>
          <w:sz w:val="20"/>
          <w:szCs w:val="20"/>
          <w:color w:val="auto"/>
        </w:rPr>
      </w:pPr>
    </w:p>
    <w:p>
      <w:pPr>
        <w:ind w:left="1620" w:hanging="352"/>
        <w:spacing w:after="0"/>
        <w:tabs>
          <w:tab w:leader="none" w:pos="16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income per share:</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1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Predecessor</w:t>
            </w:r>
          </w:p>
        </w:tc>
        <w:tc>
          <w:tcPr>
            <w:tcW w:w="11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Predecessor</w:t>
            </w:r>
          </w:p>
        </w:tc>
        <w:tc>
          <w:tcPr>
            <w:tcW w:w="880" w:type="dxa"/>
            <w:vAlign w:val="bottom"/>
            <w:gridSpan w:val="6"/>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October 1,</w:t>
            </w:r>
          </w:p>
        </w:tc>
        <w:tc>
          <w:tcPr>
            <w:tcW w:w="8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January 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8"/>
              </w:rPr>
              <w:t>Year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9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left w:val="single" w:sz="8" w:color="auto"/>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(in thousands)</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29,307</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86"/>
              </w:rPr>
              <w:t>130,160</w:t>
            </w: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83,648</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87"/>
              </w:rPr>
              <w:t>93,161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Basic Weighted Average Shares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89"/>
              </w:rPr>
              <w:t>159,996</w:t>
            </w:r>
          </w:p>
        </w:tc>
        <w:tc>
          <w:tcPr>
            <w:tcW w:w="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6"/>
              </w:rPr>
              <w:t>155,060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153,046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spacing w:after="0" w:line="202" w:lineRule="exact"/>
              <w:rPr>
                <w:sz w:val="20"/>
                <w:szCs w:val="20"/>
                <w:color w:val="auto"/>
              </w:rPr>
            </w:pPr>
            <w:r>
              <w:rPr>
                <w:rFonts w:ascii="Arial" w:cs="Arial" w:eastAsia="Arial" w:hAnsi="Arial"/>
                <w:sz w:val="18"/>
                <w:szCs w:val="18"/>
                <w:color w:val="auto"/>
                <w:w w:val="89"/>
              </w:rPr>
              <w:t>151,902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Conversion to Equity Settled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PRSU</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160,012</w:t>
            </w:r>
          </w:p>
        </w:tc>
        <w:tc>
          <w:tcPr>
            <w:tcW w:w="8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left w:val="single" w:sz="8" w:color="auto"/>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155,060</w:t>
            </w:r>
          </w:p>
        </w:tc>
        <w:tc>
          <w:tcPr>
            <w:tcW w:w="1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153,046</w:t>
            </w:r>
          </w:p>
        </w:tc>
        <w:tc>
          <w:tcPr>
            <w:tcW w:w="1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151,902</w:t>
            </w:r>
          </w:p>
        </w:tc>
        <w:tc>
          <w:tcPr>
            <w:tcW w:w="20" w:type="dxa"/>
            <w:vAlign w:val="bottom"/>
            <w:tcBorders>
              <w:top w:val="single" w:sz="8" w:color="CCEEFF"/>
              <w:bottom w:val="single" w:sz="8" w:color="CCEEFF"/>
            </w:tcBorders>
          </w:tcPr>
          <w:p>
            <w:pPr>
              <w:spacing w:after="0"/>
              <w:rPr>
                <w:sz w:val="21"/>
                <w:szCs w:val="21"/>
                <w:color w:val="auto"/>
              </w:rPr>
            </w:pPr>
          </w:p>
        </w:tc>
        <w:tc>
          <w:tcPr>
            <w:tcW w:w="6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Basic Net Income Per Share</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183.17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839.42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8"/>
                <w:szCs w:val="18"/>
                <w:color w:val="auto"/>
                <w:w w:val="83"/>
              </w:rPr>
              <w:t>546.55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8"/>
                <w:szCs w:val="18"/>
                <w:color w:val="auto"/>
                <w:w w:val="83"/>
              </w:rPr>
              <w:t>613.30</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lef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183.16</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left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839.42</w:t>
            </w: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83"/>
              </w:rPr>
              <w:t>546.55</w:t>
            </w: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83"/>
              </w:rPr>
              <w:t>613.30</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-1088390</wp:posOffset>
            </wp:positionV>
            <wp:extent cx="1714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-1088390</wp:posOffset>
            </wp:positionV>
            <wp:extent cx="13716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-1088390</wp:posOffset>
            </wp:positionV>
            <wp:extent cx="13716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-1088390</wp:posOffset>
            </wp:positionV>
            <wp:extent cx="325882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Shares from the convertible term note payable totaling 644 and 1,835 for the years ended December 31,</w:t>
      </w:r>
    </w:p>
    <w:p>
      <w:pPr>
        <w:spacing w:after="0" w:line="23" w:lineRule="exact"/>
        <w:rPr>
          <w:sz w:val="20"/>
          <w:szCs w:val="20"/>
          <w:color w:val="auto"/>
        </w:rPr>
      </w:pPr>
    </w:p>
    <w:p>
      <w:pPr>
        <w:jc w:val="both"/>
        <w:ind w:left="1260" w:right="1440"/>
        <w:spacing w:after="0" w:line="255" w:lineRule="auto"/>
        <w:rPr>
          <w:sz w:val="20"/>
          <w:szCs w:val="20"/>
          <w:color w:val="auto"/>
        </w:rPr>
      </w:pPr>
      <w:r>
        <w:rPr>
          <w:rFonts w:ascii="Arial" w:cs="Arial" w:eastAsia="Arial" w:hAnsi="Arial"/>
          <w:sz w:val="18"/>
          <w:szCs w:val="18"/>
          <w:color w:val="auto"/>
        </w:rPr>
        <w:t>2017 and 2016, respectively, and shares from the contingent consideration payable totaling 3,920 for January 1, 2018 to September 30, 2018 were excluded from the computation of diluted net income per share because their effect would have been anti-dilutive.</w:t>
      </w:r>
    </w:p>
    <w:p>
      <w:pPr>
        <w:spacing w:after="0" w:line="82" w:lineRule="exact"/>
        <w:rPr>
          <w:sz w:val="20"/>
          <w:szCs w:val="20"/>
          <w:color w:val="auto"/>
        </w:rPr>
      </w:pPr>
    </w:p>
    <w:p>
      <w:pPr>
        <w:ind w:left="1260" w:right="1400" w:firstLine="360"/>
        <w:spacing w:after="0" w:line="277" w:lineRule="auto"/>
        <w:rPr>
          <w:sz w:val="20"/>
          <w:szCs w:val="20"/>
          <w:color w:val="auto"/>
        </w:rPr>
      </w:pPr>
      <w:r>
        <w:rPr>
          <w:rFonts w:ascii="Arial" w:cs="Arial" w:eastAsia="Arial" w:hAnsi="Arial"/>
          <w:sz w:val="18"/>
          <w:szCs w:val="18"/>
          <w:color w:val="auto"/>
        </w:rPr>
        <w:t>Net income per share are the same for all classes of the Company’s shares since each class of share equally participates in the earnings of the Company.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19.  Regulatory Capital Requirements</w:t>
      </w:r>
    </w:p>
    <w:p>
      <w:pPr>
        <w:spacing w:after="0" w:line="108" w:lineRule="exact"/>
        <w:rPr>
          <w:sz w:val="20"/>
          <w:szCs w:val="20"/>
          <w:color w:val="auto"/>
        </w:rPr>
      </w:pPr>
    </w:p>
    <w:p>
      <w:pPr>
        <w:ind w:left="1260" w:right="1300" w:firstLine="360"/>
        <w:spacing w:after="0" w:line="264" w:lineRule="auto"/>
        <w:rPr>
          <w:sz w:val="20"/>
          <w:szCs w:val="20"/>
          <w:color w:val="auto"/>
        </w:rPr>
      </w:pPr>
      <w:r>
        <w:rPr>
          <w:rFonts w:ascii="Arial" w:cs="Arial" w:eastAsia="Arial" w:hAnsi="Arial"/>
          <w:sz w:val="18"/>
          <w:szCs w:val="18"/>
          <w:color w:val="auto"/>
        </w:rPr>
        <w:t>TWL, DW and TWD are subject to the Uniform Net Capital Rule 15c3-1 under the Securities Exchange Act of 1934. TEL is subject to certain financial resource requirements with the FCA in the UK and TWJ are subject to certain financial resource requirements with the FCA in Japan.</w:t>
      </w:r>
    </w:p>
    <w:p>
      <w:pPr>
        <w:spacing w:after="0" w:line="73" w:lineRule="exact"/>
        <w:rPr>
          <w:sz w:val="20"/>
          <w:szCs w:val="20"/>
          <w:color w:val="auto"/>
        </w:rPr>
      </w:pPr>
    </w:p>
    <w:p>
      <w:pPr>
        <w:ind w:left="1260" w:right="1480" w:firstLine="360"/>
        <w:spacing w:after="0" w:line="277" w:lineRule="auto"/>
        <w:rPr>
          <w:sz w:val="20"/>
          <w:szCs w:val="20"/>
          <w:color w:val="auto"/>
        </w:rPr>
      </w:pPr>
      <w:r>
        <w:rPr>
          <w:rFonts w:ascii="Arial" w:cs="Arial" w:eastAsia="Arial" w:hAnsi="Arial"/>
          <w:sz w:val="18"/>
          <w:szCs w:val="18"/>
          <w:color w:val="auto"/>
        </w:rPr>
        <w:t>At December 31, 2018 and December 31, 2017, the regulatory capital requirements and regulatory capital for TWL, DW, TWD, TEL and TWJ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Predecessor</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16"/>
                <w:szCs w:val="16"/>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16"/>
                <w:szCs w:val="16"/>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16"/>
                <w:szCs w:val="16"/>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TEL</w:t>
            </w:r>
          </w:p>
        </w:tc>
        <w:tc>
          <w:tcPr>
            <w:tcW w:w="10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TWJ</w:t>
            </w:r>
          </w:p>
        </w:tc>
      </w:tr>
      <w:tr>
        <w:trPr>
          <w:trHeight w:val="26"/>
        </w:trPr>
        <w:tc>
          <w:tcPr>
            <w:tcW w:w="1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61"/>
        </w:trPr>
        <w:tc>
          <w:tcPr>
            <w:tcW w:w="12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37"/>
        </w:trPr>
        <w:tc>
          <w:tcPr>
            <w:tcW w:w="126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 of December 31, 2017</w:t>
            </w: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Regulatory Capital</w:t>
            </w:r>
          </w:p>
        </w:tc>
        <w:tc>
          <w:tcPr>
            <w:tcW w:w="1620" w:type="dxa"/>
            <w:vAlign w:val="bottom"/>
            <w:tcBorders>
              <w:top w:val="single" w:sz="8" w:color="CCEEFF"/>
            </w:tcBorders>
          </w:tcPr>
          <w:p>
            <w:pPr>
              <w:spacing w:after="0"/>
              <w:rPr>
                <w:sz w:val="22"/>
                <w:szCs w:val="22"/>
                <w:color w:val="auto"/>
              </w:rPr>
            </w:pPr>
          </w:p>
        </w:tc>
        <w:tc>
          <w:tcPr>
            <w:tcW w:w="2000" w:type="dxa"/>
            <w:vAlign w:val="bottom"/>
            <w:tcBorders>
              <w:top w:val="single" w:sz="8" w:color="CCEEFF"/>
            </w:tcBorders>
            <w:gridSpan w:val="6"/>
          </w:tcPr>
          <w:p>
            <w:pPr>
              <w:jc w:val="right"/>
              <w:ind w:right="120"/>
              <w:spacing w:after="0"/>
              <w:rPr>
                <w:sz w:val="20"/>
                <w:szCs w:val="20"/>
                <w:color w:val="auto"/>
              </w:rPr>
            </w:pPr>
            <w:r>
              <w:rPr>
                <w:rFonts w:ascii="Arial" w:cs="Arial" w:eastAsia="Arial" w:hAnsi="Arial"/>
                <w:sz w:val="18"/>
                <w:szCs w:val="18"/>
                <w:color w:val="auto"/>
              </w:rPr>
              <w:t>$22,551</w:t>
            </w:r>
          </w:p>
        </w:tc>
        <w:tc>
          <w:tcPr>
            <w:tcW w:w="84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$35,546</w:t>
            </w:r>
          </w:p>
        </w:tc>
        <w:tc>
          <w:tcPr>
            <w:tcW w:w="82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$16,965</w:t>
            </w:r>
          </w:p>
        </w:tc>
        <w:tc>
          <w:tcPr>
            <w:tcW w:w="820" w:type="dxa"/>
            <w:vAlign w:val="bottom"/>
            <w:tcBorders>
              <w:top w:val="single" w:sz="8" w:color="CCEEFF"/>
            </w:tcBorders>
            <w:gridSpan w:val="4"/>
          </w:tcPr>
          <w:p>
            <w:pPr>
              <w:jc w:val="right"/>
              <w:ind w:right="120"/>
              <w:spacing w:after="0"/>
              <w:rPr>
                <w:sz w:val="20"/>
                <w:szCs w:val="20"/>
                <w:color w:val="auto"/>
              </w:rPr>
            </w:pPr>
            <w:r>
              <w:rPr>
                <w:rFonts w:ascii="Arial" w:cs="Arial" w:eastAsia="Arial" w:hAnsi="Arial"/>
                <w:sz w:val="18"/>
                <w:szCs w:val="18"/>
                <w:color w:val="auto"/>
              </w:rPr>
              <w:t>$31,509</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$5,326</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9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1,612</w:t>
            </w:r>
          </w:p>
        </w:tc>
        <w:tc>
          <w:tcPr>
            <w:tcW w:w="8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8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18,034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1280" w:type="dxa"/>
            <w:vAlign w:val="bottom"/>
            <w:gridSpan w:val="3"/>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20,962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33,934</w:t>
            </w:r>
          </w:p>
        </w:tc>
        <w:tc>
          <w:tcPr>
            <w:tcW w:w="82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16,587</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13,475</w:t>
            </w:r>
          </w:p>
        </w:tc>
        <w:tc>
          <w:tcPr>
            <w:tcW w:w="1860" w:type="dxa"/>
            <w:vAlign w:val="bottom"/>
            <w:gridSpan w:val="3"/>
          </w:tcPr>
          <w:p>
            <w:pPr>
              <w:jc w:val="right"/>
              <w:ind w:right="1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4,365</w:t>
            </w: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
        </w:trPr>
        <w:tc>
          <w:tcPr>
            <w:tcW w:w="12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r>
      <w:tr>
        <w:trPr>
          <w:trHeight w:val="387"/>
        </w:trPr>
        <w:tc>
          <w:tcPr>
            <w:tcW w:w="126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24"/>
                <w:szCs w:val="24"/>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24"/>
                <w:szCs w:val="2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24"/>
                <w:szCs w:val="24"/>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TEL</w:t>
            </w:r>
          </w:p>
        </w:tc>
        <w:tc>
          <w:tcPr>
            <w:tcW w:w="10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TWJ</w:t>
            </w:r>
          </w:p>
        </w:tc>
      </w:tr>
      <w:tr>
        <w:trPr>
          <w:trHeight w:val="26"/>
        </w:trPr>
        <w:tc>
          <w:tcPr>
            <w:tcW w:w="1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 of December 31, 2018</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Regulatory Capital</w:t>
            </w:r>
          </w:p>
        </w:tc>
        <w:tc>
          <w:tcPr>
            <w:tcW w:w="162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gridSpan w:val="5"/>
          </w:tcPr>
          <w:p>
            <w:pPr>
              <w:jc w:val="right"/>
              <w:ind w:right="100"/>
              <w:spacing w:after="0"/>
              <w:rPr>
                <w:sz w:val="20"/>
                <w:szCs w:val="20"/>
                <w:color w:val="auto"/>
              </w:rPr>
            </w:pPr>
            <w:r>
              <w:rPr>
                <w:rFonts w:ascii="Arial" w:cs="Arial" w:eastAsia="Arial" w:hAnsi="Arial"/>
                <w:sz w:val="18"/>
                <w:szCs w:val="18"/>
                <w:color w:val="auto"/>
              </w:rPr>
              <w:t>$18,986</w:t>
            </w:r>
          </w:p>
        </w:tc>
        <w:tc>
          <w:tcPr>
            <w:tcW w:w="1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w w:val="89"/>
              </w:rPr>
              <w:t>$41,164</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9"/>
              </w:rPr>
              <w:t>$24,042</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9"/>
              </w:rPr>
              <w:t>$46,157</w:t>
            </w:r>
          </w:p>
        </w:tc>
        <w:tc>
          <w:tcPr>
            <w:tcW w:w="1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9"/>
              </w:rPr>
              <w:t>$10,592</w:t>
            </w:r>
          </w:p>
        </w:tc>
        <w:tc>
          <w:tcPr>
            <w:tcW w:w="1260" w:type="dxa"/>
            <w:vAlign w:val="bottom"/>
          </w:tcPr>
          <w:p>
            <w:pPr>
              <w:spacing w:after="0"/>
              <w:rPr>
                <w:sz w:val="19"/>
                <w:szCs w:val="19"/>
                <w:color w:val="auto"/>
              </w:rPr>
            </w:pPr>
          </w:p>
        </w:tc>
      </w:tr>
      <w:tr>
        <w:trPr>
          <w:trHeight w:val="263"/>
        </w:trPr>
        <w:tc>
          <w:tcPr>
            <w:tcW w:w="126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1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1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17,493</w:t>
            </w:r>
          </w:p>
        </w:tc>
        <w:tc>
          <w:tcPr>
            <w:tcW w:w="14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1180" w:type="dxa"/>
            <w:vAlign w:val="bottom"/>
            <w:gridSpan w:val="2"/>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16,288</w:t>
            </w:r>
          </w:p>
        </w:tc>
        <w:tc>
          <w:tcPr>
            <w:tcW w:w="12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39,361</w:t>
            </w:r>
          </w:p>
        </w:tc>
        <w:tc>
          <w:tcPr>
            <w:tcW w:w="14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23,443</w:t>
            </w:r>
          </w:p>
        </w:tc>
        <w:tc>
          <w:tcPr>
            <w:tcW w:w="14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28,664</w:t>
            </w:r>
          </w:p>
        </w:tc>
        <w:tc>
          <w:tcPr>
            <w:tcW w:w="140" w:type="dxa"/>
            <w:vAlign w:val="bottom"/>
          </w:tcPr>
          <w:p>
            <w:pPr>
              <w:spacing w:after="0"/>
              <w:rPr>
                <w:sz w:val="22"/>
                <w:szCs w:val="22"/>
                <w:color w:val="auto"/>
              </w:rPr>
            </w:pPr>
          </w:p>
        </w:tc>
        <w:tc>
          <w:tcPr>
            <w:tcW w:w="1860" w:type="dxa"/>
            <w:vAlign w:val="bottom"/>
            <w:gridSpan w:val="3"/>
          </w:tcPr>
          <w:p>
            <w:pPr>
              <w:jc w:val="right"/>
              <w:ind w:right="1260"/>
              <w:spacing w:after="0"/>
              <w:rPr>
                <w:sz w:val="20"/>
                <w:szCs w:val="20"/>
                <w:color w:val="auto"/>
              </w:rPr>
            </w:pPr>
            <w:r>
              <w:rPr>
                <w:rFonts w:ascii="Arial" w:cs="Arial" w:eastAsia="Arial" w:hAnsi="Arial"/>
                <w:sz w:val="18"/>
                <w:szCs w:val="18"/>
                <w:color w:val="auto"/>
                <w:w w:val="96"/>
              </w:rPr>
              <w:t>$ 7,179</w:t>
            </w: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gridSpan w:val="6"/>
          </w:tcPr>
          <w:p>
            <w:pPr>
              <w:ind w:left="800"/>
              <w:spacing w:after="0"/>
              <w:rPr>
                <w:sz w:val="20"/>
                <w:szCs w:val="20"/>
                <w:color w:val="auto"/>
              </w:rPr>
            </w:pPr>
            <w:r>
              <w:rPr>
                <w:rFonts w:ascii="Arial" w:cs="Arial" w:eastAsia="Arial" w:hAnsi="Arial"/>
                <w:sz w:val="18"/>
                <w:szCs w:val="18"/>
                <w:color w:val="auto"/>
              </w:rPr>
              <w:t>F-32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-2314575</wp:posOffset>
            </wp:positionV>
            <wp:extent cx="13716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-2314575</wp:posOffset>
            </wp:positionV>
            <wp:extent cx="13716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-2314575</wp:posOffset>
            </wp:positionV>
            <wp:extent cx="13716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-2314575</wp:posOffset>
            </wp:positionV>
            <wp:extent cx="13716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-2314575</wp:posOffset>
            </wp:positionV>
            <wp:extent cx="13716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-1259840</wp:posOffset>
            </wp:positionV>
            <wp:extent cx="13716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-1259840</wp:posOffset>
            </wp:positionV>
            <wp:extent cx="13716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-1259840</wp:posOffset>
            </wp:positionV>
            <wp:extent cx="13716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-1259840</wp:posOffset>
            </wp:positionV>
            <wp:extent cx="13716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-1259840</wp:posOffset>
            </wp:positionV>
            <wp:extent cx="13716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5" w:name="page256"/>
    <w:bookmarkEnd w:id="255"/>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As SEFs, TW SEF and DW SEF are required to maintain adequate financial resources and liquid financial assets in accordance with CFTC regulations. The required and maintained financial resources and liquid financial assets at December 31, 2018 and December 31, 2017 are as follows (in thousands):</w:t>
      </w:r>
    </w:p>
    <w:p>
      <w:pPr>
        <w:spacing w:after="0" w:line="63"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4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restart"/>
          </w:tcPr>
          <w:p>
            <w:pPr>
              <w:jc w:val="center"/>
              <w:ind w:right="13"/>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gridSpan w:val="2"/>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TW SEF</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DW SEF</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DW SEF</w:t>
            </w:r>
          </w:p>
        </w:tc>
        <w:tc>
          <w:tcPr>
            <w:tcW w:w="4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17,837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23,349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$20,069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Required Financial Resources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20,732</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12,668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12,849</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14,194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20" w:type="dxa"/>
            <w:vAlign w:val="bottom"/>
            <w:gridSpan w:val="2"/>
          </w:tcPr>
          <w:p>
            <w:pPr>
              <w:spacing w:after="0"/>
              <w:rPr>
                <w:sz w:val="20"/>
                <w:szCs w:val="20"/>
                <w:color w:val="auto"/>
              </w:rPr>
            </w:pPr>
            <w:r>
              <w:rPr>
                <w:rFonts w:ascii="Arial" w:cs="Arial" w:eastAsia="Arial" w:hAnsi="Arial"/>
                <w:sz w:val="18"/>
                <w:szCs w:val="18"/>
                <w:color w:val="auto"/>
              </w:rPr>
              <w:t>Liquid Financial Assets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$16,662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11,888</w:t>
            </w: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14,084</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$13,865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Required Liquid Financial Assets</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gridSpan w:val="2"/>
          </w:tcPr>
          <w:p>
            <w:pPr>
              <w:spacing w:after="0"/>
              <w:rPr>
                <w:sz w:val="20"/>
                <w:szCs w:val="20"/>
                <w:color w:val="auto"/>
              </w:rPr>
            </w:pPr>
            <w:r>
              <w:rPr>
                <w:rFonts w:ascii="Arial" w:cs="Arial" w:eastAsia="Arial" w:hAnsi="Arial"/>
                <w:sz w:val="18"/>
                <w:szCs w:val="18"/>
                <w:color w:val="auto"/>
              </w:rPr>
              <w:t>Excess Liquid Financial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11,412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220" w:type="dxa"/>
            <w:vAlign w:val="bottom"/>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4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-248285</wp:posOffset>
            </wp:positionV>
            <wp:extent cx="1714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-788035</wp:posOffset>
            </wp:positionV>
            <wp:extent cx="1714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-788035</wp:posOffset>
            </wp:positionV>
            <wp:extent cx="14605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-788035</wp:posOffset>
            </wp:positionV>
            <wp:extent cx="383349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-1088390</wp:posOffset>
            </wp:positionV>
            <wp:extent cx="1714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-1088390</wp:posOffset>
            </wp:positionV>
            <wp:extent cx="13716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-1088390</wp:posOffset>
            </wp:positionV>
            <wp:extent cx="382460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  Employees Savings Plan</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Company sponsors a 401(k) savings plan for its US employees. Employees may voluntarily contribute up to 75% of their annual compensation, including bonus. The Company matches 100% of the employee’s contribution, up to 4% of their annual compensation, which vests immediately. Company’s expense for matching contributions under the plans was $738,000, $3,758,000, $4,137,000 and $4,179,000, for October 1, 2018 to December 31, 2018, January 1, 2018 to September 30, 2018 and for the years ended December 31, 2017 and 2016, respectively.</w:t>
      </w:r>
    </w:p>
    <w:p>
      <w:pPr>
        <w:spacing w:after="0" w:line="85" w:lineRule="exact"/>
        <w:rPr>
          <w:sz w:val="20"/>
          <w:szCs w:val="20"/>
          <w:color w:val="auto"/>
        </w:rPr>
      </w:pPr>
    </w:p>
    <w:p>
      <w:pPr>
        <w:ind w:left="1260" w:right="919" w:firstLine="360"/>
        <w:spacing w:after="0" w:line="312" w:lineRule="auto"/>
        <w:rPr>
          <w:sz w:val="20"/>
          <w:szCs w:val="20"/>
          <w:color w:val="auto"/>
        </w:rPr>
      </w:pPr>
      <w:r>
        <w:rPr>
          <w:rFonts w:ascii="Arial" w:cs="Arial" w:eastAsia="Arial" w:hAnsi="Arial"/>
          <w:sz w:val="16"/>
          <w:szCs w:val="16"/>
          <w:color w:val="auto"/>
        </w:rPr>
        <w:t>The Company has deferred compensation plans for its UK and Asia employees. Employer contributions to the plans were $423,000, $1,113,000, $1,242,000 and $1,181,000 for October 1, 2018 to December 31, 2018, January 1, 2018 to September 30, 2018 and for the years ended December 31, 2017 and 2016, respectively.</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21.  Business Segment and Geographic Information</w:t>
      </w:r>
    </w:p>
    <w:p>
      <w:pPr>
        <w:spacing w:after="0" w:line="108"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The Company operates electronic marketplaces for the trading of products across the rates, credit, money markets and equities asset classes and provides related pre-trade pricing and post-trade processing services. The Company’s operations constitute a single business segment because of the integrated nature of these marketplaces and services. Information regarding revenue by client sector is as follows (in thousands):</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vMerge w:val="restart"/>
          </w:tcPr>
          <w:p>
            <w:pPr>
              <w:spacing w:after="0"/>
              <w:rPr>
                <w:sz w:val="3"/>
                <w:szCs w:val="3"/>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vMerge w:val="restart"/>
          </w:tcPr>
          <w:p>
            <w:pPr>
              <w:spacing w:after="0"/>
              <w:rPr>
                <w:sz w:val="3"/>
                <w:szCs w:val="3"/>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8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20" w:type="dxa"/>
            <w:vAlign w:val="bottom"/>
          </w:tcPr>
          <w:p>
            <w:pPr>
              <w:spacing w:after="0"/>
              <w:rPr>
                <w:sz w:val="14"/>
                <w:szCs w:val="14"/>
                <w:color w:val="auto"/>
              </w:rPr>
            </w:pPr>
          </w:p>
        </w:tc>
        <w:tc>
          <w:tcPr>
            <w:tcW w:w="12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 2018</w:t>
            </w: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Institutional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103,971</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$301,918</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318,038</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285,801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99,028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118,451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109,945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57,766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70,857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67,471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Data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47,059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55,622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(26,830)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(58,520)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(26,224)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178,637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478,941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504,448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492,180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146,702</w:t>
            </w:r>
          </w:p>
        </w:tc>
        <w:tc>
          <w:tcPr>
            <w:tcW w:w="1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338,607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415,356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399,049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140,334</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89,092</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93,131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-248285</wp:posOffset>
            </wp:positionV>
            <wp:extent cx="17145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-248285</wp:posOffset>
            </wp:positionV>
            <wp:extent cx="44577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-248285</wp:posOffset>
            </wp:positionV>
            <wp:extent cx="45466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283019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-548005</wp:posOffset>
            </wp:positionV>
            <wp:extent cx="17145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-548005</wp:posOffset>
            </wp:positionV>
            <wp:extent cx="44577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-548005</wp:posOffset>
            </wp:positionV>
            <wp:extent cx="45466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-548005</wp:posOffset>
            </wp:positionV>
            <wp:extent cx="283019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-1397000</wp:posOffset>
            </wp:positionV>
            <wp:extent cx="1714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-1397000</wp:posOffset>
            </wp:positionV>
            <wp:extent cx="13716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-1397000</wp:posOffset>
            </wp:positionV>
            <wp:extent cx="13716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-1397000</wp:posOffset>
            </wp:positionV>
            <wp:extent cx="12890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-1397000</wp:posOffset>
            </wp:positionV>
            <wp:extent cx="179260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Company operates in the U.S. and internationally, primarily in Europe and Asia. Revenues are attributed to geographic area based on the jurisdiction where the underlying transactions take place. Long-lived assets are attributed to the geographic area based on the location of the particular subsidiary. Information regarding revenue for October 1, 2018 to December 31, 2018, January 1, 2018 to September 30, 2018 and for the years ended December 31, 2017 and 2016 and long-lived assets as of December 31, 2018 and December 31, 2017 is as follows (in thousands):</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3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30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87"/>
              </w:rPr>
              <w:t>Predecessor</w:t>
            </w:r>
          </w:p>
        </w:tc>
        <w:tc>
          <w:tcPr>
            <w:tcW w:w="10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9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1300" w:type="dxa"/>
            <w:vAlign w:val="bottom"/>
            <w:gridSpan w:val="7"/>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4"/>
                <w:szCs w:val="14"/>
                <w:color w:val="auto"/>
              </w:rPr>
            </w:pPr>
          </w:p>
        </w:tc>
        <w:tc>
          <w:tcPr>
            <w:tcW w:w="14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January 1, 2018 to</w:t>
            </w: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September 30, 2018</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left w:val="single" w:sz="8" w:color="auto"/>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180"/>
              <w:spacing w:after="0"/>
              <w:rPr>
                <w:sz w:val="20"/>
                <w:szCs w:val="20"/>
                <w:color w:val="auto"/>
              </w:rPr>
            </w:pPr>
            <w:r>
              <w:rPr>
                <w:rFonts w:ascii="Arial" w:cs="Arial" w:eastAsia="Arial" w:hAnsi="Arial"/>
                <w:sz w:val="18"/>
                <w:szCs w:val="18"/>
                <w:color w:val="auto"/>
              </w:rPr>
              <w:t>U.S.</w:t>
            </w: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$115,907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left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$324,304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$385,176</w:t>
            </w:r>
          </w:p>
        </w:tc>
        <w:tc>
          <w:tcPr>
            <w:tcW w:w="22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$ 365,308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500" w:type="dxa"/>
            <w:vAlign w:val="bottom"/>
            <w:tcBorders>
              <w:right w:val="single" w:sz="8" w:color="CCEEFF"/>
            </w:tcBorders>
            <w:gridSpan w:val="3"/>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62,730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tcBorders>
              <w:left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181,467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177,792</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153,096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40" w:type="dxa"/>
            <w:vAlign w:val="bottom"/>
          </w:tcPr>
          <w:p>
            <w:pPr>
              <w:ind w:left="360"/>
              <w:spacing w:after="0"/>
              <w:rPr>
                <w:sz w:val="20"/>
                <w:szCs w:val="20"/>
                <w:color w:val="auto"/>
              </w:rPr>
            </w:pPr>
            <w:r>
              <w:rPr>
                <w:rFonts w:ascii="Arial" w:cs="Arial" w:eastAsia="Arial" w:hAnsi="Arial"/>
                <w:sz w:val="18"/>
                <w:szCs w:val="18"/>
                <w:color w:val="auto"/>
              </w:rPr>
              <w:t>Gross revenue</w:t>
            </w:r>
          </w:p>
        </w:tc>
        <w:tc>
          <w:tcPr>
            <w:tcW w:w="500" w:type="dxa"/>
            <w:vAlign w:val="bottom"/>
            <w:gridSpan w:val="3"/>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178,637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left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505,771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562,968</w:t>
            </w:r>
          </w:p>
        </w:tc>
        <w:tc>
          <w:tcPr>
            <w:tcW w:w="22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518,404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9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left w:val="single" w:sz="8" w:color="auto"/>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(26,830)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(58,520)</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(26,224)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3"/>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178,637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left w:val="single" w:sz="8" w:color="auto"/>
            </w:tcBorders>
            <w:gridSpan w:val="6"/>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478,941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504,448</w:t>
            </w:r>
          </w:p>
        </w:tc>
        <w:tc>
          <w:tcPr>
            <w:tcW w:w="22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492,180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tcPr>
          <w:p>
            <w:pPr>
              <w:spacing w:after="0"/>
              <w:rPr>
                <w:sz w:val="5"/>
                <w:szCs w:val="5"/>
                <w:color w:val="auto"/>
              </w:rPr>
            </w:pPr>
          </w:p>
        </w:tc>
        <w:tc>
          <w:tcPr>
            <w:tcW w:w="160" w:type="dxa"/>
            <w:vAlign w:val="bottom"/>
            <w:gridSpan w:val="2"/>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U.S.</w:t>
            </w:r>
          </w:p>
        </w:tc>
        <w:tc>
          <w:tcPr>
            <w:tcW w:w="13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$4,276,568</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$845,599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3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auto"/>
            </w:tcBorders>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4,284,355</w:t>
            </w: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853,586</w:t>
            </w: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-2125980</wp:posOffset>
            </wp:positionV>
            <wp:extent cx="1714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-2125980</wp:posOffset>
            </wp:positionV>
            <wp:extent cx="13716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-2125980</wp:posOffset>
            </wp:positionV>
            <wp:extent cx="13716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-2125980</wp:posOffset>
            </wp:positionV>
            <wp:extent cx="306133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06133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-650875</wp:posOffset>
            </wp:positionV>
            <wp:extent cx="6858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-650875</wp:posOffset>
            </wp:positionV>
            <wp:extent cx="312991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45" w:lineRule="exact"/>
        <w:rPr>
          <w:sz w:val="20"/>
          <w:szCs w:val="20"/>
          <w:color w:val="auto"/>
        </w:rPr>
      </w:pPr>
    </w:p>
    <w:p>
      <w:pPr>
        <w:ind w:left="1260" w:right="1479" w:firstLine="8"/>
        <w:spacing w:after="0" w:line="251" w:lineRule="auto"/>
        <w:tabs>
          <w:tab w:leader="none" w:pos="1665"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Statement of Financial Condition and Pro Forma Earnings Per Share Information</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Financial Condition</w:t>
      </w:r>
    </w:p>
    <w:p>
      <w:pPr>
        <w:spacing w:after="0" w:line="108"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The Company paid capital distributions to its members of $20,000,000 in March 2019 and anticipates paying capital distributions to its members of $100,000,000 prior to the consummation of Tradeweb Markets Inc.’s initial public offering (the “Special Distribution”), which are expected to be funded from cash on hand. The unaudited pro forma consolidated statement of financial condition as of December 31, 2018 reflects these distributions as if such distributions were declared and paid on December 31, 2018.</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Operations</w:t>
      </w:r>
    </w:p>
    <w:p>
      <w:pPr>
        <w:spacing w:after="0" w:line="108"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Distributions declared in the year preceding an initial public offering are deemed to be in contemplation of the offering with the intention of repayment out of offering proceeds to the extent that the distributions exceed earnings during such period. In February, June, September and December 2018 and March 2019, the Company paid capital distributions to its members of $25,000,000, $55,000,000, $59,350,000, $36,000,000 and $20,000,000, respectively (collectively, the “2018 and 2019 Distributions”).</w:t>
      </w:r>
    </w:p>
    <w:p>
      <w:pPr>
        <w:spacing w:after="0" w:line="64"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The unaudited net income per share information in the consolidated statements of income has been computed, based on the initial public offering price of $27.00 per share, to give effect to the number of shares whose proceeds would be necessary to pay (i) the Special Distribution and (ii) the 2018 and 2019 Distributions, but only to the extent the aggregate amount of these distributions exceed the Company’s earnings for the applicable preceding twelve-month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7" w:name="page258"/>
    <w:bookmarkEnd w:id="257"/>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23.  Subsequent Events</w:t>
      </w:r>
    </w:p>
    <w:p>
      <w:pPr>
        <w:spacing w:after="0" w:line="108"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The Company is in the process of preparing for an IPO. The Company's expectation is that the IPO will occur during the first half of 2019, though no assurances can be made. On March 21, 2019, the Board of Directors approved that the Company will effect a series of reorganization transactions, including a recapitalization of the Company’s issued and vested shares, immediately prior to the consummation of the IPO. In addition, the Company expects to enter into a $500 million revolving credit facility upon the closing of the IPO. On March 22, 2019, the Company paid a $20.0 million distribution to the current owners of the Company.</w:t>
      </w:r>
    </w:p>
    <w:p>
      <w:pPr>
        <w:spacing w:after="0" w:line="57" w:lineRule="exact"/>
        <w:rPr>
          <w:sz w:val="20"/>
          <w:szCs w:val="20"/>
          <w:color w:val="auto"/>
        </w:rPr>
      </w:pPr>
    </w:p>
    <w:p>
      <w:pPr>
        <w:ind w:left="1260" w:right="779" w:firstLine="360"/>
        <w:spacing w:after="0" w:line="342" w:lineRule="auto"/>
        <w:rPr>
          <w:sz w:val="20"/>
          <w:szCs w:val="20"/>
          <w:color w:val="auto"/>
        </w:rPr>
      </w:pPr>
      <w:r>
        <w:rPr>
          <w:rFonts w:ascii="Arial" w:cs="Arial" w:eastAsia="Arial" w:hAnsi="Arial"/>
          <w:sz w:val="16"/>
          <w:szCs w:val="16"/>
          <w:color w:val="auto"/>
        </w:rPr>
        <w:t>There were no other subsequent events requiring adjustment to the financial statements or disclosure, except as disclosed in note 1, through March 25, 2019, the date that the Company’s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9" w:name="page260"/>
    <w:bookmarkEnd w:id="259"/>
    <w:p>
      <w:pPr>
        <w:spacing w:after="0"/>
        <w:rPr>
          <w:rFonts w:ascii="Arial" w:cs="Arial" w:eastAsia="Arial" w:hAnsi="Arial"/>
          <w:sz w:val="14"/>
          <w:szCs w:val="14"/>
          <w:color w:val="003366"/>
        </w:rPr>
      </w:pPr>
      <w:hyperlink w:anchor="page22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511810</wp:posOffset>
            </wp:positionV>
            <wp:extent cx="5213985" cy="260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571500</wp:posOffset>
            </wp:positionV>
            <wp:extent cx="521398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40,000,000 Shares</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Tradeweb Markets Inc.</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tabs>
          <w:tab w:leader="none" w:pos="2920" w:val="left"/>
          <w:tab w:leader="none" w:pos="4360" w:val="left"/>
          <w:tab w:leader="none" w:pos="7720" w:val="left"/>
        </w:tabs>
        <w:rPr>
          <w:sz w:val="20"/>
          <w:szCs w:val="20"/>
          <w:color w:val="auto"/>
        </w:rPr>
      </w:pPr>
      <w:r>
        <w:rPr>
          <w:rFonts w:ascii="Arial" w:cs="Arial" w:eastAsia="Arial" w:hAnsi="Arial"/>
          <w:sz w:val="25"/>
          <w:szCs w:val="25"/>
          <w:b w:val="1"/>
          <w:bCs w:val="1"/>
          <w:color w:val="auto"/>
        </w:rPr>
        <w:t>J.P. Morgan</w:t>
        <w:tab/>
        <w:t>Citigroup</w:t>
        <w:tab/>
        <w:t>Goldman Sachs &amp; Co. LLC</w:t>
      </w:r>
      <w:r>
        <w:rPr>
          <w:sz w:val="20"/>
          <w:szCs w:val="20"/>
          <w:color w:val="auto"/>
        </w:rPr>
        <w:tab/>
      </w:r>
      <w:r>
        <w:rPr>
          <w:rFonts w:ascii="Arial" w:cs="Arial" w:eastAsia="Arial" w:hAnsi="Arial"/>
          <w:sz w:val="23"/>
          <w:szCs w:val="23"/>
          <w:b w:val="1"/>
          <w:bCs w:val="1"/>
          <w:color w:val="auto"/>
        </w:rPr>
        <w:t>Morgan Stanley</w:t>
      </w:r>
    </w:p>
    <w:p>
      <w:pPr>
        <w:spacing w:after="0" w:line="200" w:lineRule="exact"/>
        <w:rPr>
          <w:sz w:val="20"/>
          <w:szCs w:val="20"/>
          <w:color w:val="auto"/>
        </w:rPr>
      </w:pPr>
    </w:p>
    <w:p>
      <w:pPr>
        <w:spacing w:after="0" w:line="264" w:lineRule="exact"/>
        <w:rPr>
          <w:sz w:val="20"/>
          <w:szCs w:val="20"/>
          <w:color w:val="auto"/>
        </w:rPr>
      </w:pPr>
    </w:p>
    <w:p>
      <w:pPr>
        <w:ind w:left="1680"/>
        <w:spacing w:after="0"/>
        <w:tabs>
          <w:tab w:leader="none" w:pos="4960" w:val="left"/>
          <w:tab w:leader="none" w:pos="752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19"/>
          <w:szCs w:val="19"/>
          <w:b w:val="1"/>
          <w:bCs w:val="1"/>
          <w:color w:val="auto"/>
        </w:rPr>
        <w:t>Credit Suisse</w:t>
      </w:r>
    </w:p>
    <w:p>
      <w:pPr>
        <w:spacing w:after="0" w:line="28" w:lineRule="exact"/>
        <w:rPr>
          <w:sz w:val="20"/>
          <w:szCs w:val="20"/>
          <w:color w:val="auto"/>
        </w:rPr>
      </w:pPr>
    </w:p>
    <w:p>
      <w:pPr>
        <w:ind w:left="1420"/>
        <w:spacing w:after="0"/>
        <w:tabs>
          <w:tab w:leader="none" w:pos="4320" w:val="left"/>
          <w:tab w:leader="none" w:pos="7100" w:val="left"/>
        </w:tabs>
        <w:rPr>
          <w:sz w:val="20"/>
          <w:szCs w:val="20"/>
          <w:color w:val="auto"/>
        </w:rPr>
      </w:pP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200" w:lineRule="exact"/>
        <w:rPr>
          <w:sz w:val="20"/>
          <w:szCs w:val="20"/>
          <w:color w:val="auto"/>
        </w:rPr>
      </w:pPr>
    </w:p>
    <w:p>
      <w:pPr>
        <w:spacing w:after="0" w:line="289" w:lineRule="exact"/>
        <w:rPr>
          <w:sz w:val="20"/>
          <w:szCs w:val="20"/>
          <w:color w:val="auto"/>
        </w:rPr>
      </w:pPr>
    </w:p>
    <w:p>
      <w:pPr>
        <w:ind w:left="2940"/>
        <w:spacing w:after="0"/>
        <w:tabs>
          <w:tab w:leader="none" w:pos="6240" w:val="left"/>
        </w:tabs>
        <w:rPr>
          <w:sz w:val="20"/>
          <w:szCs w:val="20"/>
          <w:color w:val="auto"/>
        </w:rPr>
      </w:pPr>
      <w:r>
        <w:rPr>
          <w:rFonts w:ascii="Arial" w:cs="Arial" w:eastAsia="Arial" w:hAnsi="Arial"/>
          <w:sz w:val="18"/>
          <w:szCs w:val="18"/>
          <w:b w:val="1"/>
          <w:bCs w:val="1"/>
          <w:color w:val="auto"/>
        </w:rPr>
        <w:t>Jefferies</w:t>
      </w:r>
      <w:r>
        <w:rPr>
          <w:sz w:val="20"/>
          <w:szCs w:val="20"/>
          <w:color w:val="auto"/>
        </w:rPr>
        <w:tab/>
      </w:r>
      <w:r>
        <w:rPr>
          <w:rFonts w:ascii="Arial" w:cs="Arial" w:eastAsia="Arial" w:hAnsi="Arial"/>
          <w:sz w:val="18"/>
          <w:szCs w:val="18"/>
          <w:b w:val="1"/>
          <w:bCs w:val="1"/>
          <w:color w:val="auto"/>
        </w:rPr>
        <w:t>Sandler O’Neill +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color w:val="auto"/>
        </w:rPr>
        <w:t>Through and including April 28, 2019 (the 25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139700</wp:posOffset>
            </wp:positionV>
            <wp:extent cx="521398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182245</wp:posOffset>
            </wp:positionV>
            <wp:extent cx="5213985" cy="260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761365</wp:posOffset>
            </wp:positionV>
            <wp:extent cx="683450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10219"/>
      </w:cols>
      <w:pgMar w:left="24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1)"/>
      <w:numFmt w:val="decimal"/>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1)"/>
      <w:numFmt w:val="lowerRoman"/>
      <w:start w:val="2"/>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1)"/>
      <w:numFmt w:val="decimal"/>
      <w:start w:val="1"/>
    </w:lvl>
  </w:abstractNum>
  <w:abstractNum w:abstractNumId="16">
    <w:nsid w:val="BF72B14"/>
    <w:multiLevelType w:val="hybridMultilevel"/>
    <w:lvl w:ilvl="0">
      <w:lvlJc w:val="left"/>
      <w:lvlText w:val="(%1)"/>
      <w:numFmt w:val="decimal"/>
      <w:start w:val="7"/>
    </w:lvl>
  </w:abstractNum>
  <w:abstractNum w:abstractNumId="17">
    <w:nsid w:val="11447B73"/>
    <w:multiLevelType w:val="hybridMultilevel"/>
    <w:lvl w:ilvl="0">
      <w:lvlJc w:val="left"/>
      <w:lvlText w:val="(%1)"/>
      <w:numFmt w:val="lowerLetter"/>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1)"/>
      <w:numFmt w:val="lowerRoman"/>
      <w:start w:val="5"/>
    </w:lvl>
  </w:abstractNum>
  <w:abstractNum w:abstractNumId="22">
    <w:nsid w:val="3B0FD379"/>
    <w:multiLevelType w:val="hybridMultilevel"/>
    <w:lvl w:ilvl="0">
      <w:lvlJc w:val="left"/>
      <w:lvlText w:val="(%1)"/>
      <w:numFmt w:val="lowerRoman"/>
      <w:start w:val="5"/>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1)"/>
      <w:numFmt w:val="lowerRoman"/>
      <w:start w:val="2"/>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emdash "/>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lvl w:ilvl="1">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emdash "/>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1)"/>
      <w:numFmt w:val="decimal"/>
      <w:start w:val="1"/>
    </w:lvl>
  </w:abstractNum>
  <w:abstractNum w:abstractNumId="47">
    <w:nsid w:val="39EE015C"/>
    <w:multiLevelType w:val="hybridMultilevel"/>
    <w:lvl w:ilvl="0">
      <w:lvlJc w:val="left"/>
      <w:lvlText w:val="(%1)"/>
      <w:numFmt w:val="decimal"/>
      <w:start w:val="2"/>
    </w:lvl>
  </w:abstractNum>
  <w:abstractNum w:abstractNumId="48">
    <w:nsid w:val="57FC4FBB"/>
    <w:multiLevelType w:val="hybridMultilevel"/>
    <w:lvl w:ilvl="0">
      <w:lvlJc w:val="left"/>
      <w:lvlText w:val="(%1)"/>
      <w:numFmt w:val="decimal"/>
      <w:start w:val="1"/>
    </w:lvl>
  </w:abstractNum>
  <w:abstractNum w:abstractNumId="49">
    <w:nsid w:val="CC1016F"/>
    <w:multiLevelType w:val="hybridMultilevel"/>
    <w:lvl w:ilvl="0">
      <w:lvlJc w:val="left"/>
      <w:lvlText w:val="(%1)"/>
      <w:numFmt w:val="lowerLetter"/>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1)"/>
      <w:numFmt w:val="decimal"/>
      <w:start w:val="1"/>
    </w:lvl>
  </w:abstractNum>
  <w:abstractNum w:abstractNumId="53">
    <w:nsid w:val="7F01579B"/>
    <w:multiLevelType w:val="hybridMultilevel"/>
    <w:lvl w:ilvl="0">
      <w:lvlJc w:val="left"/>
      <w:lvlText w:val="(%1)"/>
      <w:numFmt w:val="decimal"/>
      <w:start w:val="5"/>
    </w:lvl>
  </w:abstractNum>
  <w:abstractNum w:abstractNumId="54">
    <w:nsid w:val="49DA307D"/>
    <w:multiLevelType w:val="hybridMultilevel"/>
    <w:lvl w:ilvl="0">
      <w:lvlJc w:val="left"/>
      <w:lvlText w:val="(%1)"/>
      <w:numFmt w:val="decimal"/>
      <w:start w:val="7"/>
    </w:lvl>
  </w:abstractNum>
  <w:abstractNum w:abstractNumId="55">
    <w:nsid w:val="7055A5F5"/>
    <w:multiLevelType w:val="hybridMultilevel"/>
    <w:lvl w:ilvl="0">
      <w:lvlJc w:val="left"/>
      <w:lvlText w:val="(%1)"/>
      <w:numFmt w:val="lowerLetter"/>
      <w:start w:val="1"/>
    </w:lvl>
  </w:abstractNum>
  <w:abstractNum w:abstractNumId="56">
    <w:nsid w:val="5FB8370B"/>
    <w:multiLevelType w:val="hybridMultilevel"/>
    <w:lvl w:ilvl="0">
      <w:lvlJc w:val="left"/>
      <w:lvlText w:val="•"/>
      <w:numFmt w:val="bullet"/>
      <w:start w:val="1"/>
    </w:lvl>
    <w:lvl w:ilvl="1">
      <w:lvlJc w:val="left"/>
      <w:lvlText w:val="(%2)"/>
      <w:numFmt w:val="lowerRoman"/>
      <w:start w:val="2"/>
    </w:lvl>
  </w:abstractNum>
  <w:abstractNum w:abstractNumId="57">
    <w:nsid w:val="50801EE1"/>
    <w:multiLevelType w:val="hybridMultilevel"/>
    <w:lvl w:ilvl="0">
      <w:lvlJc w:val="left"/>
      <w:lvlText w:val="•"/>
      <w:numFmt w:val="bullet"/>
      <w:start w:val="1"/>
    </w:lvl>
    <w:lvl w:ilvl="1">
      <w:lvlJc w:val="left"/>
      <w:lvlText w:val="(%2)"/>
      <w:numFmt w:val="lowerRoman"/>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1)"/>
      <w:numFmt w:val="decimal"/>
      <w:start w:val="1"/>
    </w:lvl>
  </w:abstractNum>
  <w:abstractNum w:abstractNumId="61">
    <w:nsid w:val="7672BD23"/>
    <w:multiLevelType w:val="hybridMultilevel"/>
    <w:lvl w:ilvl="0">
      <w:lvlJc w:val="left"/>
      <w:lvlText w:val="(%1)"/>
      <w:numFmt w:val="decimal"/>
      <w:start w:val="4"/>
    </w:lvl>
    <w:lvl w:ilvl="1">
      <w:lvlJc w:val="left"/>
      <w:lvlText w:val="•"/>
      <w:numFmt w:val="bullet"/>
      <w:start w:val="1"/>
    </w:lvl>
  </w:abstractNum>
  <w:abstractNum w:abstractNumId="62">
    <w:nsid w:val="6FC75AF8"/>
    <w:multiLevelType w:val="hybridMultilevel"/>
    <w:lvl w:ilvl="0">
      <w:lvlJc w:val="left"/>
      <w:lvlText w:val="(%1)"/>
      <w:numFmt w:val="decimal"/>
      <w:start w:val="7"/>
    </w:lvl>
    <w:lvl w:ilvl="1">
      <w:lvlJc w:val="left"/>
      <w:lvlText w:val="•"/>
      <w:numFmt w:val="bullet"/>
      <w:start w:val="1"/>
    </w:lvl>
  </w:abstractNum>
  <w:abstractNum w:abstractNumId="63">
    <w:nsid w:val="6A5F7029"/>
    <w:multiLevelType w:val="hybridMultilevel"/>
    <w:lvl w:ilvl="0">
      <w:lvlJc w:val="left"/>
      <w:lvlText w:val="(%1)"/>
      <w:numFmt w:val="decimal"/>
      <w:start w:val="9"/>
    </w:lvl>
  </w:abstractNum>
  <w:abstractNum w:abstractNumId="64">
    <w:nsid w:val="7D5E18F8"/>
    <w:multiLevelType w:val="hybridMultilevel"/>
    <w:lvl w:ilvl="0">
      <w:lvlJc w:val="left"/>
      <w:lvlText w:val="(%1)"/>
      <w:numFmt w:val="decimal"/>
      <w:start w:val="1"/>
    </w:lvl>
  </w:abstractNum>
  <w:abstractNum w:abstractNumId="65">
    <w:nsid w:val="5F3534A4"/>
    <w:multiLevelType w:val="hybridMultilevel"/>
    <w:lvl w:ilvl="0">
      <w:lvlJc w:val="left"/>
      <w:lvlText w:val="(%1)"/>
      <w:numFmt w:val="decimal"/>
      <w:start w:val="3"/>
    </w:lvl>
  </w:abstractNum>
  <w:abstractNum w:abstractNumId="66">
    <w:nsid w:val="73A1821B"/>
    <w:multiLevelType w:val="hybridMultilevel"/>
    <w:lvl w:ilvl="0">
      <w:lvlJc w:val="left"/>
      <w:lvlText w:val="(%1)"/>
      <w:numFmt w:val="decimal"/>
      <w:start w:val="5"/>
    </w:lvl>
  </w:abstractNum>
  <w:abstractNum w:abstractNumId="67">
    <w:nsid w:val="7DE67713"/>
    <w:multiLevelType w:val="hybridMultilevel"/>
    <w:lvl w:ilvl="0">
      <w:lvlJc w:val="left"/>
      <w:lvlText w:val="(%1)"/>
      <w:numFmt w:val="decimal"/>
      <w:start w:val="1"/>
    </w:lvl>
  </w:abstractNum>
  <w:abstractNum w:abstractNumId="68">
    <w:nsid w:val="555C55B5"/>
    <w:multiLevelType w:val="hybridMultilevel"/>
    <w:lvl w:ilvl="0">
      <w:lvlJc w:val="left"/>
      <w:lvlText w:val="(%1)"/>
      <w:numFmt w:val="decimal"/>
      <w:start w:val="1"/>
    </w:lvl>
  </w:abstractNum>
  <w:abstractNum w:abstractNumId="69">
    <w:nsid w:val="3FA62ACA"/>
    <w:multiLevelType w:val="hybridMultilevel"/>
    <w:lvl w:ilvl="0">
      <w:lvlJc w:val="left"/>
      <w:lvlText w:val="(%1)"/>
      <w:numFmt w:val="decimal"/>
      <w:start w:val="1"/>
    </w:lvl>
  </w:abstractNum>
  <w:abstractNum w:abstractNumId="70">
    <w:nsid w:val="14FCE74E"/>
    <w:multiLevelType w:val="hybridMultilevel"/>
    <w:lvl w:ilvl="0">
      <w:lvlJc w:val="left"/>
      <w:lvlText w:val="(%1)"/>
      <w:numFmt w:val="decimal"/>
      <w:start w:val="1"/>
    </w:lvl>
  </w:abstractNum>
  <w:abstractNum w:abstractNumId="71">
    <w:nsid w:val="6A3DD3E8"/>
    <w:multiLevelType w:val="hybridMultilevel"/>
    <w:lvl w:ilvl="0">
      <w:lvlJc w:val="left"/>
      <w:lvlText w:val="(%1)"/>
      <w:numFmt w:val="decimal"/>
      <w:start w:val="1"/>
    </w:lvl>
  </w:abstractNum>
  <w:abstractNum w:abstractNumId="72">
    <w:nsid w:val="71C91298"/>
    <w:multiLevelType w:val="hybridMultilevel"/>
    <w:lvl w:ilvl="0">
      <w:lvlJc w:val="left"/>
      <w:lvlText w:val="(%1)"/>
      <w:numFmt w:val="decimal"/>
      <w:start w:val="1"/>
    </w:lvl>
  </w:abstractNum>
  <w:abstractNum w:abstractNumId="73">
    <w:nsid w:val="9DAF632"/>
    <w:multiLevelType w:val="hybridMultilevel"/>
    <w:lvl w:ilvl="0">
      <w:lvlJc w:val="left"/>
      <w:lvlText w:val="(%1)"/>
      <w:numFmt w:val="decimal"/>
      <w:start w:val="1"/>
    </w:lvl>
  </w:abstractNum>
  <w:abstractNum w:abstractNumId="74">
    <w:nsid w:val="53299938"/>
    <w:multiLevelType w:val="hybridMultilevel"/>
    <w:lvl w:ilvl="0">
      <w:lvlJc w:val="left"/>
      <w:lvlText w:val="(%1)"/>
      <w:numFmt w:val="decimal"/>
      <w:start w:val="1"/>
    </w:lvl>
  </w:abstractNum>
  <w:abstractNum w:abstractNumId="75">
    <w:nsid w:val="1FBFE8E0"/>
    <w:multiLevelType w:val="hybridMultilevel"/>
    <w:lvl w:ilvl="0">
      <w:lvlJc w:val="left"/>
      <w:lvlText w:val="(%1)"/>
      <w:numFmt w:val="decimal"/>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lvl w:ilvl="1">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
      <w:numFmt w:val="bullet"/>
      <w:start w:val="1"/>
    </w:lvl>
  </w:abstractNum>
  <w:abstractNum w:abstractNumId="85">
    <w:nsid w:val="53584BCB"/>
    <w:multiLevelType w:val="hybridMultilevel"/>
    <w:lvl w:ilvl="0">
      <w:lvlJc w:val="left"/>
      <w:lvlText w:val="(%1)"/>
      <w:numFmt w:val="lowerRoman"/>
      <w:start w:val="2"/>
    </w:lvl>
  </w:abstractNum>
  <w:abstractNum w:abstractNumId="86">
    <w:nsid w:val="415E286C"/>
    <w:multiLevelType w:val="hybridMultilevel"/>
    <w:lvl w:ilvl="0">
      <w:lvlJc w:val="left"/>
      <w:lvlText w:val="(%1)"/>
      <w:numFmt w:val="lowerRoman"/>
      <w:start w:val="5"/>
    </w:lvl>
  </w:abstractNum>
  <w:abstractNum w:abstractNumId="87">
    <w:nsid w:val="7C58FD05"/>
    <w:multiLevelType w:val="hybridMultilevel"/>
    <w:lvl w:ilvl="0">
      <w:lvlJc w:val="left"/>
      <w:lvlText w:val="•"/>
      <w:numFmt w:val="bullet"/>
      <w:start w:val="1"/>
    </w:lvl>
  </w:abstractNum>
  <w:abstractNum w:abstractNumId="88">
    <w:nsid w:val="23D86AAC"/>
    <w:multiLevelType w:val="hybridMultilevel"/>
    <w:lvl w:ilvl="0">
      <w:lvlJc w:val="left"/>
      <w:lvlText w:val="•"/>
      <w:numFmt w:val="bullet"/>
      <w:start w:val="1"/>
    </w:lvl>
  </w:abstractNum>
  <w:abstractNum w:abstractNumId="89">
    <w:nsid w:val="45E6D486"/>
    <w:multiLevelType w:val="hybridMultilevel"/>
    <w:lvl w:ilvl="0">
      <w:lvlJc w:val="left"/>
      <w:lvlText w:val="(%1)"/>
      <w:numFmt w:val="decimal"/>
      <w:start w:val="1"/>
    </w:lvl>
  </w:abstractNum>
  <w:abstractNum w:abstractNumId="90">
    <w:nsid w:val="5C10FE21"/>
    <w:multiLevelType w:val="hybridMultilevel"/>
    <w:lvl w:ilvl="0">
      <w:lvlJc w:val="left"/>
      <w:lvlText w:val="(%1)"/>
      <w:numFmt w:val="lowerRoman"/>
      <w:start w:val="7"/>
    </w:lvl>
  </w:abstractNum>
  <w:abstractNum w:abstractNumId="91">
    <w:nsid w:val="E7FFA2B"/>
    <w:multiLevelType w:val="hybridMultilevel"/>
    <w:lvl w:ilvl="0">
      <w:lvlJc w:val="left"/>
      <w:lvlText w:val="(%1)"/>
      <w:numFmt w:val="lowerRoman"/>
      <w:start w:val="10"/>
    </w:lvl>
  </w:abstractNum>
  <w:abstractNum w:abstractNumId="92">
    <w:nsid w:val="3C5991AA"/>
    <w:multiLevelType w:val="hybridMultilevel"/>
    <w:lvl w:ilvl="0">
      <w:lvlJc w:val="left"/>
      <w:lvlText w:val="(%1)"/>
      <w:numFmt w:val="lowerRoman"/>
      <w:start w:val="1"/>
    </w:lvl>
  </w:abstractNum>
  <w:abstractNum w:abstractNumId="93">
    <w:nsid w:val="4BD8591A"/>
    <w:multiLevelType w:val="hybridMultilevel"/>
    <w:lvl w:ilvl="0">
      <w:lvlJc w:val="left"/>
      <w:lvlText w:val="(%1)"/>
      <w:numFmt w:val="upperLetter"/>
      <w:start w:val="2"/>
    </w:lvl>
  </w:abstractNum>
  <w:abstractNum w:abstractNumId="94">
    <w:nsid w:val="78DF6A55"/>
    <w:multiLevelType w:val="hybridMultilevel"/>
    <w:lvl w:ilvl="0">
      <w:lvlJc w:val="left"/>
      <w:lvlText w:val="(%1)"/>
      <w:numFmt w:val="lowerLetter"/>
      <w:start w:val="2"/>
    </w:lvl>
  </w:abstractNum>
  <w:abstractNum w:abstractNumId="95">
    <w:nsid w:val="39B7AAA2"/>
    <w:multiLevelType w:val="hybridMultilevel"/>
    <w:lvl w:ilvl="0">
      <w:lvlJc w:val="left"/>
      <w:lvlText w:val="(%1)"/>
      <w:numFmt w:val="lowerLetter"/>
      <w:start w:val="3"/>
    </w:lvl>
  </w:abstractNum>
  <w:abstractNum w:abstractNumId="96">
    <w:nsid w:val="2B0D8DBE"/>
    <w:multiLevelType w:val="hybridMultilevel"/>
    <w:lvl w:ilvl="0">
      <w:lvlJc w:val="left"/>
      <w:lvlText w:val="(%1)"/>
      <w:numFmt w:val="lowerLetter"/>
      <w:start w:val="2"/>
    </w:lvl>
  </w:abstractNum>
  <w:abstractNum w:abstractNumId="97">
    <w:nsid w:val="6C80EC70"/>
    <w:multiLevelType w:val="hybridMultilevel"/>
    <w:lvl w:ilvl="0">
      <w:lvlJc w:val="left"/>
      <w:lvlText w:val="(%1)"/>
      <w:numFmt w:val="decimal"/>
      <w:start w:val="1"/>
    </w:lvl>
  </w:abstractNum>
  <w:abstractNum w:abstractNumId="98">
    <w:nsid w:val="379E21B5"/>
    <w:multiLevelType w:val="hybridMultilevel"/>
    <w:lvl w:ilvl="0">
      <w:lvlJc w:val="left"/>
      <w:lvlText w:val="(%1)"/>
      <w:numFmt w:val="decimal"/>
      <w:start w:val="9"/>
    </w:lvl>
  </w:abstractNum>
  <w:abstractNum w:abstractNumId="99">
    <w:nsid w:val="69E373"/>
    <w:multiLevelType w:val="hybridMultilevel"/>
    <w:lvl w:ilvl="0">
      <w:lvlJc w:val="left"/>
      <w:lvlText w:val="(%1)"/>
      <w:numFmt w:val="lowerRoman"/>
      <w:start w:val="2"/>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
      <w:numFmt w:val="bullet"/>
      <w:start w:val="1"/>
    </w:lvl>
  </w:abstractNum>
  <w:abstractNum w:abstractNumId="102">
    <w:nsid w:val="6AA7B75C"/>
    <w:multiLevelType w:val="hybridMultilevel"/>
    <w:lvl w:ilvl="0">
      <w:lvlJc w:val="left"/>
      <w:lvlText w:val="(†)"/>
      <w:numFmt w:val="bullet"/>
      <w:start w:val="1"/>
    </w:lvl>
  </w:abstractNum>
  <w:abstractNum w:abstractNumId="103">
    <w:nsid w:val="1DF029D3"/>
    <w:multiLevelType w:val="hybridMultilevel"/>
    <w:lvl w:ilvl="0">
      <w:lvlJc w:val="left"/>
      <w:lvlText w:val="*"/>
      <w:numFmt w:val="bullet"/>
      <w:start w:val="1"/>
    </w:lvl>
  </w:abstractNum>
  <w:abstractNum w:abstractNumId="104">
    <w:nsid w:val="5675FF36"/>
    <w:multiLevelType w:val="hybridMultilevel"/>
    <w:lvl w:ilvl="0">
      <w:lvlJc w:val="left"/>
      <w:lvlText w:val="(%1)"/>
      <w:numFmt w:val="decimal"/>
      <w:start w:val="1"/>
    </w:lvl>
  </w:abstractNum>
  <w:abstractNum w:abstractNumId="105">
    <w:nsid w:val="3DD15094"/>
    <w:multiLevelType w:val="hybridMultilevel"/>
    <w:lvl w:ilvl="0">
      <w:lvlJc w:val="left"/>
      <w:lvlText w:val="(%1)"/>
      <w:numFmt w:val="decimal"/>
      <w:start w:val="2"/>
    </w:lvl>
  </w:abstractNum>
  <w:abstractNum w:abstractNumId="106">
    <w:nsid w:val="3DB012B3"/>
    <w:multiLevelType w:val="hybridMultilevel"/>
    <w:lvl w:ilvl="0">
      <w:lvlJc w:val="left"/>
      <w:lvlText w:val="(%1)"/>
      <w:numFmt w:val="decimal"/>
      <w:start w:val="6"/>
    </w:lvl>
  </w:abstractNum>
  <w:abstractNum w:abstractNumId="107">
    <w:nsid w:val="2708C9AF"/>
    <w:multiLevelType w:val="hybridMultilevel"/>
    <w:lvl w:ilvl="0">
      <w:lvlJc w:val="left"/>
      <w:lvlText w:val="(%1)"/>
      <w:numFmt w:val="upperLetter"/>
      <w:start w:val="9"/>
    </w:lvl>
  </w:abstractNum>
  <w:abstractNum w:abstractNumId="108">
    <w:nsid w:val="5B25ACE2"/>
    <w:multiLevelType w:val="hybridMultilevel"/>
    <w:lvl w:ilvl="0">
      <w:lvlJc w:val="left"/>
      <w:lvlText w:val="•"/>
      <w:numFmt w:val="bullet"/>
      <w:start w:val="1"/>
    </w:lvl>
  </w:abstractNum>
  <w:abstractNum w:abstractNumId="109">
    <w:nsid w:val="175DFCF0"/>
    <w:multiLevelType w:val="hybridMultilevel"/>
    <w:lvl w:ilvl="0">
      <w:lvlJc w:val="left"/>
      <w:lvlText w:val="(%1)"/>
      <w:numFmt w:val="lowerRoman"/>
      <w:start w:val="1"/>
    </w:lvl>
  </w:abstractNum>
  <w:abstractNum w:abstractNumId="110">
    <w:nsid w:val="4F97E3E4"/>
    <w:multiLevelType w:val="hybridMultilevel"/>
    <w:lvl w:ilvl="0">
      <w:lvlJc w:val="left"/>
      <w:lvlText w:val="(%1)"/>
      <w:numFmt w:val="lowerRoman"/>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
      <w:numFmt w:val="bullet"/>
      <w:start w:val="1"/>
    </w:lvl>
  </w:abstractNum>
  <w:abstractNum w:abstractNumId="115">
    <w:nsid w:val="519E3149"/>
    <w:multiLevelType w:val="hybridMultilevel"/>
    <w:lvl w:ilvl="0">
      <w:lvlJc w:val="left"/>
      <w:lvlText w:val="(%1)"/>
      <w:numFmt w:val="lowerRoman"/>
      <w:start w:val="1"/>
    </w:lvl>
  </w:abstractNum>
  <w:abstractNum w:abstractNumId="116">
    <w:nsid w:val="2C6E4AFD"/>
    <w:multiLevelType w:val="hybridMultilevel"/>
    <w:lvl w:ilvl="0">
      <w:lvlJc w:val="left"/>
      <w:lvlText w:val="•"/>
      <w:numFmt w:val="bullet"/>
      <w:start w:val="1"/>
    </w:lvl>
  </w:abstractNum>
  <w:abstractNum w:abstractNumId="117">
    <w:nsid w:val="17A1B582"/>
    <w:multiLevelType w:val="hybridMultilevel"/>
    <w:lvl w:ilvl="0">
      <w:lvlJc w:val="left"/>
      <w:lvlText w:val="•"/>
      <w:numFmt w:val="bullet"/>
      <w:start w:val="1"/>
    </w:lvl>
  </w:abstractNum>
  <w:abstractNum w:abstractNumId="118">
    <w:nsid w:val="4DF72E4E"/>
    <w:multiLevelType w:val="hybridMultilevel"/>
    <w:lvl w:ilvl="0">
      <w:lvlJc w:val="left"/>
      <w:lvlText w:val="•"/>
      <w:numFmt w:val="bullet"/>
      <w:start w:val="1"/>
    </w:lvl>
  </w:abstractNum>
  <w:abstractNum w:abstractNumId="119">
    <w:nsid w:val="5046B5A9"/>
    <w:multiLevelType w:val="hybridMultilevel"/>
    <w:lvl w:ilvl="0">
      <w:lvlJc w:val="left"/>
      <w:lvlText w:val="•"/>
      <w:numFmt w:val="bullet"/>
      <w:start w:val="1"/>
    </w:lvl>
  </w:abstractNum>
  <w:abstractNum w:abstractNumId="120">
    <w:nsid w:val="5D888A08"/>
    <w:multiLevelType w:val="hybridMultilevel"/>
    <w:lvl w:ilvl="0">
      <w:lvlJc w:val="left"/>
      <w:lvlText w:val="•"/>
      <w:numFmt w:val="bullet"/>
      <w:start w:val="1"/>
    </w:lvl>
  </w:abstractNum>
  <w:abstractNum w:abstractNumId="121">
    <w:nsid w:val="2A082C70"/>
    <w:multiLevelType w:val="hybridMultilevel"/>
    <w:lvl w:ilvl="0">
      <w:lvlJc w:val="left"/>
      <w:lvlText w:val="(%1)"/>
      <w:numFmt w:val="lowerRoman"/>
      <w:start w:val="1"/>
    </w:lvl>
  </w:abstractNum>
  <w:abstractNum w:abstractNumId="122">
    <w:nsid w:val="5EC6AFD4"/>
    <w:multiLevelType w:val="hybridMultilevel"/>
    <w:lvl w:ilvl="0">
      <w:lvlJc w:val="left"/>
      <w:lvlText w:val="•"/>
      <w:numFmt w:val="bullet"/>
      <w:start w:val="1"/>
    </w:lvl>
  </w:abstractNum>
  <w:abstractNum w:abstractNumId="123">
    <w:nsid w:val="19E21BB2"/>
    <w:multiLevelType w:val="hybridMultilevel"/>
    <w:lvl w:ilvl="0">
      <w:lvlJc w:val="left"/>
      <w:lvlText w:val="•"/>
      <w:numFmt w:val="bullet"/>
      <w:start w:val="1"/>
    </w:lvl>
  </w:abstractNum>
  <w:abstractNum w:abstractNumId="124">
    <w:nsid w:val="75E0858A"/>
    <w:multiLevelType w:val="hybridMultilevel"/>
    <w:lvl w:ilvl="0">
      <w:lvlJc w:val="left"/>
      <w:lvlText w:val="•"/>
      <w:numFmt w:val="bullet"/>
      <w:start w:val="1"/>
    </w:lvl>
  </w:abstractNum>
  <w:abstractNum w:abstractNumId="125">
    <w:nsid w:val="57A61A29"/>
    <w:multiLevelType w:val="hybridMultilevel"/>
    <w:lvl w:ilvl="0">
      <w:lvlJc w:val="left"/>
      <w:lvlText w:val="•"/>
      <w:numFmt w:val="bullet"/>
      <w:start w:val="1"/>
    </w:lvl>
  </w:abstractNum>
  <w:abstractNum w:abstractNumId="126">
    <w:nsid w:val="5399C654"/>
    <w:multiLevelType w:val="hybridMultilevel"/>
    <w:lvl w:ilvl="0">
      <w:lvlJc w:val="left"/>
      <w:lvlText w:val="•"/>
      <w:numFmt w:val="bullet"/>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
      <w:numFmt w:val="bullet"/>
      <w:start w:val="1"/>
    </w:lvl>
    <w:lvl w:ilvl="1">
      <w:lvlJc w:val="left"/>
      <w:lvlText w:val="•"/>
      <w:numFmt w:val="bullet"/>
      <w:start w:val="1"/>
    </w:lvl>
  </w:abstractNum>
  <w:abstractNum w:abstractNumId="132">
    <w:nsid w:val="57D2F10E"/>
    <w:multiLevelType w:val="hybridMultilevel"/>
    <w:lvl w:ilvl="0">
      <w:lvlJc w:val="left"/>
      <w:lvlText w:val="%1."/>
      <w:numFmt w:val="decimal"/>
      <w:start w:val="11"/>
    </w:lvl>
  </w:abstractNum>
  <w:abstractNum w:abstractNumId="133">
    <w:nsid w:val="BFFAE18"/>
    <w:multiLevelType w:val="hybridMultilevel"/>
    <w:lvl w:ilvl="0">
      <w:lvlJc w:val="left"/>
      <w:lvlText w:val="%1."/>
      <w:numFmt w:val="decimal"/>
      <w:start w:val="12"/>
    </w:lvl>
  </w:abstractNum>
  <w:abstractNum w:abstractNumId="134">
    <w:nsid w:val="E3E47A8"/>
    <w:multiLevelType w:val="hybridMultilevel"/>
    <w:lvl w:ilvl="0">
      <w:lvlJc w:val="left"/>
      <w:lvlText w:val="%1."/>
      <w:numFmt w:val="decimal"/>
      <w:start w:val="18"/>
    </w:lvl>
  </w:abstractNum>
  <w:abstractNum w:abstractNumId="135">
    <w:nsid w:val="2E48F044"/>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2019-12-03T15:04:23Z</dcterms:created>
  <dcterms:modified xsi:type="dcterms:W3CDTF">2019-12-03T15:04:23Z</dcterms:modified>
</cp:coreProperties>
</file>