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234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27, 2023</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60"/>
        </w:trPr>
        <w:tc>
          <w:tcPr>
            <w:tcW w:w="4100" w:type="dxa"/>
            <w:vAlign w:val="bottom"/>
          </w:tcPr>
          <w:p>
            <w:pPr>
              <w:jc w:val="center"/>
              <w:ind w:right="2050"/>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03"/>
        </w:trPr>
        <w:tc>
          <w:tcPr>
            <w:tcW w:w="4100" w:type="dxa"/>
            <w:vAlign w:val="bottom"/>
          </w:tcPr>
          <w:p>
            <w:pPr>
              <w:jc w:val="center"/>
              <w:ind w:right="2050"/>
              <w:spacing w:after="0" w:line="202" w:lineRule="exact"/>
              <w:rPr>
                <w:sz w:val="20"/>
                <w:szCs w:val="20"/>
                <w:color w:val="auto"/>
              </w:rPr>
            </w:pPr>
            <w:r>
              <w:rPr>
                <w:rFonts w:ascii="Arial" w:cs="Arial" w:eastAsia="Arial" w:hAnsi="Arial"/>
                <w:sz w:val="18"/>
                <w:szCs w:val="18"/>
                <w:color w:val="auto"/>
                <w:w w:val="91"/>
              </w:rPr>
              <w:t>(State or Other Jurisdiction</w:t>
            </w:r>
          </w:p>
        </w:tc>
        <w:tc>
          <w:tcPr>
            <w:tcW w:w="2400" w:type="dxa"/>
            <w:vAlign w:val="bottom"/>
          </w:tcPr>
          <w:p>
            <w:pPr>
              <w:jc w:val="center"/>
              <w:ind w:right="1070"/>
              <w:spacing w:after="0" w:line="202" w:lineRule="exact"/>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10"/>
              <w:spacing w:after="0" w:line="202" w:lineRule="exact"/>
              <w:rPr>
                <w:sz w:val="20"/>
                <w:szCs w:val="20"/>
                <w:color w:val="auto"/>
              </w:rPr>
            </w:pPr>
            <w:r>
              <w:rPr>
                <w:rFonts w:ascii="Arial" w:cs="Arial" w:eastAsia="Arial" w:hAnsi="Arial"/>
                <w:sz w:val="18"/>
                <w:szCs w:val="18"/>
                <w:color w:val="auto"/>
                <w:w w:val="92"/>
              </w:rPr>
              <w:t>(I.R.S. Employer</w:t>
            </w:r>
          </w:p>
        </w:tc>
      </w:tr>
      <w:tr>
        <w:trPr>
          <w:trHeight w:val="244"/>
        </w:trPr>
        <w:tc>
          <w:tcPr>
            <w:tcW w:w="4100" w:type="dxa"/>
            <w:vAlign w:val="bottom"/>
          </w:tcPr>
          <w:p>
            <w:pPr>
              <w:jc w:val="center"/>
              <w:ind w:right="2050"/>
              <w:spacing w:after="0"/>
              <w:rPr>
                <w:sz w:val="20"/>
                <w:szCs w:val="20"/>
                <w:color w:val="auto"/>
              </w:rPr>
            </w:pPr>
            <w:r>
              <w:rPr>
                <w:rFonts w:ascii="Arial" w:cs="Arial" w:eastAsia="Arial" w:hAnsi="Arial"/>
                <w:sz w:val="18"/>
                <w:szCs w:val="18"/>
                <w:color w:val="auto"/>
                <w:w w:val="94"/>
              </w:rPr>
              <w:t>of Incorporation)</w:t>
            </w:r>
          </w:p>
        </w:tc>
        <w:tc>
          <w:tcPr>
            <w:tcW w:w="2400" w:type="dxa"/>
            <w:vAlign w:val="bottom"/>
          </w:tcPr>
          <w:p>
            <w:pPr>
              <w:jc w:val="center"/>
              <w:ind w:right="105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252"/>
        </w:trPr>
        <w:tc>
          <w:tcPr>
            <w:tcW w:w="4100" w:type="dxa"/>
            <w:vAlign w:val="bottom"/>
          </w:tcPr>
          <w:p>
            <w:pPr>
              <w:jc w:val="center"/>
              <w:ind w:left="1510"/>
              <w:spacing w:after="0"/>
              <w:rPr>
                <w:sz w:val="20"/>
                <w:szCs w:val="20"/>
                <w:color w:val="auto"/>
              </w:rPr>
            </w:pPr>
            <w:r>
              <w:rPr>
                <w:rFonts w:ascii="Arial" w:cs="Arial" w:eastAsia="Arial" w:hAnsi="Arial"/>
                <w:sz w:val="18"/>
                <w:szCs w:val="18"/>
                <w:b w:val="1"/>
                <w:bCs w:val="1"/>
                <w:color w:val="auto"/>
                <w:w w:val="87"/>
              </w:rPr>
              <w:t>1177 Avenue of the Americas</w:t>
            </w:r>
          </w:p>
        </w:tc>
        <w:tc>
          <w:tcPr>
            <w:tcW w:w="24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34"/>
        </w:trPr>
        <w:tc>
          <w:tcPr>
            <w:tcW w:w="4100" w:type="dxa"/>
            <w:vAlign w:val="bottom"/>
          </w:tcPr>
          <w:p>
            <w:pPr>
              <w:jc w:val="center"/>
              <w:ind w:left="1510"/>
              <w:spacing w:after="0"/>
              <w:rPr>
                <w:sz w:val="20"/>
                <w:szCs w:val="20"/>
                <w:color w:val="auto"/>
              </w:rPr>
            </w:pPr>
            <w:r>
              <w:rPr>
                <w:rFonts w:ascii="Arial" w:cs="Arial" w:eastAsia="Arial" w:hAnsi="Arial"/>
                <w:sz w:val="18"/>
                <w:szCs w:val="18"/>
                <w:b w:val="1"/>
                <w:bCs w:val="1"/>
                <w:color w:val="auto"/>
                <w:w w:val="93"/>
              </w:rPr>
              <w:t>New York, New York</w:t>
            </w:r>
          </w:p>
        </w:tc>
        <w:tc>
          <w:tcPr>
            <w:tcW w:w="2400" w:type="dxa"/>
            <w:vAlign w:val="bottom"/>
          </w:tcPr>
          <w:p>
            <w:pPr>
              <w:spacing w:after="0"/>
              <w:rPr>
                <w:sz w:val="20"/>
                <w:szCs w:val="20"/>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b w:val="1"/>
                <w:bCs w:val="1"/>
                <w:color w:val="auto"/>
              </w:rPr>
              <w:t>10036</w:t>
            </w:r>
          </w:p>
        </w:tc>
      </w:tr>
      <w:tr>
        <w:trPr>
          <w:trHeight w:val="257"/>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5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20" w:type="dxa"/>
            <w:vAlign w:val="bottom"/>
          </w:tcPr>
          <w:p>
            <w:pPr>
              <w:spacing w:after="0"/>
              <w:rPr>
                <w:sz w:val="24"/>
                <w:szCs w:val="24"/>
                <w:color w:val="auto"/>
              </w:rPr>
            </w:pPr>
          </w:p>
        </w:tc>
        <w:tc>
          <w:tcPr>
            <w:tcW w:w="2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vMerge w:val="continue"/>
          </w:tcPr>
          <w:p>
            <w:pPr>
              <w:spacing w:after="0"/>
              <w:rPr>
                <w:sz w:val="19"/>
                <w:szCs w:val="19"/>
                <w:color w:val="auto"/>
              </w:rPr>
            </w:pPr>
          </w:p>
        </w:tc>
        <w:tc>
          <w:tcPr>
            <w:tcW w:w="420" w:type="dxa"/>
            <w:vAlign w:val="bottom"/>
          </w:tcPr>
          <w:p>
            <w:pPr>
              <w:spacing w:after="0"/>
              <w:rPr>
                <w:sz w:val="19"/>
                <w:szCs w:val="19"/>
                <w:color w:val="auto"/>
              </w:rPr>
            </w:pPr>
          </w:p>
        </w:tc>
        <w:tc>
          <w:tcPr>
            <w:tcW w:w="2820" w:type="dxa"/>
            <w:vAlign w:val="bottom"/>
            <w:tcBorders>
              <w:bottom w:val="single" w:sz="8" w:color="auto"/>
            </w:tcBorders>
            <w:vMerge w:val="continue"/>
          </w:tcPr>
          <w:p>
            <w:pPr>
              <w:spacing w:after="0"/>
              <w:rPr>
                <w:sz w:val="19"/>
                <w:szCs w:val="19"/>
                <w:color w:val="auto"/>
              </w:rPr>
            </w:pPr>
          </w:p>
        </w:tc>
        <w:tc>
          <w:tcPr>
            <w:tcW w:w="4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w:t>
            </w:r>
          </w:p>
        </w:tc>
        <w:tc>
          <w:tcPr>
            <w:tcW w:w="0" w:type="dxa"/>
            <w:vAlign w:val="bottom"/>
          </w:tcPr>
          <w:p>
            <w:pPr>
              <w:spacing w:after="0"/>
              <w:rPr>
                <w:sz w:val="1"/>
                <w:szCs w:val="1"/>
                <w:color w:val="auto"/>
              </w:rPr>
            </w:pP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$0.00001</w:t>
            </w:r>
          </w:p>
        </w:tc>
        <w:tc>
          <w:tcPr>
            <w:tcW w:w="42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29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234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July 27, 2023, Tradeweb Markets Inc. (the “Company”) issued a press release, a copy of which is furnished as Exhibit 99.1 hereto and incorporated herein by reference, announcing financial results for the quarter ended June 30, 2023.</w:t>
      </w:r>
    </w:p>
    <w:p>
      <w:pPr>
        <w:spacing w:after="0" w:line="19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gridSpan w:val="2"/>
            <w:vMerge w:val="restart"/>
          </w:tcPr>
          <w:p>
            <w:pPr>
              <w:ind w:left="398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340" w:type="dxa"/>
            <w:vAlign w:val="bottom"/>
            <w:gridSpan w:val="2"/>
          </w:tcPr>
          <w:p>
            <w:pPr>
              <w:ind w:left="2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60" w:type="dxa"/>
            <w:vAlign w:val="bottom"/>
            <w:gridSpan w:val="3"/>
          </w:tcPr>
          <w:p>
            <w:pPr>
              <w:ind w:left="20"/>
              <w:spacing w:after="0"/>
              <w:rPr>
                <w:sz w:val="20"/>
                <w:szCs w:val="20"/>
                <w:color w:val="auto"/>
              </w:rPr>
            </w:pPr>
            <w:r>
              <w:rPr>
                <w:rFonts w:ascii="Arial" w:cs="Arial" w:eastAsia="Arial" w:hAnsi="Arial"/>
                <w:sz w:val="18"/>
                <w:szCs w:val="18"/>
                <w:color w:val="0000FF"/>
              </w:rPr>
              <w:t>Press Release of Tradeweb Markets Inc., dated July 27, 2023.</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6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TRADEWEB MARKETS INC.</w:t>
      </w:r>
    </w:p>
    <w:p>
      <w:pPr>
        <w:spacing w:after="0" w:line="293" w:lineRule="exact"/>
        <w:rPr>
          <w:sz w:val="20"/>
          <w:szCs w:val="20"/>
          <w:color w:val="auto"/>
        </w:rPr>
      </w:pPr>
    </w:p>
    <w:p>
      <w:pPr>
        <w:ind w:left="20"/>
        <w:spacing w:after="0"/>
        <w:tabs>
          <w:tab w:leader="none" w:pos="7260" w:val="left"/>
          <w:tab w:leader="none" w:pos="780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23495</wp:posOffset>
            </wp:positionV>
            <wp:extent cx="217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 Douglas Friedman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920"/>
          </w:cols>
          <w:pgMar w:left="320" w:top="1134" w:right="659" w:bottom="1440" w:gutter="0" w:footer="0" w:header="0"/>
        </w:sectPr>
      </w:pPr>
    </w:p>
    <w:bookmarkStart w:id="3" w:name="page4"/>
    <w:bookmarkEnd w:id="3"/>
    <w:tbl>
      <w:tblPr>
        <w:tblLayout w:type="fixed"/>
        <w:tblInd w:w="5820" w:type="dxa"/>
        <w:tblCellMar>
          <w:top w:w="0" w:type="dxa"/>
          <w:left w:w="0" w:type="dxa"/>
          <w:bottom w:w="0" w:type="dxa"/>
          <w:right w:w="0" w:type="dxa"/>
        </w:tblCellMar>
      </w:tblPr>
      <w:tr>
        <w:trPr>
          <w:trHeight w:val="227"/>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083566"/>
              </w:rPr>
              <w:t>Investor Relations</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083566"/>
              </w:rPr>
              <w:t>Media Relations</w:t>
            </w:r>
          </w:p>
        </w:tc>
        <w:tc>
          <w:tcPr>
            <w:tcW w:w="0" w:type="dxa"/>
            <w:vAlign w:val="bottom"/>
          </w:tcPr>
          <w:p>
            <w:pPr>
              <w:spacing w:after="0"/>
              <w:rPr>
                <w:sz w:val="1"/>
                <w:szCs w:val="1"/>
                <w:color w:val="auto"/>
              </w:rPr>
            </w:pPr>
          </w:p>
        </w:tc>
      </w:tr>
      <w:tr>
        <w:trPr>
          <w:trHeight w:val="34"/>
        </w:trPr>
        <w:tc>
          <w:tcPr>
            <w:tcW w:w="2300" w:type="dxa"/>
            <w:vAlign w:val="bottom"/>
            <w:vMerge w:val="continue"/>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4680" w:type="dxa"/>
            <w:vAlign w:val="bottom"/>
            <w:gridSpan w:val="2"/>
          </w:tcPr>
          <w:p>
            <w:pPr>
              <w:spacing w:after="0" w:line="189" w:lineRule="exact"/>
              <w:rPr>
                <w:sz w:val="20"/>
                <w:szCs w:val="20"/>
                <w:color w:val="auto"/>
              </w:rPr>
            </w:pPr>
            <w:r>
              <w:rPr>
                <w:rFonts w:ascii="Arial" w:cs="Arial" w:eastAsia="Arial" w:hAnsi="Arial"/>
                <w:sz w:val="12"/>
                <w:szCs w:val="12"/>
                <w:color w:val="auto"/>
              </w:rPr>
              <w:t xml:space="preserve">Ashley Serrao + 1 646 430 6027 </w:t>
            </w:r>
            <w:r>
              <w:rPr>
                <w:rFonts w:ascii="Arial" w:cs="Arial" w:eastAsia="Arial" w:hAnsi="Arial"/>
                <w:sz w:val="21"/>
                <w:szCs w:val="21"/>
                <w:color w:val="auto"/>
                <w:vertAlign w:val="superscript"/>
              </w:rPr>
              <w:t>Daniel Noonan + 1 646 767</w:t>
            </w:r>
          </w:p>
        </w:tc>
        <w:tc>
          <w:tcPr>
            <w:tcW w:w="0" w:type="dxa"/>
            <w:vAlign w:val="bottom"/>
          </w:tcPr>
          <w:p>
            <w:pPr>
              <w:spacing w:after="0"/>
              <w:rPr>
                <w:sz w:val="1"/>
                <w:szCs w:val="1"/>
                <w:color w:val="auto"/>
              </w:rPr>
            </w:pPr>
          </w:p>
        </w:tc>
      </w:tr>
      <w:tr>
        <w:trPr>
          <w:trHeight w:val="138"/>
        </w:trPr>
        <w:tc>
          <w:tcPr>
            <w:tcW w:w="2300" w:type="dxa"/>
            <w:vAlign w:val="bottom"/>
            <w:vMerge w:val="restart"/>
          </w:tcPr>
          <w:p>
            <w:pPr>
              <w:spacing w:after="0"/>
              <w:rPr>
                <w:sz w:val="20"/>
                <w:szCs w:val="20"/>
                <w:color w:val="auto"/>
              </w:rPr>
            </w:pPr>
            <w:r>
              <w:rPr>
                <w:rFonts w:ascii="Arial" w:cs="Arial" w:eastAsia="Arial" w:hAnsi="Arial"/>
                <w:sz w:val="16"/>
                <w:szCs w:val="16"/>
                <w:color w:val="auto"/>
              </w:rPr>
              <w:t>Ashley.Serrao@Tradeweb.com</w:t>
            </w:r>
          </w:p>
        </w:tc>
        <w:tc>
          <w:tcPr>
            <w:tcW w:w="2380" w:type="dxa"/>
            <w:vAlign w:val="bottom"/>
          </w:tcPr>
          <w:p>
            <w:pPr>
              <w:ind w:left="80"/>
              <w:spacing w:after="0" w:line="138" w:lineRule="exact"/>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07"/>
        </w:trPr>
        <w:tc>
          <w:tcPr>
            <w:tcW w:w="2300" w:type="dxa"/>
            <w:vAlign w:val="bottom"/>
            <w:vMerge w:val="continue"/>
          </w:tcPr>
          <w:p>
            <w:pPr>
              <w:spacing w:after="0"/>
              <w:rPr>
                <w:sz w:val="17"/>
                <w:szCs w:val="17"/>
                <w:color w:val="auto"/>
              </w:rPr>
            </w:pPr>
          </w:p>
        </w:tc>
        <w:tc>
          <w:tcPr>
            <w:tcW w:w="2380" w:type="dxa"/>
            <w:vAlign w:val="bottom"/>
          </w:tcPr>
          <w:p>
            <w:pPr>
              <w:ind w:left="80"/>
              <w:spacing w:after="0"/>
              <w:rPr>
                <w:sz w:val="20"/>
                <w:szCs w:val="20"/>
                <w:color w:val="auto"/>
              </w:rPr>
            </w:pPr>
            <w:r>
              <w:rPr>
                <w:rFonts w:ascii="Arial" w:cs="Arial" w:eastAsia="Arial" w:hAnsi="Arial"/>
                <w:sz w:val="16"/>
                <w:szCs w:val="16"/>
                <w:color w:val="auto"/>
              </w:rPr>
              <w:t>Daniel.Noonan@Tradeweb.com</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SECOND QUARTER 2023 FINANCIAL RESULTS</w:t>
      </w:r>
    </w:p>
    <w:p>
      <w:pPr>
        <w:spacing w:after="0" w:line="224"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b w:val="1"/>
          <w:bCs w:val="1"/>
          <w:color w:val="auto"/>
        </w:rPr>
        <w:t xml:space="preserve">New York, July 27, 2023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67310</wp:posOffset>
            </wp:positionV>
            <wp:extent cx="3060065" cy="2503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0065" cy="2503170"/>
                    </a:xfrm>
                    <a:prstGeom prst="rect">
                      <a:avLst/>
                    </a:prstGeom>
                    <a:noFill/>
                  </pic:spPr>
                </pic:pic>
              </a:graphicData>
            </a:graphic>
          </wp:anchor>
        </w:drawing>
      </w:r>
    </w:p>
    <w:p>
      <w:pPr>
        <w:sectPr>
          <w:pgSz w:w="11900" w:h="16838" w:orient="portrait"/>
          <w:cols w:equalWidth="0" w:num="1">
            <w:col w:w="10860"/>
          </w:cols>
          <w:pgMar w:left="320" w:top="283" w:right="719" w:bottom="1440" w:gutter="0" w:footer="0" w:header="0"/>
        </w:sectPr>
      </w:pPr>
    </w:p>
    <w:p>
      <w:pPr>
        <w:spacing w:after="0" w:line="115" w:lineRule="exact"/>
        <w:rPr>
          <w:sz w:val="20"/>
          <w:szCs w:val="20"/>
          <w:color w:val="auto"/>
        </w:rPr>
      </w:pPr>
    </w:p>
    <w:p>
      <w:pPr>
        <w:ind w:left="20" w:right="300"/>
        <w:spacing w:after="0" w:line="286" w:lineRule="auto"/>
        <w:rPr>
          <w:sz w:val="20"/>
          <w:szCs w:val="20"/>
          <w:color w:val="auto"/>
        </w:rPr>
      </w:pPr>
      <w:r>
        <w:rPr>
          <w:rFonts w:ascii="Arial" w:cs="Arial" w:eastAsia="Arial" w:hAnsi="Arial"/>
          <w:sz w:val="16"/>
          <w:szCs w:val="16"/>
          <w:b w:val="1"/>
          <w:bCs w:val="1"/>
          <w:color w:val="auto"/>
        </w:rPr>
        <w:t xml:space="preserve">$310.6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4.5% </w:t>
      </w:r>
      <w:r>
        <w:rPr>
          <w:rFonts w:ascii="Arial" w:cs="Arial" w:eastAsia="Arial" w:hAnsi="Arial"/>
          <w:sz w:val="16"/>
          <w:szCs w:val="16"/>
          <w:color w:val="auto"/>
        </w:rPr>
        <w:t>(</w:t>
      </w:r>
      <w:r>
        <w:rPr>
          <w:rFonts w:ascii="Arial" w:cs="Arial" w:eastAsia="Arial" w:hAnsi="Arial"/>
          <w:sz w:val="16"/>
          <w:szCs w:val="16"/>
          <w:b w:val="1"/>
          <w:bCs w:val="1"/>
          <w:color w:val="auto"/>
        </w:rPr>
        <w:t xml:space="preserve">4.4%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65" w:lineRule="auto"/>
        <w:rPr>
          <w:sz w:val="20"/>
          <w:szCs w:val="20"/>
          <w:color w:val="auto"/>
        </w:rPr>
      </w:pPr>
      <w:r>
        <w:rPr>
          <w:rFonts w:ascii="Arial" w:cs="Arial" w:eastAsia="Arial" w:hAnsi="Arial"/>
          <w:sz w:val="16"/>
          <w:szCs w:val="16"/>
          <w:b w:val="1"/>
          <w:bCs w:val="1"/>
          <w:color w:val="auto"/>
        </w:rPr>
        <w:t xml:space="preserve">$1.3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10.2% </w:t>
      </w:r>
      <w:r>
        <w:rPr>
          <w:rFonts w:ascii="Arial" w:cs="Arial" w:eastAsia="Arial" w:hAnsi="Arial"/>
          <w:sz w:val="16"/>
          <w:szCs w:val="16"/>
          <w:color w:val="auto"/>
        </w:rPr>
        <w:t xml:space="preserve">compared to prior year period; quarterly ADV records in global repurchase agreements and equity convertibles/swaps/options, and a record </w:t>
      </w:r>
      <w:r>
        <w:rPr>
          <w:rFonts w:ascii="Arial" w:cs="Arial" w:eastAsia="Arial" w:hAnsi="Arial"/>
          <w:sz w:val="16"/>
          <w:szCs w:val="16"/>
          <w:b w:val="1"/>
          <w:bCs w:val="1"/>
          <w:color w:val="auto"/>
        </w:rPr>
        <w:t>14.9%</w:t>
      </w:r>
      <w:r>
        <w:rPr>
          <w:rFonts w:ascii="Arial" w:cs="Arial" w:eastAsia="Arial" w:hAnsi="Arial"/>
          <w:sz w:val="16"/>
          <w:szCs w:val="16"/>
          <w:color w:val="auto"/>
        </w:rPr>
        <w:t xml:space="preserve"> share of fully electronic U.S. High Grade TRACE</w:t>
      </w:r>
    </w:p>
    <w:p>
      <w:pPr>
        <w:spacing w:after="0" w:line="65" w:lineRule="exact"/>
        <w:rPr>
          <w:sz w:val="20"/>
          <w:szCs w:val="20"/>
          <w:color w:val="auto"/>
        </w:rPr>
      </w:pPr>
    </w:p>
    <w:p>
      <w:pPr>
        <w:ind w:left="20" w:right="440"/>
        <w:spacing w:after="0" w:line="319" w:lineRule="auto"/>
        <w:rPr>
          <w:sz w:val="20"/>
          <w:szCs w:val="20"/>
          <w:color w:val="auto"/>
        </w:rPr>
      </w:pPr>
      <w:r>
        <w:rPr>
          <w:rFonts w:ascii="Arial" w:cs="Arial" w:eastAsia="Arial" w:hAnsi="Arial"/>
          <w:sz w:val="16"/>
          <w:szCs w:val="16"/>
          <w:b w:val="1"/>
          <w:bCs w:val="1"/>
          <w:color w:val="auto"/>
        </w:rPr>
        <w:t xml:space="preserve">$101.9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$123.7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24.9%</w:t>
      </w:r>
      <w:r>
        <w:rPr>
          <w:rFonts w:ascii="Arial" w:cs="Arial" w:eastAsia="Arial" w:hAnsi="Arial"/>
          <w:sz w:val="16"/>
          <w:szCs w:val="16"/>
          <w:color w:val="auto"/>
        </w:rPr>
        <w:t xml:space="preserve"> and </w:t>
      </w:r>
      <w:r>
        <w:rPr>
          <w:rFonts w:ascii="Arial" w:cs="Arial" w:eastAsia="Arial" w:hAnsi="Arial"/>
          <w:sz w:val="16"/>
          <w:szCs w:val="16"/>
          <w:b w:val="1"/>
          <w:bCs w:val="1"/>
          <w:color w:val="auto"/>
        </w:rPr>
        <w:t>10.8%</w:t>
      </w:r>
      <w:r>
        <w:rPr>
          <w:rFonts w:ascii="Arial" w:cs="Arial" w:eastAsia="Arial" w:hAnsi="Arial"/>
          <w:sz w:val="16"/>
          <w:szCs w:val="16"/>
          <w:color w:val="auto"/>
        </w:rPr>
        <w:t xml:space="preserve"> respectively from prior year period</w:t>
      </w:r>
    </w:p>
    <w:p>
      <w:pPr>
        <w:spacing w:after="0" w:line="10"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b w:val="1"/>
          <w:bCs w:val="1"/>
          <w:color w:val="auto"/>
        </w:rPr>
        <w:t xml:space="preserve">52.5%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$163.1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52.4% and $155.6 million respectively for prior year period</w:t>
      </w:r>
    </w:p>
    <w:p>
      <w:pPr>
        <w:spacing w:after="0" w:line="61" w:lineRule="exact"/>
        <w:rPr>
          <w:sz w:val="20"/>
          <w:szCs w:val="20"/>
          <w:color w:val="auto"/>
        </w:rPr>
      </w:pPr>
    </w:p>
    <w:p>
      <w:pPr>
        <w:ind w:left="20" w:right="460"/>
        <w:spacing w:after="0" w:line="286" w:lineRule="auto"/>
        <w:rPr>
          <w:sz w:val="20"/>
          <w:szCs w:val="20"/>
          <w:color w:val="auto"/>
        </w:rPr>
      </w:pPr>
      <w:r>
        <w:rPr>
          <w:rFonts w:ascii="Arial" w:cs="Arial" w:eastAsia="Arial" w:hAnsi="Arial"/>
          <w:sz w:val="16"/>
          <w:szCs w:val="16"/>
          <w:b w:val="1"/>
          <w:bCs w:val="1"/>
          <w:color w:val="auto"/>
        </w:rPr>
        <w:t xml:space="preserve">$0.42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$0.52 </w:t>
      </w:r>
      <w:r>
        <w:rPr>
          <w:rFonts w:ascii="Arial" w:cs="Arial" w:eastAsia="Arial" w:hAnsi="Arial"/>
          <w:sz w:val="16"/>
          <w:szCs w:val="16"/>
          <w:color w:val="auto"/>
        </w:rPr>
        <w:t>adjusted diluted earnings per share</w:t>
      </w:r>
    </w:p>
    <w:p>
      <w:pPr>
        <w:spacing w:after="0" w:line="48" w:lineRule="exact"/>
        <w:rPr>
          <w:sz w:val="20"/>
          <w:szCs w:val="20"/>
          <w:color w:val="auto"/>
        </w:rPr>
      </w:pPr>
    </w:p>
    <w:p>
      <w:pPr>
        <w:ind w:left="20" w:right="560"/>
        <w:spacing w:after="0" w:line="304" w:lineRule="auto"/>
        <w:rPr>
          <w:sz w:val="20"/>
          <w:szCs w:val="20"/>
          <w:color w:val="auto"/>
        </w:rPr>
      </w:pPr>
      <w:r>
        <w:rPr>
          <w:rFonts w:ascii="Arial" w:cs="Arial" w:eastAsia="Arial" w:hAnsi="Arial"/>
          <w:sz w:val="16"/>
          <w:szCs w:val="16"/>
          <w:b w:val="1"/>
          <w:bCs w:val="1"/>
          <w:color w:val="auto"/>
        </w:rPr>
        <w:t xml:space="preserve">$0.09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$7.6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Billy Hult, CEO of Tradeweb:</w:t>
      </w:r>
    </w:p>
    <w:p>
      <w:pPr>
        <w:spacing w:after="0" w:line="54" w:lineRule="exact"/>
        <w:rPr>
          <w:sz w:val="20"/>
          <w:szCs w:val="20"/>
          <w:color w:val="auto"/>
        </w:rPr>
      </w:pPr>
    </w:p>
    <w:p>
      <w:pPr>
        <w:ind w:right="240"/>
        <w:spacing w:after="0" w:line="227" w:lineRule="auto"/>
        <w:rPr>
          <w:sz w:val="20"/>
          <w:szCs w:val="20"/>
          <w:color w:val="auto"/>
        </w:rPr>
      </w:pPr>
      <w:r>
        <w:rPr>
          <w:rFonts w:ascii="Arial" w:cs="Arial" w:eastAsia="Arial" w:hAnsi="Arial"/>
          <w:sz w:val="16"/>
          <w:szCs w:val="16"/>
          <w:color w:val="auto"/>
        </w:rPr>
        <w:t>“Market conditions steadily improved during the second quarter, with our business performing well against a backdrop of mixed</w:t>
      </w:r>
    </w:p>
    <w:p>
      <w:pPr>
        <w:spacing w:after="0" w:line="1" w:lineRule="exact"/>
        <w:rPr>
          <w:sz w:val="20"/>
          <w:szCs w:val="20"/>
          <w:color w:val="auto"/>
        </w:rPr>
      </w:pPr>
    </w:p>
    <w:p>
      <w:pPr>
        <w:jc w:val="both"/>
        <w:ind w:right="100"/>
        <w:spacing w:after="0" w:line="228" w:lineRule="auto"/>
        <w:rPr>
          <w:sz w:val="20"/>
          <w:szCs w:val="20"/>
          <w:color w:val="auto"/>
        </w:rPr>
      </w:pPr>
      <w:r>
        <w:rPr>
          <w:rFonts w:ascii="Arial" w:cs="Arial" w:eastAsia="Arial" w:hAnsi="Arial"/>
          <w:sz w:val="16"/>
          <w:szCs w:val="16"/>
          <w:color w:val="auto"/>
        </w:rPr>
        <w:t>markets. We produced double-digit revenue growth across global government bonds, U.S. and European Credit, equity derivatives, and money markets. In Credit, we captured a record 16.0% share of fully-electronic U.S. High Grade TRACE for the month of June</w:t>
      </w:r>
    </w:p>
    <w:p>
      <w:pPr>
        <w:spacing w:after="0" w:line="3" w:lineRule="exact"/>
        <w:rPr>
          <w:sz w:val="20"/>
          <w:szCs w:val="20"/>
          <w:color w:val="auto"/>
        </w:rPr>
      </w:pPr>
    </w:p>
    <w:p>
      <w:pPr>
        <w:ind w:right="160"/>
        <w:spacing w:after="0" w:line="220" w:lineRule="auto"/>
        <w:rPr>
          <w:sz w:val="20"/>
          <w:szCs w:val="20"/>
          <w:color w:val="auto"/>
        </w:rPr>
      </w:pPr>
      <w:r>
        <w:rPr>
          <w:rFonts w:ascii="Arial" w:cs="Arial" w:eastAsia="Arial" w:hAnsi="Arial"/>
          <w:sz w:val="16"/>
          <w:szCs w:val="16"/>
          <w:color w:val="auto"/>
        </w:rPr>
        <w:t>and a record 14.9% for the quarter. It was not long ago that our share of U.S. High Grade was in the single digits, and we remain</w:t>
      </w:r>
    </w:p>
    <w:p>
      <w:pPr>
        <w:ind w:right="100"/>
        <w:spacing w:after="0" w:line="228" w:lineRule="auto"/>
        <w:rPr>
          <w:sz w:val="20"/>
          <w:szCs w:val="20"/>
          <w:color w:val="auto"/>
        </w:rPr>
      </w:pPr>
      <w:r>
        <w:rPr>
          <w:rFonts w:ascii="Arial" w:cs="Arial" w:eastAsia="Arial" w:hAnsi="Arial"/>
          <w:sz w:val="16"/>
          <w:szCs w:val="16"/>
          <w:color w:val="auto"/>
        </w:rPr>
        <w:t>confident in our ability to realize continued market share growth. More broadly, one theme playing a huge role across all of our markets is automation. Average daily trades through our AiEX automation tool grew by 90% in Treasuries and 70% in Credit this</w:t>
      </w:r>
    </w:p>
    <w:p>
      <w:pPr>
        <w:spacing w:after="0" w:line="3" w:lineRule="exact"/>
        <w:rPr>
          <w:sz w:val="20"/>
          <w:szCs w:val="20"/>
          <w:color w:val="auto"/>
        </w:rPr>
      </w:pPr>
    </w:p>
    <w:p>
      <w:pPr>
        <w:ind w:right="460"/>
        <w:spacing w:after="0" w:line="220" w:lineRule="auto"/>
        <w:rPr>
          <w:sz w:val="20"/>
          <w:szCs w:val="20"/>
          <w:color w:val="auto"/>
        </w:rPr>
      </w:pPr>
      <w:r>
        <w:rPr>
          <w:rFonts w:ascii="Arial" w:cs="Arial" w:eastAsia="Arial" w:hAnsi="Arial"/>
          <w:sz w:val="16"/>
          <w:szCs w:val="16"/>
          <w:color w:val="auto"/>
        </w:rPr>
        <w:t>quarter compared with prior year period. In Market Data, we continue to evolve our Ai-Price bond-pricing engine with new</w:t>
      </w:r>
    </w:p>
    <w:p>
      <w:pPr>
        <w:ind w:right="300"/>
        <w:spacing w:after="0" w:line="242" w:lineRule="auto"/>
        <w:rPr>
          <w:sz w:val="20"/>
          <w:szCs w:val="20"/>
          <w:color w:val="auto"/>
        </w:rPr>
      </w:pPr>
      <w:r>
        <w:rPr>
          <w:rFonts w:ascii="Arial" w:cs="Arial" w:eastAsia="Arial" w:hAnsi="Arial"/>
          <w:sz w:val="16"/>
          <w:szCs w:val="16"/>
          <w:color w:val="auto"/>
        </w:rPr>
        <w:t>innovations such as this quarter’s launch of benchmark closing prices for European government bonds with FTSE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466090</wp:posOffset>
            </wp:positionV>
            <wp:extent cx="306006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0065" cy="565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280"/>
            <w:col w:w="4800"/>
          </w:cols>
          <w:pgMar w:left="320" w:top="283" w:right="71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40" w:type="dxa"/>
            <w:vAlign w:val="bottom"/>
            <w:shd w:val="clear" w:color="auto" w:fill="083566"/>
          </w:tcPr>
          <w:p>
            <w:pPr>
              <w:spacing w:after="0"/>
              <w:rPr>
                <w:sz w:val="18"/>
                <w:szCs w:val="18"/>
                <w:color w:val="auto"/>
              </w:rPr>
            </w:pPr>
          </w:p>
        </w:tc>
        <w:tc>
          <w:tcPr>
            <w:tcW w:w="200" w:type="dxa"/>
            <w:vAlign w:val="bottom"/>
            <w:shd w:val="clear" w:color="auto" w:fill="083566"/>
          </w:tcPr>
          <w:p>
            <w:pPr>
              <w:spacing w:after="0"/>
              <w:rPr>
                <w:sz w:val="18"/>
                <w:szCs w:val="18"/>
                <w:color w:val="auto"/>
              </w:rPr>
            </w:pPr>
          </w:p>
        </w:tc>
        <w:tc>
          <w:tcPr>
            <w:tcW w:w="900" w:type="dxa"/>
            <w:vAlign w:val="bottom"/>
            <w:shd w:val="clear" w:color="auto" w:fill="083566"/>
          </w:tcPr>
          <w:p>
            <w:pPr>
              <w:spacing w:after="0"/>
              <w:rPr>
                <w:sz w:val="18"/>
                <w:szCs w:val="18"/>
                <w:color w:val="auto"/>
              </w:rPr>
            </w:pPr>
          </w:p>
        </w:tc>
        <w:tc>
          <w:tcPr>
            <w:tcW w:w="200" w:type="dxa"/>
            <w:vAlign w:val="bottom"/>
            <w:shd w:val="clear" w:color="auto" w:fill="083566"/>
          </w:tcPr>
          <w:p>
            <w:pPr>
              <w:spacing w:after="0"/>
              <w:rPr>
                <w:sz w:val="18"/>
                <w:szCs w:val="18"/>
                <w:color w:val="auto"/>
              </w:rPr>
            </w:pPr>
          </w:p>
        </w:tc>
        <w:tc>
          <w:tcPr>
            <w:tcW w:w="980" w:type="dxa"/>
            <w:vAlign w:val="bottom"/>
            <w:shd w:val="clear" w:color="auto" w:fill="083566"/>
          </w:tcPr>
          <w:p>
            <w:pPr>
              <w:spacing w:after="0"/>
              <w:rPr>
                <w:sz w:val="18"/>
                <w:szCs w:val="18"/>
                <w:color w:val="auto"/>
              </w:rPr>
            </w:pPr>
          </w:p>
        </w:tc>
        <w:tc>
          <w:tcPr>
            <w:tcW w:w="880" w:type="dxa"/>
            <w:vAlign w:val="bottom"/>
            <w:shd w:val="clear" w:color="auto" w:fill="083566"/>
          </w:tcPr>
          <w:p>
            <w:pPr>
              <w:spacing w:after="0"/>
              <w:rPr>
                <w:sz w:val="18"/>
                <w:szCs w:val="18"/>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8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0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64"/>
        </w:trPr>
        <w:tc>
          <w:tcPr>
            <w:tcW w:w="18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00" w:type="dxa"/>
            <w:vAlign w:val="bottom"/>
            <w:shd w:val="clear" w:color="auto" w:fill="083566"/>
          </w:tcPr>
          <w:p>
            <w:pPr>
              <w:spacing w:after="0"/>
              <w:rPr>
                <w:sz w:val="23"/>
                <w:szCs w:val="23"/>
                <w:color w:val="auto"/>
              </w:rPr>
            </w:pPr>
          </w:p>
        </w:tc>
        <w:tc>
          <w:tcPr>
            <w:tcW w:w="90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2Q23</w:t>
            </w:r>
          </w:p>
        </w:tc>
        <w:tc>
          <w:tcPr>
            <w:tcW w:w="200" w:type="dxa"/>
            <w:vAlign w:val="bottom"/>
            <w:shd w:val="clear" w:color="auto" w:fill="083566"/>
          </w:tcPr>
          <w:p>
            <w:pPr>
              <w:spacing w:after="0"/>
              <w:rPr>
                <w:sz w:val="23"/>
                <w:szCs w:val="23"/>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2Q22</w:t>
            </w:r>
          </w:p>
        </w:tc>
        <w:tc>
          <w:tcPr>
            <w:tcW w:w="8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right"/>
              <w:ind w:right="1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26"/>
        </w:trPr>
        <w:tc>
          <w:tcPr>
            <w:tcW w:w="500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19"/>
                <w:szCs w:val="19"/>
                <w:color w:val="auto"/>
              </w:rPr>
            </w:pPr>
          </w:p>
        </w:tc>
        <w:tc>
          <w:tcPr>
            <w:tcW w:w="380" w:type="dxa"/>
            <w:vAlign w:val="bottom"/>
            <w:shd w:val="clear" w:color="auto" w:fill="083566"/>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9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310,613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297,138</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4.5 %</w:t>
            </w: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40" w:type="dxa"/>
            <w:vAlign w:val="bottom"/>
          </w:tcPr>
          <w:p>
            <w:pPr>
              <w:ind w:left="140"/>
              <w:spacing w:after="0"/>
              <w:rPr>
                <w:sz w:val="20"/>
                <w:szCs w:val="20"/>
                <w:color w:val="auto"/>
              </w:rPr>
            </w:pPr>
            <w:r>
              <w:rPr>
                <w:rFonts w:ascii="Arial" w:cs="Arial" w:eastAsia="Arial" w:hAnsi="Arial"/>
                <w:sz w:val="16"/>
                <w:szCs w:val="16"/>
                <w:color w:val="auto"/>
              </w:rPr>
              <w:t>Rates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160,354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151,586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5.8 %</w:t>
            </w:r>
          </w:p>
        </w:tc>
        <w:tc>
          <w:tcPr>
            <w:tcW w:w="560" w:type="dxa"/>
            <w:vAlign w:val="bottom"/>
          </w:tcPr>
          <w:p>
            <w:pPr>
              <w:jc w:val="right"/>
              <w:spacing w:after="0"/>
              <w:rPr>
                <w:sz w:val="20"/>
                <w:szCs w:val="20"/>
                <w:color w:val="auto"/>
              </w:rPr>
            </w:pPr>
            <w:r>
              <w:rPr>
                <w:rFonts w:ascii="Arial" w:cs="Arial" w:eastAsia="Arial" w:hAnsi="Arial"/>
                <w:sz w:val="16"/>
                <w:szCs w:val="16"/>
                <w:color w:val="auto"/>
              </w:rPr>
              <w:t>5.6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40" w:type="dxa"/>
            <w:vAlign w:val="bottom"/>
          </w:tcPr>
          <w:p>
            <w:pPr>
              <w:ind w:left="140"/>
              <w:spacing w:after="0"/>
              <w:rPr>
                <w:sz w:val="20"/>
                <w:szCs w:val="20"/>
                <w:color w:val="auto"/>
              </w:rPr>
            </w:pPr>
            <w:r>
              <w:rPr>
                <w:rFonts w:ascii="Arial" w:cs="Arial" w:eastAsia="Arial" w:hAnsi="Arial"/>
                <w:sz w:val="16"/>
                <w:szCs w:val="16"/>
                <w:color w:val="auto"/>
              </w:rPr>
              <w:t>Credit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84,048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83,991</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0.1 %</w:t>
            </w: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22,146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22,659</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(2.3) %</w:t>
            </w: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43"/>
        </w:trPr>
        <w:tc>
          <w:tcPr>
            <w:tcW w:w="18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15,834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12,166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30.1 %</w:t>
            </w: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22,776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21,030</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8.3 %</w:t>
            </w:r>
          </w:p>
        </w:tc>
        <w:tc>
          <w:tcPr>
            <w:tcW w:w="560" w:type="dxa"/>
            <w:vAlign w:val="bottom"/>
          </w:tcPr>
          <w:p>
            <w:pPr>
              <w:jc w:val="right"/>
              <w:spacing w:after="0"/>
              <w:rPr>
                <w:sz w:val="20"/>
                <w:szCs w:val="20"/>
                <w:color w:val="auto"/>
              </w:rPr>
            </w:pPr>
            <w:r>
              <w:rPr>
                <w:rFonts w:ascii="Arial" w:cs="Arial" w:eastAsia="Arial" w:hAnsi="Arial"/>
                <w:sz w:val="16"/>
                <w:szCs w:val="16"/>
                <w:color w:val="auto"/>
              </w:rPr>
              <w:t>8.2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40" w:type="dxa"/>
            <w:vAlign w:val="bottom"/>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5,455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5,706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(4.4) %</w:t>
            </w: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57"/>
        </w:trPr>
        <w:tc>
          <w:tcPr>
            <w:tcW w:w="1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101,939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81,600</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24.9 %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8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4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89,082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68,344</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30.3 %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8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0.42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0.33</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27.3 %</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8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27.5 %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+536 bps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40" w:type="dxa"/>
            <w:vAlign w:val="bottom"/>
            <w:tcBorders>
              <w:bottom w:val="single" w:sz="8" w:color="D5DCE4"/>
            </w:tcBorders>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tcBorders>
              <w:bottom w:val="single" w:sz="8" w:color="D5DCE4"/>
            </w:tcBorders>
            <w:shd w:val="clear" w:color="auto" w:fill="D5DCE4"/>
          </w:tcPr>
          <w:p>
            <w:pPr>
              <w:spacing w:after="0"/>
              <w:rPr>
                <w:sz w:val="21"/>
                <w:szCs w:val="21"/>
                <w:color w:val="auto"/>
              </w:rPr>
            </w:pPr>
          </w:p>
        </w:tc>
        <w:tc>
          <w:tcPr>
            <w:tcW w:w="980" w:type="dxa"/>
            <w:vAlign w:val="bottom"/>
            <w:tcBorders>
              <w:bottom w:val="single" w:sz="8" w:color="D5DCE4"/>
            </w:tcBorders>
            <w:shd w:val="clear" w:color="auto" w:fill="D5DCE4"/>
          </w:tcPr>
          <w:p>
            <w:pPr>
              <w:spacing w:after="0"/>
              <w:rPr>
                <w:sz w:val="21"/>
                <w:szCs w:val="21"/>
                <w:color w:val="auto"/>
              </w:rPr>
            </w:pPr>
          </w:p>
        </w:tc>
        <w:tc>
          <w:tcPr>
            <w:tcW w:w="880" w:type="dxa"/>
            <w:vAlign w:val="bottom"/>
            <w:tcBorders>
              <w:bottom w:val="single" w:sz="8" w:color="D5DCE4"/>
            </w:tcBorders>
            <w:shd w:val="clear" w:color="auto" w:fill="D5DCE4"/>
          </w:tcPr>
          <w:p>
            <w:pPr>
              <w:spacing w:after="0"/>
              <w:rPr>
                <w:sz w:val="21"/>
                <w:szCs w:val="21"/>
                <w:color w:val="auto"/>
              </w:rPr>
            </w:pPr>
          </w:p>
        </w:tc>
        <w:tc>
          <w:tcPr>
            <w:tcW w:w="560" w:type="dxa"/>
            <w:vAlign w:val="bottom"/>
            <w:tcBorders>
              <w:bottom w:val="single" w:sz="8" w:color="D5DCE4"/>
            </w:tcBorders>
            <w:shd w:val="clear" w:color="auto" w:fill="D5DCE4"/>
          </w:tcPr>
          <w:p>
            <w:pPr>
              <w:spacing w:after="0"/>
              <w:rPr>
                <w:sz w:val="21"/>
                <w:szCs w:val="21"/>
                <w:color w:val="auto"/>
              </w:rPr>
            </w:pPr>
          </w:p>
        </w:tc>
        <w:tc>
          <w:tcPr>
            <w:tcW w:w="380" w:type="dxa"/>
            <w:vAlign w:val="bottom"/>
            <w:tcBorders>
              <w:bottom w:val="single" w:sz="8" w:color="D5DCE4"/>
            </w:tcBorders>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84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163,055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155,621</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4.8 %</w:t>
            </w:r>
          </w:p>
        </w:tc>
        <w:tc>
          <w:tcPr>
            <w:tcW w:w="560" w:type="dxa"/>
            <w:vAlign w:val="bottom"/>
          </w:tcPr>
          <w:p>
            <w:pPr>
              <w:jc w:val="right"/>
              <w:spacing w:after="0"/>
              <w:rPr>
                <w:sz w:val="20"/>
                <w:szCs w:val="20"/>
                <w:color w:val="auto"/>
              </w:rPr>
            </w:pPr>
            <w:r>
              <w:rPr>
                <w:rFonts w:ascii="Arial" w:cs="Arial" w:eastAsia="Arial" w:hAnsi="Arial"/>
                <w:sz w:val="16"/>
                <w:szCs w:val="16"/>
                <w:color w:val="auto"/>
              </w:rPr>
              <w:t>4.9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840" w:type="dxa"/>
            <w:vAlign w:val="bottom"/>
          </w:tcPr>
          <w:p>
            <w:pPr>
              <w:ind w:left="20"/>
              <w:spacing w:after="0" w:line="158" w:lineRule="exact"/>
              <w:rPr>
                <w:sz w:val="20"/>
                <w:szCs w:val="20"/>
                <w:color w:val="auto"/>
              </w:rPr>
            </w:pPr>
            <w:r>
              <w:rPr>
                <w:rFonts w:ascii="Arial" w:cs="Arial" w:eastAsia="Arial" w:hAnsi="Arial"/>
                <w:sz w:val="16"/>
                <w:szCs w:val="16"/>
                <w:color w:val="auto"/>
              </w:rPr>
              <w:t>Adjusted EBITDA margin</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52.5 %</w:t>
            </w:r>
          </w:p>
        </w:tc>
        <w:tc>
          <w:tcPr>
            <w:tcW w:w="200" w:type="dxa"/>
            <w:vAlign w:val="bottom"/>
          </w:tcPr>
          <w:p>
            <w:pPr>
              <w:spacing w:after="0"/>
              <w:rPr>
                <w:sz w:val="13"/>
                <w:szCs w:val="13"/>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52.4 %</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+12 bps</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+27 bps</w:t>
            </w:r>
          </w:p>
        </w:tc>
        <w:tc>
          <w:tcPr>
            <w:tcW w:w="0" w:type="dxa"/>
            <w:vAlign w:val="bottom"/>
          </w:tcPr>
          <w:p>
            <w:pPr>
              <w:spacing w:after="0"/>
              <w:rPr>
                <w:sz w:val="1"/>
                <w:szCs w:val="1"/>
                <w:color w:val="auto"/>
              </w:rPr>
            </w:pPr>
          </w:p>
        </w:tc>
      </w:tr>
      <w:tr>
        <w:trPr>
          <w:trHeight w:val="131"/>
        </w:trPr>
        <w:tc>
          <w:tcPr>
            <w:tcW w:w="1840" w:type="dxa"/>
            <w:vAlign w:val="bottom"/>
          </w:tcPr>
          <w:p>
            <w:pPr>
              <w:ind w:left="20"/>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84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148,797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142,612</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4.3 %</w:t>
            </w: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4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47.9 %</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48.0 %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 bps</w:t>
            </w: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123,749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111,659</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10.8 %</w:t>
            </w:r>
          </w:p>
        </w:tc>
        <w:tc>
          <w:tcPr>
            <w:tcW w:w="560" w:type="dxa"/>
            <w:vAlign w:val="bottom"/>
          </w:tcPr>
          <w:p>
            <w:pPr>
              <w:jc w:val="right"/>
              <w:spacing w:after="0"/>
              <w:rPr>
                <w:sz w:val="20"/>
                <w:szCs w:val="20"/>
                <w:color w:val="auto"/>
              </w:rPr>
            </w:pPr>
            <w:r>
              <w:rPr>
                <w:rFonts w:ascii="Arial" w:cs="Arial" w:eastAsia="Arial" w:hAnsi="Arial"/>
                <w:sz w:val="16"/>
                <w:szCs w:val="16"/>
                <w:color w:val="auto"/>
              </w:rPr>
              <w:t>11.1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1840" w:type="dxa"/>
            <w:vAlign w:val="bottom"/>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0.52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0.47</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10.6 %</w:t>
            </w: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8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FFFFFF"/>
              </w:rPr>
              <w:t>2Q23</w:t>
            </w:r>
          </w:p>
        </w:tc>
        <w:tc>
          <w:tcPr>
            <w:tcW w:w="22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FFFFFF"/>
              </w:rPr>
              <w:t>2Q22</w:t>
            </w: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231"/>
        </w:trPr>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341</w:t>
            </w: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43"/>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429</w:t>
            </w:r>
          </w:p>
        </w:tc>
        <w:tc>
          <w:tcPr>
            <w:tcW w:w="220" w:type="dxa"/>
            <w:vAlign w:val="bottom"/>
          </w:tcPr>
          <w:p>
            <w:pPr>
              <w:spacing w:after="0"/>
              <w:rPr>
                <w:sz w:val="21"/>
                <w:szCs w:val="21"/>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368</w:t>
            </w:r>
          </w:p>
        </w:tc>
        <w:tc>
          <w:tcPr>
            <w:tcW w:w="880" w:type="dxa"/>
            <w:vAlign w:val="bottom"/>
          </w:tcPr>
          <w:p>
            <w:pPr>
              <w:jc w:val="right"/>
              <w:spacing w:after="0"/>
              <w:rPr>
                <w:sz w:val="20"/>
                <w:szCs w:val="20"/>
                <w:color w:val="auto"/>
              </w:rPr>
            </w:pPr>
            <w:r>
              <w:rPr>
                <w:rFonts w:ascii="Arial" w:cs="Arial" w:eastAsia="Arial" w:hAnsi="Arial"/>
                <w:sz w:val="16"/>
                <w:szCs w:val="16"/>
                <w:color w:val="auto"/>
              </w:rPr>
              <w:t>16.8 %</w:t>
            </w:r>
          </w:p>
        </w:tc>
      </w:tr>
      <w:tr>
        <w:trPr>
          <w:trHeight w:val="33"/>
        </w:trPr>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118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083566"/>
            </w:tcBorders>
            <w:shd w:val="clear" w:color="auto" w:fill="D5DCE4"/>
          </w:tcPr>
          <w:p>
            <w:pPr>
              <w:spacing w:after="0"/>
              <w:rPr>
                <w:sz w:val="20"/>
                <w:szCs w:val="20"/>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774</w:t>
            </w:r>
          </w:p>
        </w:tc>
        <w:tc>
          <w:tcPr>
            <w:tcW w:w="220" w:type="dxa"/>
            <w:vAlign w:val="bottom"/>
            <w:tcBorders>
              <w:bottom w:val="single" w:sz="8" w:color="083566"/>
            </w:tcBorders>
            <w:shd w:val="clear" w:color="auto" w:fill="D5DCE4"/>
          </w:tcPr>
          <w:p>
            <w:pPr>
              <w:spacing w:after="0"/>
              <w:rPr>
                <w:sz w:val="20"/>
                <w:szCs w:val="20"/>
                <w:color w:val="auto"/>
              </w:rPr>
            </w:pPr>
          </w:p>
        </w:tc>
        <w:tc>
          <w:tcPr>
            <w:tcW w:w="76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709</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9.2 %</w:t>
            </w:r>
          </w:p>
        </w:tc>
      </w:tr>
      <w:tr>
        <w:trPr>
          <w:trHeight w:val="223"/>
        </w:trPr>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66"/>
        </w:trPr>
        <w:tc>
          <w:tcPr>
            <w:tcW w:w="1180" w:type="dxa"/>
            <w:vAlign w:val="bottom"/>
          </w:tcPr>
          <w:p>
            <w:pPr>
              <w:spacing w:after="0"/>
              <w:rPr>
                <w:sz w:val="23"/>
                <w:szCs w:val="23"/>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3"/>
                <w:szCs w:val="23"/>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88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46"/>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083566"/>
            </w:tcBorders>
            <w:shd w:val="clear" w:color="auto" w:fill="D5DCE4"/>
          </w:tcPr>
          <w:p>
            <w:pPr>
              <w:spacing w:after="0"/>
              <w:rPr>
                <w:sz w:val="21"/>
                <w:szCs w:val="21"/>
                <w:color w:val="auto"/>
              </w:rPr>
            </w:pPr>
          </w:p>
        </w:tc>
        <w:tc>
          <w:tcPr>
            <w:tcW w:w="76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27</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(28.8)%</w:t>
            </w:r>
          </w:p>
        </w:tc>
      </w:tr>
      <w:tr>
        <w:trPr>
          <w:trHeight w:val="223"/>
        </w:trPr>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66"/>
        </w:trPr>
        <w:tc>
          <w:tcPr>
            <w:tcW w:w="1180" w:type="dxa"/>
            <w:vAlign w:val="bottom"/>
          </w:tcPr>
          <w:p>
            <w:pPr>
              <w:spacing w:after="0"/>
              <w:rPr>
                <w:sz w:val="23"/>
                <w:szCs w:val="23"/>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3"/>
                <w:szCs w:val="23"/>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39.7 %</w:t>
            </w:r>
          </w:p>
        </w:tc>
      </w:tr>
      <w:tr>
        <w:trPr>
          <w:trHeight w:val="266"/>
        </w:trPr>
        <w:tc>
          <w:tcPr>
            <w:tcW w:w="1180" w:type="dxa"/>
            <w:vAlign w:val="bottom"/>
          </w:tcPr>
          <w:p>
            <w:pPr>
              <w:spacing w:after="0"/>
              <w:rPr>
                <w:sz w:val="23"/>
                <w:szCs w:val="23"/>
                <w:color w:val="auto"/>
              </w:rPr>
            </w:pPr>
          </w:p>
        </w:tc>
        <w:tc>
          <w:tcPr>
            <w:tcW w:w="1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D5DCE4"/>
            </w:tcBorders>
            <w:shd w:val="clear" w:color="auto" w:fill="D5DCE4"/>
          </w:tcPr>
          <w:p>
            <w:pPr>
              <w:spacing w:after="0"/>
              <w:rPr>
                <w:sz w:val="23"/>
                <w:szCs w:val="23"/>
                <w:color w:val="auto"/>
              </w:rPr>
            </w:pPr>
          </w:p>
        </w:tc>
        <w:tc>
          <w:tcPr>
            <w:tcW w:w="5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D5DCE4"/>
            </w:tcBorders>
            <w:shd w:val="clear" w:color="auto" w:fill="D5DCE4"/>
          </w:tcPr>
          <w:p>
            <w:pPr>
              <w:spacing w:after="0"/>
              <w:rPr>
                <w:sz w:val="23"/>
                <w:szCs w:val="23"/>
                <w:color w:val="auto"/>
              </w:rPr>
            </w:pPr>
          </w:p>
        </w:tc>
        <w:tc>
          <w:tcPr>
            <w:tcW w:w="760" w:type="dxa"/>
            <w:vAlign w:val="bottom"/>
            <w:tcBorders>
              <w:bottom w:val="single" w:sz="8" w:color="D5DCE4"/>
            </w:tcBorders>
            <w:shd w:val="clear" w:color="auto" w:fill="D5DCE4"/>
          </w:tcPr>
          <w:p>
            <w:pPr>
              <w:jc w:val="right"/>
              <w:ind w:right="179"/>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15.9 %</w:t>
            </w:r>
          </w:p>
        </w:tc>
      </w:tr>
      <w:tr>
        <w:trPr>
          <w:trHeight w:val="271"/>
        </w:trPr>
        <w:tc>
          <w:tcPr>
            <w:tcW w:w="2180" w:type="dxa"/>
            <w:vAlign w:val="bottom"/>
            <w:tcBorders>
              <w:top w:val="single" w:sz="8" w:color="083566"/>
            </w:tcBorders>
            <w:gridSpan w:val="2"/>
          </w:tcPr>
          <w:p>
            <w:pPr>
              <w:ind w:left="20"/>
              <w:spacing w:after="0"/>
              <w:rPr>
                <w:sz w:val="20"/>
                <w:szCs w:val="20"/>
                <w:color w:val="auto"/>
              </w:rPr>
            </w:pPr>
            <w:r>
              <w:rPr>
                <w:rFonts w:ascii="Arial" w:cs="Arial" w:eastAsia="Arial" w:hAnsi="Arial"/>
                <w:sz w:val="16"/>
                <w:szCs w:val="16"/>
                <w:color w:val="auto"/>
              </w:rPr>
              <w:t>Money Markets Cash</w:t>
            </w:r>
          </w:p>
        </w:tc>
        <w:tc>
          <w:tcPr>
            <w:tcW w:w="200" w:type="dxa"/>
            <w:vAlign w:val="bottom"/>
            <w:tcBorders>
              <w:top w:val="single" w:sz="8" w:color="083566"/>
            </w:tcBorders>
          </w:tcPr>
          <w:p>
            <w:pPr>
              <w:spacing w:after="0"/>
              <w:rPr>
                <w:sz w:val="23"/>
                <w:szCs w:val="23"/>
                <w:color w:val="auto"/>
              </w:rPr>
            </w:pPr>
          </w:p>
        </w:tc>
        <w:tc>
          <w:tcPr>
            <w:tcW w:w="580" w:type="dxa"/>
            <w:vAlign w:val="bottom"/>
            <w:tcBorders>
              <w:top w:val="single" w:sz="8" w:color="083566"/>
            </w:tcBorders>
          </w:tcPr>
          <w:p>
            <w:pPr>
              <w:jc w:val="right"/>
              <w:spacing w:after="0"/>
              <w:rPr>
                <w:sz w:val="20"/>
                <w:szCs w:val="20"/>
                <w:color w:val="auto"/>
              </w:rPr>
            </w:pPr>
            <w:r>
              <w:rPr>
                <w:rFonts w:ascii="Arial" w:cs="Arial" w:eastAsia="Arial" w:hAnsi="Arial"/>
                <w:sz w:val="16"/>
                <w:szCs w:val="16"/>
                <w:color w:val="auto"/>
              </w:rPr>
              <w:t>484</w:t>
            </w:r>
          </w:p>
        </w:tc>
        <w:tc>
          <w:tcPr>
            <w:tcW w:w="220" w:type="dxa"/>
            <w:vAlign w:val="bottom"/>
            <w:tcBorders>
              <w:top w:val="single" w:sz="8" w:color="083566"/>
            </w:tcBorders>
          </w:tcPr>
          <w:p>
            <w:pPr>
              <w:spacing w:after="0"/>
              <w:rPr>
                <w:sz w:val="23"/>
                <w:szCs w:val="23"/>
                <w:color w:val="auto"/>
              </w:rPr>
            </w:pPr>
          </w:p>
        </w:tc>
        <w:tc>
          <w:tcPr>
            <w:tcW w:w="760" w:type="dxa"/>
            <w:vAlign w:val="bottom"/>
            <w:tcBorders>
              <w:top w:val="single" w:sz="8" w:color="083566"/>
            </w:tcBorders>
          </w:tcPr>
          <w:p>
            <w:pPr>
              <w:jc w:val="right"/>
              <w:ind w:right="179"/>
              <w:spacing w:after="0"/>
              <w:rPr>
                <w:sz w:val="20"/>
                <w:szCs w:val="20"/>
                <w:color w:val="auto"/>
              </w:rPr>
            </w:pPr>
            <w:r>
              <w:rPr>
                <w:rFonts w:ascii="Arial" w:cs="Arial" w:eastAsia="Arial" w:hAnsi="Arial"/>
                <w:sz w:val="16"/>
                <w:szCs w:val="16"/>
                <w:color w:val="auto"/>
              </w:rPr>
              <w:t>424</w:t>
            </w:r>
          </w:p>
        </w:tc>
        <w:tc>
          <w:tcPr>
            <w:tcW w:w="880" w:type="dxa"/>
            <w:vAlign w:val="bottom"/>
            <w:tcBorders>
              <w:top w:val="single" w:sz="8" w:color="083566"/>
            </w:tcBorders>
          </w:tcPr>
          <w:p>
            <w:pPr>
              <w:jc w:val="right"/>
              <w:spacing w:after="0"/>
              <w:rPr>
                <w:sz w:val="20"/>
                <w:szCs w:val="20"/>
                <w:color w:val="auto"/>
              </w:rPr>
            </w:pPr>
            <w:r>
              <w:rPr>
                <w:rFonts w:ascii="Arial" w:cs="Arial" w:eastAsia="Arial" w:hAnsi="Arial"/>
                <w:sz w:val="16"/>
                <w:szCs w:val="16"/>
                <w:color w:val="auto"/>
              </w:rPr>
              <w:t>14.2 %</w:t>
            </w:r>
          </w:p>
        </w:tc>
      </w:tr>
      <w:tr>
        <w:trPr>
          <w:trHeight w:val="33"/>
        </w:trPr>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10"/>
        </w:trPr>
        <w:tc>
          <w:tcPr>
            <w:tcW w:w="1180" w:type="dxa"/>
            <w:vAlign w:val="bottom"/>
          </w:tcPr>
          <w:p>
            <w:pPr>
              <w:spacing w:after="0"/>
              <w:rPr>
                <w:sz w:val="24"/>
                <w:szCs w:val="24"/>
                <w:color w:val="auto"/>
              </w:rPr>
            </w:pPr>
          </w:p>
        </w:tc>
        <w:tc>
          <w:tcPr>
            <w:tcW w:w="1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D5DCE4"/>
            </w:tcBorders>
            <w:shd w:val="clear" w:color="auto" w:fill="D5DCE4"/>
          </w:tcPr>
          <w:p>
            <w:pPr>
              <w:spacing w:after="0"/>
              <w:rPr>
                <w:sz w:val="24"/>
                <w:szCs w:val="24"/>
                <w:color w:val="auto"/>
              </w:rPr>
            </w:pPr>
          </w:p>
        </w:tc>
        <w:tc>
          <w:tcPr>
            <w:tcW w:w="5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484</w:t>
            </w:r>
          </w:p>
        </w:tc>
        <w:tc>
          <w:tcPr>
            <w:tcW w:w="220" w:type="dxa"/>
            <w:vAlign w:val="bottom"/>
            <w:tcBorders>
              <w:bottom w:val="single" w:sz="8" w:color="D5DCE4"/>
            </w:tcBorders>
            <w:shd w:val="clear" w:color="auto" w:fill="D5DCE4"/>
          </w:tcPr>
          <w:p>
            <w:pPr>
              <w:spacing w:after="0"/>
              <w:rPr>
                <w:sz w:val="24"/>
                <w:szCs w:val="24"/>
                <w:color w:val="auto"/>
              </w:rPr>
            </w:pPr>
          </w:p>
        </w:tc>
        <w:tc>
          <w:tcPr>
            <w:tcW w:w="760" w:type="dxa"/>
            <w:vAlign w:val="bottom"/>
            <w:tcBorders>
              <w:bottom w:val="single" w:sz="8" w:color="D5DCE4"/>
            </w:tcBorders>
            <w:shd w:val="clear" w:color="auto" w:fill="D5DCE4"/>
          </w:tcPr>
          <w:p>
            <w:pPr>
              <w:jc w:val="right"/>
              <w:ind w:right="179"/>
              <w:spacing w:after="0"/>
              <w:rPr>
                <w:sz w:val="20"/>
                <w:szCs w:val="20"/>
                <w:color w:val="auto"/>
              </w:rPr>
            </w:pPr>
            <w:r>
              <w:rPr>
                <w:rFonts w:ascii="Arial" w:cs="Arial" w:eastAsia="Arial" w:hAnsi="Arial"/>
                <w:sz w:val="16"/>
                <w:szCs w:val="16"/>
                <w:color w:val="auto"/>
              </w:rPr>
              <w:t>424</w:t>
            </w:r>
          </w:p>
        </w:tc>
        <w:tc>
          <w:tcPr>
            <w:tcW w:w="8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14.2 %</w:t>
            </w:r>
          </w:p>
        </w:tc>
      </w:tr>
      <w:tr>
        <w:trPr>
          <w:trHeight w:val="236"/>
        </w:trPr>
        <w:tc>
          <w:tcPr>
            <w:tcW w:w="1180" w:type="dxa"/>
            <w:vAlign w:val="bottom"/>
            <w:tcBorders>
              <w:top w:val="single" w:sz="8" w:color="083566"/>
            </w:tcBorders>
          </w:tcPr>
          <w:p>
            <w:pPr>
              <w:spacing w:after="0"/>
              <w:rPr>
                <w:sz w:val="20"/>
                <w:szCs w:val="20"/>
                <w:color w:val="auto"/>
              </w:rPr>
            </w:pPr>
          </w:p>
        </w:tc>
        <w:tc>
          <w:tcPr>
            <w:tcW w:w="1000" w:type="dxa"/>
            <w:vAlign w:val="bottom"/>
            <w:tcBorders>
              <w:top w:val="single" w:sz="8" w:color="083566"/>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083566"/>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083566"/>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1,297</w:t>
            </w:r>
          </w:p>
        </w:tc>
        <w:tc>
          <w:tcPr>
            <w:tcW w:w="220" w:type="dxa"/>
            <w:vAlign w:val="bottom"/>
            <w:tcBorders>
              <w:top w:val="single" w:sz="8" w:color="083566"/>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1,176</w:t>
            </w:r>
          </w:p>
        </w:tc>
        <w:tc>
          <w:tcPr>
            <w:tcW w:w="880" w:type="dxa"/>
            <w:vAlign w:val="bottom"/>
            <w:tcBorders>
              <w:top w:val="single" w:sz="8" w:color="083566"/>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10.2 %</w:t>
            </w:r>
          </w:p>
        </w:tc>
      </w:tr>
    </w:tbl>
    <w:p>
      <w:pPr>
        <w:spacing w:after="0" w:line="200" w:lineRule="exact"/>
        <w:rPr>
          <w:sz w:val="20"/>
          <w:szCs w:val="20"/>
          <w:color w:val="auto"/>
        </w:rPr>
      </w:pPr>
    </w:p>
    <w:p>
      <w:pPr>
        <w:spacing w:after="0" w:line="317" w:lineRule="exact"/>
        <w:rPr>
          <w:sz w:val="20"/>
          <w:szCs w:val="20"/>
          <w:color w:val="auto"/>
        </w:rPr>
      </w:pPr>
    </w:p>
    <w:p>
      <w:pPr>
        <w:ind w:left="260" w:right="100" w:hanging="239"/>
        <w:spacing w:after="0" w:line="258" w:lineRule="auto"/>
        <w:tabs>
          <w:tab w:leader="none" w:pos="191"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ind w:left="200" w:hanging="179"/>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40" w:space="100"/>
            <w:col w:w="4820"/>
          </w:cols>
          <w:pgMar w:left="320" w:top="283" w:right="7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$160.4 million in the second quarter of 2023 increased 5.8% compared to prior year period (5.6% increase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9.2% from prior year period, driven by strong volumes in swaps/swaptions ≥ 1-year led in part by heightened trading in shorter dated instruments and 42% increase in compression and LIBOR-transition related activity as compared to prior year period. U.S. and European government bond volumes were supported by sustained rates market volatility.</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$84.0 million in the second quarter of 2023 increased 0.1% compared to prior year period (the same percentage increase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Credit ADV was down 28.8% from prior year period, as lower credit derivatives volumes reflected an overall decline in broader swap execution facility (SEF) market activity. Our share of fully electronic TRACE for U.S. High Grade was a record 14.9%, up 200 bps compared with prior year period, while U.S. High Yield was 6.2%, same as prior year period.</w:t>
      </w:r>
    </w:p>
    <w:p>
      <w:pPr>
        <w:spacing w:after="0" w:line="20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$22.1 million in the second quarter of 2023 decreased 2.3% compared to prior year period (2.9% decrease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15.9% from prior year period and we reported record ADV in equity convertibles/swaps/options in the quarter. U.S. ETF growth was driven by strong wholesale activity, while institutional client engagement remained robust. European ETF volumes reflected declining overall market volumes.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$15.8 million in the second quarter of 2023 increased 30.1% compared to prior year period (30.0% increase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driven by growth in our retail CDs and continued organic growth in institutional repurchase agreements. Money Markets ADV was up 14.2% from prior year period, led by record activity in global repurchase agreements and continued client adoption of Tradeweb's electronic trading solutions.</w:t>
      </w:r>
    </w:p>
    <w:p>
      <w:pPr>
        <w:spacing w:after="0" w:line="205"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$22.8 million in the second quarter of 2023 increased 8.3% compared to prior year period (8.2% increase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proprietary third party market data revenue.</w:t>
      </w:r>
    </w:p>
    <w:p>
      <w:pPr>
        <w:spacing w:after="0" w:line="168"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$5.5 million in the second quarter of 2023 decreased 4.4% compared to prior year period (the same percentage decrease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w:t>
      </w:r>
    </w:p>
    <w:p>
      <w:pPr>
        <w:spacing w:after="0" w:line="16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$194.3 million in the second quarter of 2023 increased 2.0% compared to $190.5 million in prior year period due to higher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and administrative expenses, higher technology and communications expenses and higher professional fee expenses. These increases were partially offset by a decrease in expenses related to employee compensation and benefits, primarily due to decreases in incentive compensation.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$161.8 million increased 4.7% (4.3% increase on a constant currency basis) compared to prior year period due to higher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communications expenses, higher general and administrative expenses and higher depreciation and amortization. Please see "Non-GAAP Financial Measures" below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2023</w:t>
      </w:r>
    </w:p>
    <w:p>
      <w:pPr>
        <w:spacing w:after="0" w:line="25" w:lineRule="exact"/>
        <w:rPr>
          <w:sz w:val="20"/>
          <w:szCs w:val="20"/>
          <w:color w:val="auto"/>
        </w:rPr>
      </w:pPr>
    </w:p>
    <w:p>
      <w:pPr>
        <w:ind w:left="660" w:right="140" w:hanging="328"/>
        <w:spacing w:after="0" w:line="25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Tradeweb agreed to acquire Yieldbroker, a leading Australian trading platform for Australian and New Zealand government bonds and interest rate derivatives covering the institutional, wholesale, and primary markets, subject to customary closing conditions and regulatory approvals.</w:t>
      </w:r>
    </w:p>
    <w:p>
      <w:pPr>
        <w:ind w:left="660" w:right="20" w:hanging="328"/>
        <w:spacing w:after="0" w:line="25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Tradeweb jointly announced a collaboration with Euroclear and Informa Global Markets to automate the security identification and setup process for soon-to-be issued syndicated Eurobonds in the primary market.</w:t>
      </w:r>
    </w:p>
    <w:p>
      <w:pPr>
        <w:ind w:left="660" w:right="120" w:hanging="328"/>
        <w:spacing w:after="0" w:line="25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Tradeweb facilitated its first transactions on Swap Connect, China’s new electronic trading channel for CNY interest rate swaps (IRS). Tradeweb is currently the only international electronic trading platform that supports both request-for-quote (RFQ) and click-to-trade (CTT) execution protocols on Swap Connect.</w:t>
      </w:r>
    </w:p>
    <w:p>
      <w:pPr>
        <w:ind w:left="660" w:right="460" w:hanging="328"/>
        <w:spacing w:after="0" w:line="25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Tradeweb, Bloomberg and MarketAxess entered into a joint venture agreement to establish an independent company for the purpose of participating in the public procurement procedure to become the fixed income consolidated tape provider in the European Union, all subject to relevant regulatory approvals.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Tradeweb collaborated with FTSE Russell to launch benchmark closing prices for European government bonds.</w:t>
      </w:r>
    </w:p>
    <w:p>
      <w:pPr>
        <w:spacing w:after="0" w:line="5" w:lineRule="exact"/>
        <w:rPr>
          <w:rFonts w:ascii="Arial" w:cs="Arial" w:eastAsia="Arial" w:hAnsi="Arial"/>
          <w:sz w:val="16"/>
          <w:szCs w:val="16"/>
          <w:color w:val="auto"/>
        </w:rPr>
      </w:pPr>
    </w:p>
    <w:p>
      <w:pPr>
        <w:ind w:left="660" w:right="160" w:hanging="328"/>
        <w:spacing w:after="0" w:line="25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Tradeweb was recognized in numerous awards celebrating our company, including: </w:t>
      </w:r>
      <w:r>
        <w:rPr>
          <w:rFonts w:ascii="Arial" w:cs="Arial" w:eastAsia="Arial" w:hAnsi="Arial"/>
          <w:sz w:val="16"/>
          <w:szCs w:val="16"/>
          <w:i w:val="1"/>
          <w:iCs w:val="1"/>
          <w:color w:val="242424"/>
        </w:rPr>
        <w:t>Portfolio Awards, Best Web Video (Financial Communications</w:t>
      </w:r>
      <w:r>
        <w:rPr>
          <w:rFonts w:ascii="Arial" w:cs="Arial" w:eastAsia="Arial" w:hAnsi="Arial"/>
          <w:sz w:val="16"/>
          <w:szCs w:val="16"/>
          <w:color w:val="auto"/>
        </w:rPr>
        <w:t xml:space="preserve"> </w:t>
      </w:r>
      <w:r>
        <w:rPr>
          <w:rFonts w:ascii="Arial" w:cs="Arial" w:eastAsia="Arial" w:hAnsi="Arial"/>
          <w:sz w:val="16"/>
          <w:szCs w:val="16"/>
          <w:i w:val="1"/>
          <w:iCs w:val="1"/>
          <w:color w:val="242424"/>
        </w:rPr>
        <w:t>Society), Portfolio Awards, Best Digital Collateral (Financial Communications Society), Portfolio Awards, Best Organic Social Media (Financial Communications Society), Inside Market Data &amp; Inside Reference Data Awards, Best Real-Time Market Data Initiative (WatersTechnology), Excellence in Trading &amp; Tech Awards, Best Fixed Income Trading Platform (Financial News), Excellence in Trading &amp; Tech Awards and Best OTC Trading Platform (Financial News).</w:t>
      </w:r>
    </w:p>
    <w:p>
      <w:pPr>
        <w:spacing w:after="0" w:line="2" w:lineRule="exact"/>
        <w:rPr>
          <w:rFonts w:ascii="Arial" w:cs="Arial" w:eastAsia="Arial" w:hAnsi="Arial"/>
          <w:sz w:val="16"/>
          <w:szCs w:val="16"/>
          <w:color w:val="auto"/>
        </w:rPr>
      </w:pPr>
    </w:p>
    <w:p>
      <w:pPr>
        <w:ind w:left="660" w:right="120" w:hanging="328"/>
        <w:spacing w:after="0" w:line="255" w:lineRule="auto"/>
        <w:tabs>
          <w:tab w:leader="none" w:pos="660" w:val="left"/>
        </w:tabs>
        <w:numPr>
          <w:ilvl w:val="0"/>
          <w:numId w:val="3"/>
        </w:numPr>
        <w:rPr>
          <w:rFonts w:ascii="Arial" w:cs="Arial" w:eastAsia="Arial" w:hAnsi="Arial"/>
          <w:sz w:val="16"/>
          <w:szCs w:val="16"/>
          <w:i w:val="1"/>
          <w:iCs w:val="1"/>
          <w:color w:val="242424"/>
        </w:rPr>
      </w:pPr>
      <w:r>
        <w:rPr>
          <w:rFonts w:ascii="Arial" w:cs="Arial" w:eastAsia="Arial" w:hAnsi="Arial"/>
          <w:sz w:val="16"/>
          <w:szCs w:val="16"/>
          <w:color w:val="auto"/>
        </w:rPr>
        <w:t>Jacques Aigrain succeeded Lee Olesky as Chair of the Board of Directors (the "Board") effective July 1, 2023. Mr. Olesky retired from the Board at the end of the second quarter of 2023.</w:t>
      </w:r>
    </w:p>
    <w:p>
      <w:pPr>
        <w:ind w:left="660" w:right="240" w:hanging="328"/>
        <w:spacing w:after="0" w:line="26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Catherine Johnson was elected to the Board at the 2023 Annual Meeting held on May 15, 2023. In addition, each of current directors Troy Dixon, Scott Ganeles and Murray Roos was elected to serve another term on the Board at the 2023 Annual Meeting.</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CAPITAL MANAGEMENT</w:t>
      </w:r>
    </w:p>
    <w:p>
      <w:pPr>
        <w:spacing w:after="0" w:line="1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$1.4 billion in cash and cash equivalents and an undrawn $500 million credit facility at June 30, 2023</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capital expenditures and capitalization of software development in the second quarter 2023: $15.0 million</w:t>
      </w:r>
    </w:p>
    <w:p>
      <w:pPr>
        <w:spacing w:after="0" w:line="12" w:lineRule="exact"/>
        <w:rPr>
          <w:rFonts w:ascii="Arial" w:cs="Arial" w:eastAsia="Arial" w:hAnsi="Arial"/>
          <w:sz w:val="16"/>
          <w:szCs w:val="16"/>
          <w:color w:val="auto"/>
        </w:rPr>
      </w:pPr>
    </w:p>
    <w:p>
      <w:pPr>
        <w:ind w:left="660" w:right="400" w:hanging="328"/>
        <w:spacing w:after="0" w:line="25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June 30, 2023 of $634.8 million, up 17.9% compared to prior year period. See “Non-GAAP Financial Measures” for additional information</w:t>
      </w:r>
    </w:p>
    <w:p>
      <w:pPr>
        <w:ind w:left="660" w:right="120" w:hanging="328"/>
        <w:spacing w:after="0" w:line="25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second quarter of 2023, as part of its share repurchase program, Tradeweb purchased 107,365 shares of Class A common stock, at an average price of $70.81, for purchases totaling $7.6 million. As of June 30, 2023, a total of $244.7 million remained available for repurchase pursuant to the share repurchase program</w:t>
      </w:r>
    </w:p>
    <w:p>
      <w:pPr>
        <w:ind w:left="660" w:right="20" w:hanging="328"/>
        <w:spacing w:after="0" w:line="25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$1.9 million in shares of Class A common stock were withheld in the second quarter of 2023 to satisfy tax obligations related to the exercise of stock options and vesting of restricted stock units and performance-based restricted stock units held by employees</w:t>
      </w:r>
    </w:p>
    <w:p>
      <w:pPr>
        <w:ind w:left="660" w:right="580" w:hanging="328"/>
        <w:spacing w:after="0" w:line="26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Board declared a quarterly cash dividend of $0.09 per share of Class A common stock and Class B common stock. The dividend will be payable on September 15, 2023 </w:t>
      </w:r>
      <w:r>
        <w:rPr>
          <w:rFonts w:ascii="Arial" w:cs="Arial" w:eastAsia="Arial" w:hAnsi="Arial"/>
          <w:sz w:val="17"/>
          <w:szCs w:val="17"/>
          <w:color w:val="auto"/>
        </w:rPr>
        <w:t>to stockholders of record as of September 1, 2023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Unchanged Full-Year 2023 Guidance*</w:t>
      </w:r>
    </w:p>
    <w:p>
      <w:pPr>
        <w:spacing w:after="0" w:line="12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Expenses: $669 - 714 million</w:t>
      </w:r>
    </w:p>
    <w:p>
      <w:pPr>
        <w:spacing w:after="0" w:line="17"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$127 million</w:t>
      </w:r>
    </w:p>
    <w:p>
      <w:pPr>
        <w:spacing w:after="0" w:line="1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Assumed non-GAAP tax rate: ~24% - 25%</w:t>
      </w:r>
    </w:p>
    <w:p>
      <w:pPr>
        <w:spacing w:after="0" w:line="1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costs of capital expenditures and capitalized software development: $56 - 62 million</w:t>
      </w:r>
    </w:p>
    <w:p>
      <w:pPr>
        <w:spacing w:after="0" w:line="250"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Current guidance is not reflective of any impact as a result of the pending 2023 Yieldbroker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35"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 xml:space="preserve">Tradeweb Markets will hold a conference call to discuss second quarter 2023 results starting at 9:30 AM EDT today, July 27, 2023.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To join the call via audio webcast, click here: https://edge.media-server.com/mmc/p/hfxjvxw7.</w:t>
      </w:r>
    </w:p>
    <w:p>
      <w:pPr>
        <w:spacing w:after="0" w:line="6" w:lineRule="exact"/>
        <w:rPr>
          <w:rFonts w:ascii="Arial" w:cs="Arial" w:eastAsia="Arial" w:hAnsi="Arial"/>
          <w:sz w:val="18"/>
          <w:szCs w:val="18"/>
          <w:color w:val="auto"/>
        </w:rPr>
      </w:pPr>
    </w:p>
    <w:p>
      <w:pPr>
        <w:ind w:left="660" w:right="60" w:hanging="328"/>
        <w:spacing w:after="0" w:line="28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join the call via phone, please register in advance here: https://register.vevent.com/register/BIfc63e47c64dc4781a0582131daf2e918. Registered participants will receive an email confirmation with a unique PIN to access the conference call.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$1.2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0"/>
        </w:trPr>
        <w:tc>
          <w:tcPr>
            <w:tcW w:w="4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bottom w:val="single" w:sz="8" w:color="D5DCE4"/>
            </w:tcBorders>
            <w:shd w:val="clear" w:color="auto" w:fill="D5DCE4"/>
          </w:tcPr>
          <w:p>
            <w:pPr>
              <w:spacing w:after="0"/>
              <w:rPr>
                <w:sz w:val="20"/>
                <w:szCs w:val="20"/>
                <w:color w:val="auto"/>
              </w:rPr>
            </w:pPr>
          </w:p>
        </w:tc>
        <w:tc>
          <w:tcPr>
            <w:tcW w:w="1260" w:type="dxa"/>
            <w:vAlign w:val="bottom"/>
            <w:tcBorders>
              <w:bottom w:val="single" w:sz="8" w:color="D5DCE4"/>
            </w:tcBorders>
            <w:shd w:val="clear" w:color="auto" w:fill="D5DCE4"/>
          </w:tcPr>
          <w:p>
            <w:pPr>
              <w:jc w:val="right"/>
              <w:ind w:right="239"/>
              <w:spacing w:after="0"/>
              <w:rPr>
                <w:sz w:val="20"/>
                <w:szCs w:val="20"/>
                <w:color w:val="auto"/>
              </w:rPr>
            </w:pPr>
            <w:r>
              <w:rPr>
                <w:rFonts w:ascii="Arial" w:cs="Arial" w:eastAsia="Arial" w:hAnsi="Arial"/>
                <w:sz w:val="16"/>
                <w:szCs w:val="16"/>
                <w:color w:val="auto"/>
              </w:rPr>
              <w:t>(unaudited)</w:t>
            </w:r>
          </w:p>
        </w:tc>
        <w:tc>
          <w:tcPr>
            <w:tcW w:w="10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jc w:val="right"/>
              <w:ind w:right="279"/>
              <w:spacing w:after="0"/>
              <w:rPr>
                <w:sz w:val="20"/>
                <w:szCs w:val="20"/>
                <w:color w:val="auto"/>
              </w:rPr>
            </w:pPr>
            <w:r>
              <w:rPr>
                <w:rFonts w:ascii="Arial" w:cs="Arial" w:eastAsia="Arial" w:hAnsi="Arial"/>
                <w:sz w:val="16"/>
                <w:szCs w:val="16"/>
                <w:color w:val="auto"/>
              </w:rPr>
              <w:t>(unaudited)</w:t>
            </w:r>
          </w:p>
        </w:tc>
        <w:tc>
          <w:tcPr>
            <w:tcW w:w="8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280" w:type="dxa"/>
            <w:vAlign w:val="bottom"/>
            <w:tcBorders>
              <w:bottom w:val="single" w:sz="8" w:color="D5DCE4"/>
            </w:tcBorders>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c>
          <w:tcPr>
            <w:tcW w:w="100" w:type="dxa"/>
            <w:vAlign w:val="bottom"/>
            <w:tcBorders>
              <w:bottom w:val="single" w:sz="8" w:color="D5DCE4"/>
            </w:tcBorders>
            <w:shd w:val="clear" w:color="auto" w:fill="D5DCE4"/>
          </w:tcPr>
          <w:p>
            <w:pPr>
              <w:spacing w:after="0"/>
              <w:rPr>
                <w:sz w:val="20"/>
                <w:szCs w:val="20"/>
                <w:color w:val="auto"/>
              </w:rPr>
            </w:pPr>
          </w:p>
        </w:tc>
        <w:tc>
          <w:tcPr>
            <w:tcW w:w="30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c>
          <w:tcPr>
            <w:tcW w:w="0" w:type="dxa"/>
            <w:vAlign w:val="bottom"/>
          </w:tcPr>
          <w:p>
            <w:pPr>
              <w:spacing w:after="0"/>
              <w:rPr>
                <w:sz w:val="1"/>
                <w:szCs w:val="1"/>
                <w:color w:val="auto"/>
              </w:rPr>
            </w:pPr>
          </w:p>
        </w:tc>
      </w:tr>
      <w:tr>
        <w:trPr>
          <w:trHeight w:val="233"/>
        </w:trPr>
        <w:tc>
          <w:tcPr>
            <w:tcW w:w="494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246,461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237,669</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513,059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489,474</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40" w:type="dxa"/>
            <w:vAlign w:val="bottom"/>
            <w:tcBorders>
              <w:bottom w:val="single" w:sz="8" w:color="D5DCE4"/>
            </w:tcBorders>
            <w:shd w:val="clear" w:color="auto" w:fill="D5DCE4"/>
          </w:tcPr>
          <w:p>
            <w:pPr>
              <w:spacing w:after="0"/>
              <w:rPr>
                <w:sz w:val="21"/>
                <w:szCs w:val="21"/>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45,748</w:t>
            </w:r>
          </w:p>
        </w:tc>
        <w:tc>
          <w:tcPr>
            <w:tcW w:w="100" w:type="dxa"/>
            <w:vAlign w:val="bottom"/>
            <w:tcBorders>
              <w:bottom w:val="single" w:sz="8" w:color="D5DCE4"/>
            </w:tcBorders>
            <w:shd w:val="clear" w:color="auto" w:fill="D5DCE4"/>
          </w:tcPr>
          <w:p>
            <w:pPr>
              <w:spacing w:after="0"/>
              <w:rPr>
                <w:sz w:val="21"/>
                <w:szCs w:val="21"/>
                <w:color w:val="auto"/>
              </w:rPr>
            </w:pPr>
          </w:p>
        </w:tc>
        <w:tc>
          <w:tcPr>
            <w:tcW w:w="320" w:type="dxa"/>
            <w:vAlign w:val="bottom"/>
            <w:tcBorders>
              <w:bottom w:val="single" w:sz="8" w:color="D5DCE4"/>
            </w:tcBorders>
            <w:shd w:val="clear" w:color="auto" w:fill="D5DCE4"/>
          </w:tcPr>
          <w:p>
            <w:pPr>
              <w:spacing w:after="0"/>
              <w:rPr>
                <w:sz w:val="21"/>
                <w:szCs w:val="21"/>
                <w:color w:val="auto"/>
              </w:rPr>
            </w:pPr>
          </w:p>
        </w:tc>
        <w:tc>
          <w:tcPr>
            <w:tcW w:w="120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41,540</w:t>
            </w:r>
          </w:p>
        </w:tc>
        <w:tc>
          <w:tcPr>
            <w:tcW w:w="8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2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90,122</w:t>
            </w:r>
          </w:p>
        </w:tc>
        <w:tc>
          <w:tcPr>
            <w:tcW w:w="100" w:type="dxa"/>
            <w:vAlign w:val="bottom"/>
            <w:tcBorders>
              <w:bottom w:val="single" w:sz="8" w:color="D5DCE4"/>
            </w:tcBorders>
            <w:shd w:val="clear" w:color="auto" w:fill="D5DCE4"/>
          </w:tcPr>
          <w:p>
            <w:pPr>
              <w:spacing w:after="0"/>
              <w:rPr>
                <w:sz w:val="21"/>
                <w:szCs w:val="21"/>
                <w:color w:val="auto"/>
              </w:rPr>
            </w:pPr>
          </w:p>
        </w:tc>
        <w:tc>
          <w:tcPr>
            <w:tcW w:w="300" w:type="dxa"/>
            <w:vAlign w:val="bottom"/>
            <w:tcBorders>
              <w:bottom w:val="single" w:sz="8" w:color="D5DCE4"/>
            </w:tcBorders>
            <w:shd w:val="clear" w:color="auto" w:fill="D5DCE4"/>
          </w:tcPr>
          <w:p>
            <w:pPr>
              <w:spacing w:after="0"/>
              <w:rPr>
                <w:sz w:val="21"/>
                <w:szCs w:val="21"/>
                <w:color w:val="auto"/>
              </w:rPr>
            </w:pPr>
          </w:p>
        </w:tc>
        <w:tc>
          <w:tcPr>
            <w:tcW w:w="120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82,995</w:t>
            </w:r>
          </w:p>
        </w:tc>
        <w:tc>
          <w:tcPr>
            <w:tcW w:w="0" w:type="dxa"/>
            <w:vAlign w:val="bottom"/>
          </w:tcPr>
          <w:p>
            <w:pPr>
              <w:spacing w:after="0"/>
              <w:rPr>
                <w:sz w:val="1"/>
                <w:szCs w:val="1"/>
                <w:color w:val="auto"/>
              </w:rPr>
            </w:pPr>
          </w:p>
        </w:tc>
      </w:tr>
      <w:tr>
        <w:trPr>
          <w:trHeight w:val="233"/>
        </w:trPr>
        <w:tc>
          <w:tcPr>
            <w:tcW w:w="494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30,984</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Borders>
              <w:bottom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2,503</w:t>
            </w:r>
          </w:p>
        </w:tc>
        <w:tc>
          <w:tcPr>
            <w:tcW w:w="8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Borders>
              <w:bottom w:val="single" w:sz="8" w:color="D5DCE4"/>
            </w:tcBorders>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5,171</w:t>
            </w:r>
          </w:p>
        </w:tc>
        <w:tc>
          <w:tcPr>
            <w:tcW w:w="0" w:type="dxa"/>
            <w:vAlign w:val="bottom"/>
          </w:tcPr>
          <w:p>
            <w:pPr>
              <w:spacing w:after="0"/>
              <w:rPr>
                <w:sz w:val="1"/>
                <w:szCs w:val="1"/>
                <w:color w:val="auto"/>
              </w:rPr>
            </w:pPr>
          </w:p>
        </w:tc>
      </w:tr>
      <w:tr>
        <w:trPr>
          <w:trHeight w:val="235"/>
        </w:trPr>
        <w:tc>
          <w:tcPr>
            <w:tcW w:w="494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310,613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297,138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639,862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608,624</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D5DCE4"/>
          </w:tcPr>
          <w:p>
            <w:pPr>
              <w:spacing w:after="0"/>
              <w:rPr>
                <w:sz w:val="23"/>
                <w:szCs w:val="23"/>
                <w:color w:val="auto"/>
              </w:rPr>
            </w:pPr>
          </w:p>
        </w:tc>
        <w:tc>
          <w:tcPr>
            <w:tcW w:w="240" w:type="dxa"/>
            <w:vAlign w:val="bottom"/>
            <w:shd w:val="clear" w:color="auto" w:fill="D5DCE4"/>
          </w:tcPr>
          <w:p>
            <w:pPr>
              <w:spacing w:after="0"/>
              <w:rPr>
                <w:sz w:val="23"/>
                <w:szCs w:val="23"/>
                <w:color w:val="auto"/>
              </w:rPr>
            </w:pPr>
          </w:p>
        </w:tc>
        <w:tc>
          <w:tcPr>
            <w:tcW w:w="1260" w:type="dxa"/>
            <w:vAlign w:val="bottom"/>
            <w:shd w:val="clear" w:color="auto" w:fill="D5DCE4"/>
          </w:tcPr>
          <w:p>
            <w:pPr>
              <w:spacing w:after="0"/>
              <w:rPr>
                <w:sz w:val="23"/>
                <w:szCs w:val="23"/>
                <w:color w:val="auto"/>
              </w:rPr>
            </w:pPr>
          </w:p>
        </w:tc>
        <w:tc>
          <w:tcPr>
            <w:tcW w:w="10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100" w:type="dxa"/>
            <w:vAlign w:val="bottom"/>
            <w:shd w:val="clear" w:color="auto" w:fill="D5DCE4"/>
          </w:tcPr>
          <w:p>
            <w:pPr>
              <w:spacing w:after="0"/>
              <w:rPr>
                <w:sz w:val="23"/>
                <w:szCs w:val="23"/>
                <w:color w:val="auto"/>
              </w:rPr>
            </w:pPr>
          </w:p>
        </w:tc>
        <w:tc>
          <w:tcPr>
            <w:tcW w:w="30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103,924</w:t>
            </w:r>
          </w:p>
        </w:tc>
        <w:tc>
          <w:tcPr>
            <w:tcW w:w="10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109,890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218,417</w:t>
            </w:r>
          </w:p>
        </w:tc>
        <w:tc>
          <w:tcPr>
            <w:tcW w:w="10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227,881</w:t>
            </w: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89,220</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18,701</w:t>
            </w:r>
          </w:p>
        </w:tc>
        <w:tc>
          <w:tcPr>
            <w:tcW w:w="10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16,034</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36,268</w:t>
            </w:r>
          </w:p>
        </w:tc>
        <w:tc>
          <w:tcPr>
            <w:tcW w:w="10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31,810</w:t>
            </w:r>
          </w:p>
        </w:tc>
        <w:tc>
          <w:tcPr>
            <w:tcW w:w="0" w:type="dxa"/>
            <w:vAlign w:val="bottom"/>
          </w:tcPr>
          <w:p>
            <w:pPr>
              <w:spacing w:after="0"/>
              <w:rPr>
                <w:sz w:val="1"/>
                <w:szCs w:val="1"/>
                <w:color w:val="auto"/>
              </w:rPr>
            </w:pPr>
          </w:p>
        </w:tc>
      </w:tr>
      <w:tr>
        <w:trPr>
          <w:trHeight w:val="224"/>
        </w:trPr>
        <w:tc>
          <w:tcPr>
            <w:tcW w:w="494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17,914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10,666</w:t>
            </w:r>
          </w:p>
        </w:tc>
        <w:tc>
          <w:tcPr>
            <w:tcW w:w="10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8,575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21,842</w:t>
            </w:r>
          </w:p>
        </w:tc>
        <w:tc>
          <w:tcPr>
            <w:tcW w:w="10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16,432</w:t>
            </w:r>
          </w:p>
        </w:tc>
        <w:tc>
          <w:tcPr>
            <w:tcW w:w="0" w:type="dxa"/>
            <w:vAlign w:val="bottom"/>
          </w:tcPr>
          <w:p>
            <w:pPr>
              <w:spacing w:after="0"/>
              <w:rPr>
                <w:sz w:val="1"/>
                <w:szCs w:val="1"/>
                <w:color w:val="auto"/>
              </w:rPr>
            </w:pPr>
          </w:p>
        </w:tc>
      </w:tr>
      <w:tr>
        <w:trPr>
          <w:trHeight w:val="240"/>
        </w:trPr>
        <w:tc>
          <w:tcPr>
            <w:tcW w:w="494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w:t>
            </w:r>
          </w:p>
        </w:tc>
        <w:tc>
          <w:tcPr>
            <w:tcW w:w="0" w:type="dxa"/>
            <w:vAlign w:val="bottom"/>
          </w:tcPr>
          <w:p>
            <w:pPr>
              <w:spacing w:after="0"/>
              <w:rPr>
                <w:sz w:val="1"/>
                <w:szCs w:val="1"/>
                <w:color w:val="auto"/>
              </w:rPr>
            </w:pPr>
          </w:p>
        </w:tc>
      </w:tr>
      <w:tr>
        <w:trPr>
          <w:trHeight w:val="253"/>
        </w:trPr>
        <w:tc>
          <w:tcPr>
            <w:tcW w:w="494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40" w:type="dxa"/>
            <w:vAlign w:val="bottom"/>
            <w:tcBorders>
              <w:bottom w:val="single" w:sz="8" w:color="auto"/>
            </w:tcBorders>
            <w:shd w:val="clear" w:color="auto" w:fill="D5DCE4"/>
          </w:tcPr>
          <w:p>
            <w:pPr>
              <w:spacing w:after="0"/>
              <w:rPr>
                <w:sz w:val="22"/>
                <w:szCs w:val="22"/>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194,278</w:t>
            </w:r>
          </w:p>
        </w:tc>
        <w:tc>
          <w:tcPr>
            <w:tcW w:w="100" w:type="dxa"/>
            <w:vAlign w:val="bottom"/>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spacing w:after="0"/>
              <w:rPr>
                <w:sz w:val="22"/>
                <w:szCs w:val="22"/>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190,531</w:t>
            </w:r>
          </w:p>
        </w:tc>
        <w:tc>
          <w:tcPr>
            <w:tcW w:w="80" w:type="dxa"/>
            <w:vAlign w:val="bottom"/>
            <w:shd w:val="clear" w:color="auto" w:fill="D5DCE4"/>
          </w:tcPr>
          <w:p>
            <w:pPr>
              <w:spacing w:after="0"/>
              <w:rPr>
                <w:sz w:val="22"/>
                <w:szCs w:val="22"/>
                <w:color w:val="auto"/>
              </w:rPr>
            </w:pPr>
          </w:p>
        </w:tc>
        <w:tc>
          <w:tcPr>
            <w:tcW w:w="220" w:type="dxa"/>
            <w:vAlign w:val="bottom"/>
            <w:tcBorders>
              <w:bottom w:val="single" w:sz="8" w:color="auto"/>
            </w:tcBorders>
            <w:shd w:val="clear" w:color="auto" w:fill="D5DCE4"/>
          </w:tcPr>
          <w:p>
            <w:pPr>
              <w:spacing w:after="0"/>
              <w:rPr>
                <w:sz w:val="22"/>
                <w:szCs w:val="22"/>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400,961</w:t>
            </w:r>
          </w:p>
        </w:tc>
        <w:tc>
          <w:tcPr>
            <w:tcW w:w="100" w:type="dxa"/>
            <w:vAlign w:val="bottom"/>
            <w:shd w:val="clear" w:color="auto" w:fill="D5DCE4"/>
          </w:tcPr>
          <w:p>
            <w:pPr>
              <w:spacing w:after="0"/>
              <w:rPr>
                <w:sz w:val="22"/>
                <w:szCs w:val="22"/>
                <w:color w:val="auto"/>
              </w:rPr>
            </w:pPr>
          </w:p>
        </w:tc>
        <w:tc>
          <w:tcPr>
            <w:tcW w:w="300" w:type="dxa"/>
            <w:vAlign w:val="bottom"/>
            <w:tcBorders>
              <w:bottom w:val="single" w:sz="8" w:color="auto"/>
            </w:tcBorders>
            <w:shd w:val="clear" w:color="auto" w:fill="D5DCE4"/>
          </w:tcPr>
          <w:p>
            <w:pPr>
              <w:spacing w:after="0"/>
              <w:rPr>
                <w:sz w:val="22"/>
                <w:szCs w:val="22"/>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390,415</w:t>
            </w:r>
          </w:p>
        </w:tc>
        <w:tc>
          <w:tcPr>
            <w:tcW w:w="0" w:type="dxa"/>
            <w:vAlign w:val="bottom"/>
          </w:tcPr>
          <w:p>
            <w:pPr>
              <w:spacing w:after="0"/>
              <w:rPr>
                <w:sz w:val="1"/>
                <w:szCs w:val="1"/>
                <w:color w:val="auto"/>
              </w:rPr>
            </w:pPr>
          </w:p>
        </w:tc>
      </w:tr>
      <w:tr>
        <w:trPr>
          <w:trHeight w:val="233"/>
        </w:trPr>
        <w:tc>
          <w:tcPr>
            <w:tcW w:w="494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116,335</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106,607</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238,901</w:t>
            </w:r>
          </w:p>
        </w:tc>
        <w:tc>
          <w:tcPr>
            <w:tcW w:w="100" w:type="dxa"/>
            <w:vAlign w:val="bottom"/>
            <w:tcBorders>
              <w:bottom w:val="single" w:sz="8" w:color="D5DCE4"/>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218,209</w:t>
            </w:r>
          </w:p>
        </w:tc>
        <w:tc>
          <w:tcPr>
            <w:tcW w:w="0" w:type="dxa"/>
            <w:vAlign w:val="bottom"/>
          </w:tcPr>
          <w:p>
            <w:pPr>
              <w:spacing w:after="0"/>
              <w:rPr>
                <w:sz w:val="1"/>
                <w:szCs w:val="1"/>
                <w:color w:val="auto"/>
              </w:rPr>
            </w:pPr>
          </w:p>
        </w:tc>
      </w:tr>
      <w:tr>
        <w:trPr>
          <w:trHeight w:val="240"/>
        </w:trPr>
        <w:tc>
          <w:tcPr>
            <w:tcW w:w="49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24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15,109</w:t>
            </w:r>
          </w:p>
        </w:tc>
        <w:tc>
          <w:tcPr>
            <w:tcW w:w="10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D5DCE4"/>
          </w:tcPr>
          <w:p>
            <w:pPr>
              <w:spacing w:after="0"/>
              <w:rPr>
                <w:sz w:val="20"/>
                <w:szCs w:val="20"/>
                <w:color w:val="auto"/>
              </w:rPr>
            </w:pPr>
          </w:p>
        </w:tc>
        <w:tc>
          <w:tcPr>
            <w:tcW w:w="2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27,600</w:t>
            </w:r>
          </w:p>
        </w:tc>
        <w:tc>
          <w:tcPr>
            <w:tcW w:w="100" w:type="dxa"/>
            <w:vAlign w:val="bottom"/>
            <w:shd w:val="clear" w:color="auto" w:fill="D5DCE4"/>
          </w:tcPr>
          <w:p>
            <w:pPr>
              <w:spacing w:after="0"/>
              <w:rPr>
                <w:sz w:val="20"/>
                <w:szCs w:val="20"/>
                <w:color w:val="auto"/>
              </w:rPr>
            </w:pPr>
          </w:p>
        </w:tc>
        <w:tc>
          <w:tcPr>
            <w:tcW w:w="300" w:type="dxa"/>
            <w:vAlign w:val="bottom"/>
            <w:shd w:val="clear" w:color="auto" w:fill="D5DCE4"/>
          </w:tcPr>
          <w:p>
            <w:pPr>
              <w:spacing w:after="0"/>
              <w:rPr>
                <w:sz w:val="20"/>
                <w:szCs w:val="20"/>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40"/>
        </w:trPr>
        <w:tc>
          <w:tcPr>
            <w:tcW w:w="4940" w:type="dxa"/>
            <w:vAlign w:val="bottom"/>
          </w:tcPr>
          <w:p>
            <w:pPr>
              <w:ind w:left="140"/>
              <w:spacing w:after="0"/>
              <w:rPr>
                <w:sz w:val="20"/>
                <w:szCs w:val="20"/>
                <w:color w:val="auto"/>
              </w:rPr>
            </w:pPr>
            <w:r>
              <w:rPr>
                <w:rFonts w:ascii="Arial" w:cs="Arial" w:eastAsia="Arial" w:hAnsi="Arial"/>
                <w:sz w:val="16"/>
                <w:szCs w:val="16"/>
                <w:color w:val="auto"/>
              </w:rPr>
              <w:t>Other income (loss), net</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4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130,988</w:t>
            </w:r>
          </w:p>
        </w:tc>
        <w:tc>
          <w:tcPr>
            <w:tcW w:w="10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107,148</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266,386</w:t>
            </w:r>
          </w:p>
        </w:tc>
        <w:tc>
          <w:tcPr>
            <w:tcW w:w="100" w:type="dxa"/>
            <w:vAlign w:val="bottom"/>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218,303</w:t>
            </w:r>
          </w:p>
        </w:tc>
        <w:tc>
          <w:tcPr>
            <w:tcW w:w="0" w:type="dxa"/>
            <w:vAlign w:val="bottom"/>
          </w:tcPr>
          <w:p>
            <w:pPr>
              <w:spacing w:after="0"/>
              <w:rPr>
                <w:sz w:val="1"/>
                <w:szCs w:val="1"/>
                <w:color w:val="auto"/>
              </w:rPr>
            </w:pPr>
          </w:p>
        </w:tc>
      </w:tr>
      <w:tr>
        <w:trPr>
          <w:trHeight w:val="234"/>
        </w:trPr>
        <w:tc>
          <w:tcPr>
            <w:tcW w:w="49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(25,548)</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(62,254)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(39,258)</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D5DCE4"/>
            </w:tcBorders>
            <w:shd w:val="clear" w:color="auto" w:fill="D5DCE4"/>
          </w:tcPr>
          <w:p>
            <w:pPr>
              <w:spacing w:after="0"/>
              <w:rPr>
                <w:sz w:val="20"/>
                <w:szCs w:val="20"/>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101,939</w:t>
            </w:r>
          </w:p>
        </w:tc>
        <w:tc>
          <w:tcPr>
            <w:tcW w:w="10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81,600</w:t>
            </w:r>
          </w:p>
        </w:tc>
        <w:tc>
          <w:tcPr>
            <w:tcW w:w="8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2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204,132</w:t>
            </w:r>
          </w:p>
        </w:tc>
        <w:tc>
          <w:tcPr>
            <w:tcW w:w="100" w:type="dxa"/>
            <w:vAlign w:val="bottom"/>
            <w:tcBorders>
              <w:bottom w:val="single" w:sz="8" w:color="D5DCE4"/>
            </w:tcBorders>
            <w:shd w:val="clear" w:color="auto" w:fill="D5DCE4"/>
          </w:tcPr>
          <w:p>
            <w:pPr>
              <w:spacing w:after="0"/>
              <w:rPr>
                <w:sz w:val="20"/>
                <w:szCs w:val="20"/>
                <w:color w:val="auto"/>
              </w:rPr>
            </w:pPr>
          </w:p>
        </w:tc>
        <w:tc>
          <w:tcPr>
            <w:tcW w:w="30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179,045</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13,256</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27,736</w:t>
            </w:r>
          </w:p>
        </w:tc>
        <w:tc>
          <w:tcPr>
            <w:tcW w:w="0" w:type="dxa"/>
            <w:vAlign w:val="bottom"/>
          </w:tcPr>
          <w:p>
            <w:pPr>
              <w:spacing w:after="0"/>
              <w:rPr>
                <w:sz w:val="1"/>
                <w:szCs w:val="1"/>
                <w:color w:val="auto"/>
              </w:rPr>
            </w:pPr>
          </w:p>
        </w:tc>
      </w:tr>
      <w:tr>
        <w:trPr>
          <w:trHeight w:val="263"/>
        </w:trPr>
        <w:tc>
          <w:tcPr>
            <w:tcW w:w="4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89,082</w:t>
            </w:r>
          </w:p>
        </w:tc>
        <w:tc>
          <w:tcPr>
            <w:tcW w:w="420" w:type="dxa"/>
            <w:vAlign w:val="bottom"/>
            <w:gridSpan w:val="2"/>
            <w:shd w:val="clear" w:color="auto" w:fill="D5DCE4"/>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68,344</w:t>
            </w:r>
          </w:p>
        </w:tc>
        <w:tc>
          <w:tcPr>
            <w:tcW w:w="300" w:type="dxa"/>
            <w:vAlign w:val="bottom"/>
            <w:gridSpan w:val="2"/>
            <w:shd w:val="clear" w:color="auto" w:fill="D5DCE4"/>
          </w:tcPr>
          <w:p>
            <w:pPr>
              <w:jc w:val="right"/>
              <w:ind w:right="120"/>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176,938</w:t>
            </w:r>
          </w:p>
        </w:tc>
        <w:tc>
          <w:tcPr>
            <w:tcW w:w="400" w:type="dxa"/>
            <w:vAlign w:val="bottom"/>
            <w:gridSpan w:val="2"/>
            <w:shd w:val="clear" w:color="auto" w:fill="D5DCE4"/>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151,309</w:t>
            </w:r>
          </w:p>
        </w:tc>
        <w:tc>
          <w:tcPr>
            <w:tcW w:w="0" w:type="dxa"/>
            <w:vAlign w:val="bottom"/>
          </w:tcPr>
          <w:p>
            <w:pPr>
              <w:spacing w:after="0"/>
              <w:rPr>
                <w:sz w:val="1"/>
                <w:szCs w:val="1"/>
                <w:color w:val="auto"/>
              </w:rPr>
            </w:pPr>
          </w:p>
        </w:tc>
      </w:tr>
      <w:tr>
        <w:trPr>
          <w:trHeight w:val="20"/>
        </w:trPr>
        <w:tc>
          <w:tcPr>
            <w:tcW w:w="494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4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240" w:type="dxa"/>
            <w:vAlign w:val="bottom"/>
            <w:shd w:val="clear" w:color="auto" w:fill="D5DCE4"/>
          </w:tcPr>
          <w:p>
            <w:pPr>
              <w:spacing w:after="0"/>
              <w:rPr>
                <w:sz w:val="17"/>
                <w:szCs w:val="17"/>
                <w:color w:val="auto"/>
              </w:rPr>
            </w:pPr>
          </w:p>
        </w:tc>
        <w:tc>
          <w:tcPr>
            <w:tcW w:w="1260" w:type="dxa"/>
            <w:vAlign w:val="bottom"/>
            <w:shd w:val="clear" w:color="auto" w:fill="D5DCE4"/>
          </w:tcPr>
          <w:p>
            <w:pPr>
              <w:spacing w:after="0"/>
              <w:rPr>
                <w:sz w:val="17"/>
                <w:szCs w:val="17"/>
                <w:color w:val="auto"/>
              </w:rPr>
            </w:pPr>
          </w:p>
        </w:tc>
        <w:tc>
          <w:tcPr>
            <w:tcW w:w="10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20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220" w:type="dxa"/>
            <w:vAlign w:val="bottom"/>
            <w:shd w:val="clear" w:color="auto" w:fill="D5DCE4"/>
          </w:tcPr>
          <w:p>
            <w:pPr>
              <w:spacing w:after="0"/>
              <w:rPr>
                <w:sz w:val="17"/>
                <w:szCs w:val="17"/>
                <w:color w:val="auto"/>
              </w:rPr>
            </w:pPr>
          </w:p>
        </w:tc>
        <w:tc>
          <w:tcPr>
            <w:tcW w:w="1280" w:type="dxa"/>
            <w:vAlign w:val="bottom"/>
            <w:shd w:val="clear" w:color="auto" w:fill="D5DCE4"/>
          </w:tcPr>
          <w:p>
            <w:pPr>
              <w:spacing w:after="0"/>
              <w:rPr>
                <w:sz w:val="17"/>
                <w:szCs w:val="17"/>
                <w:color w:val="auto"/>
              </w:rPr>
            </w:pPr>
          </w:p>
        </w:tc>
        <w:tc>
          <w:tcPr>
            <w:tcW w:w="100" w:type="dxa"/>
            <w:vAlign w:val="bottom"/>
            <w:shd w:val="clear" w:color="auto" w:fill="D5DCE4"/>
          </w:tcPr>
          <w:p>
            <w:pPr>
              <w:spacing w:after="0"/>
              <w:rPr>
                <w:sz w:val="17"/>
                <w:szCs w:val="17"/>
                <w:color w:val="auto"/>
              </w:rPr>
            </w:pPr>
          </w:p>
        </w:tc>
        <w:tc>
          <w:tcPr>
            <w:tcW w:w="300" w:type="dxa"/>
            <w:vAlign w:val="bottom"/>
            <w:shd w:val="clear" w:color="auto" w:fill="D5DCE4"/>
          </w:tcPr>
          <w:p>
            <w:pPr>
              <w:spacing w:after="0"/>
              <w:rPr>
                <w:sz w:val="17"/>
                <w:szCs w:val="17"/>
                <w:color w:val="auto"/>
              </w:rPr>
            </w:pPr>
          </w:p>
        </w:tc>
        <w:tc>
          <w:tcPr>
            <w:tcW w:w="120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and B common stockholders:</w:t>
            </w:r>
          </w:p>
        </w:tc>
        <w:tc>
          <w:tcPr>
            <w:tcW w:w="240" w:type="dxa"/>
            <w:vAlign w:val="bottom"/>
            <w:tcBorders>
              <w:bottom w:val="single" w:sz="8" w:color="D5DCE4"/>
            </w:tcBorders>
            <w:shd w:val="clear" w:color="auto" w:fill="D5DCE4"/>
          </w:tcPr>
          <w:p>
            <w:pPr>
              <w:spacing w:after="0"/>
              <w:rPr>
                <w:sz w:val="19"/>
                <w:szCs w:val="19"/>
                <w:color w:val="auto"/>
              </w:rPr>
            </w:pPr>
          </w:p>
        </w:tc>
        <w:tc>
          <w:tcPr>
            <w:tcW w:w="1260" w:type="dxa"/>
            <w:vAlign w:val="bottom"/>
            <w:tcBorders>
              <w:bottom w:val="single" w:sz="8" w:color="D5DCE4"/>
            </w:tcBorders>
            <w:shd w:val="clear" w:color="auto" w:fill="D5DCE4"/>
          </w:tcPr>
          <w:p>
            <w:pPr>
              <w:spacing w:after="0"/>
              <w:rPr>
                <w:sz w:val="19"/>
                <w:szCs w:val="19"/>
                <w:color w:val="auto"/>
              </w:rPr>
            </w:pPr>
          </w:p>
        </w:tc>
        <w:tc>
          <w:tcPr>
            <w:tcW w:w="10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2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220" w:type="dxa"/>
            <w:vAlign w:val="bottom"/>
            <w:tcBorders>
              <w:bottom w:val="single" w:sz="8" w:color="D5DCE4"/>
            </w:tcBorders>
            <w:shd w:val="clear" w:color="auto" w:fill="D5DCE4"/>
          </w:tcPr>
          <w:p>
            <w:pPr>
              <w:spacing w:after="0"/>
              <w:rPr>
                <w:sz w:val="19"/>
                <w:szCs w:val="19"/>
                <w:color w:val="auto"/>
              </w:rPr>
            </w:pPr>
          </w:p>
        </w:tc>
        <w:tc>
          <w:tcPr>
            <w:tcW w:w="1280" w:type="dxa"/>
            <w:vAlign w:val="bottom"/>
            <w:tcBorders>
              <w:bottom w:val="single" w:sz="8" w:color="D5DCE4"/>
            </w:tcBorders>
            <w:shd w:val="clear" w:color="auto" w:fill="D5DCE4"/>
          </w:tcPr>
          <w:p>
            <w:pPr>
              <w:spacing w:after="0"/>
              <w:rPr>
                <w:sz w:val="19"/>
                <w:szCs w:val="19"/>
                <w:color w:val="auto"/>
              </w:rPr>
            </w:pPr>
          </w:p>
        </w:tc>
        <w:tc>
          <w:tcPr>
            <w:tcW w:w="100" w:type="dxa"/>
            <w:vAlign w:val="bottom"/>
            <w:tcBorders>
              <w:bottom w:val="single" w:sz="8" w:color="D5DCE4"/>
            </w:tcBorders>
            <w:shd w:val="clear" w:color="auto" w:fill="D5DCE4"/>
          </w:tcPr>
          <w:p>
            <w:pPr>
              <w:spacing w:after="0"/>
              <w:rPr>
                <w:sz w:val="19"/>
                <w:szCs w:val="19"/>
                <w:color w:val="auto"/>
              </w:rPr>
            </w:pPr>
          </w:p>
        </w:tc>
        <w:tc>
          <w:tcPr>
            <w:tcW w:w="300" w:type="dxa"/>
            <w:vAlign w:val="bottom"/>
            <w:tcBorders>
              <w:bottom w:val="single" w:sz="8" w:color="D5DCE4"/>
            </w:tcBorders>
            <w:shd w:val="clear" w:color="auto" w:fill="D5DCE4"/>
          </w:tcPr>
          <w:p>
            <w:pPr>
              <w:spacing w:after="0"/>
              <w:rPr>
                <w:sz w:val="19"/>
                <w:szCs w:val="19"/>
                <w:color w:val="auto"/>
              </w:rPr>
            </w:pPr>
          </w:p>
        </w:tc>
        <w:tc>
          <w:tcPr>
            <w:tcW w:w="120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0.33</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0.84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9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420" w:type="dxa"/>
            <w:vAlign w:val="bottom"/>
            <w:gridSpan w:val="2"/>
            <w:shd w:val="clear" w:color="auto" w:fill="D5DCE4"/>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300" w:type="dxa"/>
            <w:vAlign w:val="bottom"/>
            <w:gridSpan w:val="2"/>
            <w:shd w:val="clear" w:color="auto" w:fill="D5DCE4"/>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0.83</w:t>
            </w:r>
          </w:p>
        </w:tc>
        <w:tc>
          <w:tcPr>
            <w:tcW w:w="400" w:type="dxa"/>
            <w:vAlign w:val="bottom"/>
            <w:gridSpan w:val="2"/>
            <w:shd w:val="clear" w:color="auto" w:fill="D5DCE4"/>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494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9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211,569,728</w:t>
            </w:r>
          </w:p>
        </w:tc>
        <w:tc>
          <w:tcPr>
            <w:tcW w:w="10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204,501,035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209,847,153</w:t>
            </w:r>
          </w:p>
        </w:tc>
        <w:tc>
          <w:tcPr>
            <w:tcW w:w="10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204,282,406</w:t>
            </w: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213,156,753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207,272,675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211,659,814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207,371,372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4</w:t>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39"/>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40" w:type="dxa"/>
            <w:vAlign w:val="bottom"/>
          </w:tcPr>
          <w:p>
            <w:pPr>
              <w:spacing w:after="0"/>
              <w:rPr>
                <w:sz w:val="20"/>
                <w:szCs w:val="20"/>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4700" w:type="dxa"/>
            <w:vAlign w:val="bottom"/>
            <w:gridSpan w:val="2"/>
            <w:vMerge w:val="restart"/>
          </w:tcPr>
          <w:p>
            <w:pPr>
              <w:ind w:left="20"/>
              <w:spacing w:after="0" w:line="169" w:lineRule="exact"/>
              <w:rPr>
                <w:sz w:val="20"/>
                <w:szCs w:val="20"/>
                <w:color w:val="auto"/>
              </w:rPr>
            </w:pPr>
            <w:r>
              <w:rPr>
                <w:rFonts w:ascii="Arial" w:cs="Arial" w:eastAsia="Arial" w:hAnsi="Arial"/>
                <w:sz w:val="16"/>
                <w:szCs w:val="16"/>
                <w:b w:val="1"/>
                <w:bCs w:val="1"/>
                <w:color w:val="auto"/>
              </w:rPr>
              <w:t>Adjusted EBITDA Margin, Adjusted EBIT and Adjusted</w:t>
            </w:r>
          </w:p>
        </w:tc>
        <w:tc>
          <w:tcPr>
            <w:tcW w:w="3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7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 Margin</w:t>
            </w:r>
          </w:p>
        </w:tc>
        <w:tc>
          <w:tcPr>
            <w:tcW w:w="34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7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101,939</w:t>
            </w:r>
          </w:p>
        </w:tc>
        <w:tc>
          <w:tcPr>
            <w:tcW w:w="540" w:type="dxa"/>
            <w:vAlign w:val="bottom"/>
            <w:gridSpan w:val="2"/>
            <w:shd w:val="clear" w:color="auto" w:fill="D5DCE4"/>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81,600</w:t>
            </w:r>
          </w:p>
        </w:tc>
        <w:tc>
          <w:tcPr>
            <w:tcW w:w="440" w:type="dxa"/>
            <w:vAlign w:val="bottom"/>
            <w:gridSpan w:val="2"/>
            <w:shd w:val="clear" w:color="auto" w:fill="D5DCE4"/>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204,132</w:t>
            </w:r>
          </w:p>
        </w:tc>
        <w:tc>
          <w:tcPr>
            <w:tcW w:w="540" w:type="dxa"/>
            <w:vAlign w:val="bottom"/>
            <w:gridSpan w:val="2"/>
            <w:shd w:val="clear" w:color="auto" w:fill="D5DCE4"/>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179,045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340" w:type="dxa"/>
            <w:vAlign w:val="bottom"/>
            <w:tcBorders>
              <w:bottom w:val="single" w:sz="8" w:color="D5DCE4"/>
            </w:tcBorders>
            <w:shd w:val="clear" w:color="auto" w:fill="D5DCE4"/>
          </w:tcPr>
          <w:p>
            <w:pPr>
              <w:spacing w:after="0"/>
              <w:rPr>
                <w:sz w:val="20"/>
                <w:szCs w:val="20"/>
                <w:color w:val="auto"/>
              </w:rPr>
            </w:pPr>
          </w:p>
        </w:tc>
        <w:tc>
          <w:tcPr>
            <w:tcW w:w="1220" w:type="dxa"/>
            <w:vAlign w:val="bottom"/>
            <w:tcBorders>
              <w:bottom w:val="single" w:sz="8" w:color="D5DCE4"/>
            </w:tcBorders>
            <w:shd w:val="clear" w:color="auto" w:fill="D5DCE4"/>
          </w:tcPr>
          <w:p>
            <w:pPr>
              <w:jc w:val="right"/>
              <w:ind w:right="79"/>
              <w:spacing w:after="0"/>
              <w:rPr>
                <w:sz w:val="20"/>
                <w:szCs w:val="20"/>
                <w:color w:val="auto"/>
              </w:rPr>
            </w:pPr>
            <w:r>
              <w:rPr>
                <w:rFonts w:ascii="Arial" w:cs="Arial" w:eastAsia="Arial" w:hAnsi="Arial"/>
                <w:sz w:val="16"/>
                <w:szCs w:val="16"/>
                <w:color w:val="auto"/>
              </w:rPr>
              <w:t>(15,109)</w:t>
            </w:r>
          </w:p>
        </w:tc>
        <w:tc>
          <w:tcPr>
            <w:tcW w:w="100" w:type="dxa"/>
            <w:vAlign w:val="bottom"/>
            <w:tcBorders>
              <w:bottom w:val="single" w:sz="8" w:color="D5DCE4"/>
            </w:tcBorders>
            <w:shd w:val="clear" w:color="auto" w:fill="D5DCE4"/>
          </w:tcPr>
          <w:p>
            <w:pPr>
              <w:spacing w:after="0"/>
              <w:rPr>
                <w:sz w:val="20"/>
                <w:szCs w:val="20"/>
                <w:color w:val="auto"/>
              </w:rPr>
            </w:pPr>
          </w:p>
        </w:tc>
        <w:tc>
          <w:tcPr>
            <w:tcW w:w="440" w:type="dxa"/>
            <w:vAlign w:val="bottom"/>
            <w:tcBorders>
              <w:bottom w:val="single" w:sz="8" w:color="D5DCE4"/>
            </w:tcBorders>
            <w:shd w:val="clear" w:color="auto" w:fill="D5DCE4"/>
          </w:tcPr>
          <w:p>
            <w:pPr>
              <w:spacing w:after="0"/>
              <w:rPr>
                <w:sz w:val="20"/>
                <w:szCs w:val="20"/>
                <w:color w:val="auto"/>
              </w:rPr>
            </w:pPr>
          </w:p>
        </w:tc>
        <w:tc>
          <w:tcPr>
            <w:tcW w:w="1120" w:type="dxa"/>
            <w:vAlign w:val="bottom"/>
            <w:tcBorders>
              <w:bottom w:val="single" w:sz="8" w:color="D5DCE4"/>
            </w:tcBorders>
            <w:shd w:val="clear" w:color="auto" w:fill="D5DCE4"/>
          </w:tcPr>
          <w:p>
            <w:pPr>
              <w:jc w:val="right"/>
              <w:ind w:right="79"/>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D5DCE4"/>
            </w:tcBorders>
            <w:shd w:val="clear" w:color="auto" w:fill="D5DCE4"/>
          </w:tcPr>
          <w:p>
            <w:pPr>
              <w:spacing w:after="0"/>
              <w:rPr>
                <w:sz w:val="20"/>
                <w:szCs w:val="20"/>
                <w:color w:val="auto"/>
              </w:rPr>
            </w:pPr>
          </w:p>
        </w:tc>
        <w:tc>
          <w:tcPr>
            <w:tcW w:w="340" w:type="dxa"/>
            <w:vAlign w:val="bottom"/>
            <w:tcBorders>
              <w:bottom w:val="single" w:sz="8" w:color="D5DCE4"/>
            </w:tcBorders>
            <w:shd w:val="clear" w:color="auto" w:fill="D5DCE4"/>
          </w:tcPr>
          <w:p>
            <w:pPr>
              <w:spacing w:after="0"/>
              <w:rPr>
                <w:sz w:val="20"/>
                <w:szCs w:val="20"/>
                <w:color w:val="auto"/>
              </w:rPr>
            </w:pPr>
          </w:p>
        </w:tc>
        <w:tc>
          <w:tcPr>
            <w:tcW w:w="1220" w:type="dxa"/>
            <w:vAlign w:val="bottom"/>
            <w:tcBorders>
              <w:bottom w:val="single" w:sz="8" w:color="D5DCE4"/>
            </w:tcBorders>
            <w:shd w:val="clear" w:color="auto" w:fill="D5DCE4"/>
          </w:tcPr>
          <w:p>
            <w:pPr>
              <w:jc w:val="right"/>
              <w:ind w:right="79"/>
              <w:spacing w:after="0"/>
              <w:rPr>
                <w:sz w:val="20"/>
                <w:szCs w:val="20"/>
                <w:color w:val="auto"/>
              </w:rPr>
            </w:pPr>
            <w:r>
              <w:rPr>
                <w:rFonts w:ascii="Arial" w:cs="Arial" w:eastAsia="Arial" w:hAnsi="Arial"/>
                <w:sz w:val="16"/>
                <w:szCs w:val="16"/>
                <w:color w:val="auto"/>
              </w:rPr>
              <w:t>(27,600)</w:t>
            </w:r>
          </w:p>
        </w:tc>
        <w:tc>
          <w:tcPr>
            <w:tcW w:w="100" w:type="dxa"/>
            <w:vAlign w:val="bottom"/>
            <w:tcBorders>
              <w:bottom w:val="single" w:sz="8" w:color="D5DCE4"/>
            </w:tcBorders>
            <w:shd w:val="clear" w:color="auto" w:fill="D5DCE4"/>
          </w:tcPr>
          <w:p>
            <w:pPr>
              <w:spacing w:after="0"/>
              <w:rPr>
                <w:sz w:val="20"/>
                <w:szCs w:val="20"/>
                <w:color w:val="auto"/>
              </w:rPr>
            </w:pPr>
          </w:p>
        </w:tc>
        <w:tc>
          <w:tcPr>
            <w:tcW w:w="440" w:type="dxa"/>
            <w:vAlign w:val="bottom"/>
            <w:tcBorders>
              <w:bottom w:val="single" w:sz="8" w:color="D5DCE4"/>
            </w:tcBorders>
            <w:shd w:val="clear" w:color="auto" w:fill="D5DCE4"/>
          </w:tcPr>
          <w:p>
            <w:pPr>
              <w:spacing w:after="0"/>
              <w:rPr>
                <w:sz w:val="20"/>
                <w:szCs w:val="20"/>
                <w:color w:val="auto"/>
              </w:rPr>
            </w:pPr>
          </w:p>
        </w:tc>
        <w:tc>
          <w:tcPr>
            <w:tcW w:w="1120" w:type="dxa"/>
            <w:vAlign w:val="bottom"/>
            <w:tcBorders>
              <w:bottom w:val="single" w:sz="8" w:color="D5DCE4"/>
            </w:tcBorders>
            <w:shd w:val="clear" w:color="auto" w:fill="D5DCE4"/>
          </w:tcPr>
          <w:p>
            <w:pPr>
              <w:jc w:val="right"/>
              <w:ind w:right="7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45,887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44,770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91,291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89,220</w:t>
            </w:r>
          </w:p>
        </w:tc>
        <w:tc>
          <w:tcPr>
            <w:tcW w:w="0" w:type="dxa"/>
            <w:vAlign w:val="bottom"/>
          </w:tcPr>
          <w:p>
            <w:pPr>
              <w:spacing w:after="0"/>
              <w:rPr>
                <w:sz w:val="1"/>
                <w:szCs w:val="1"/>
                <w:color w:val="auto"/>
              </w:rPr>
            </w:pPr>
          </w:p>
        </w:tc>
      </w:tr>
      <w:tr>
        <w:trPr>
          <w:trHeight w:val="266"/>
        </w:trPr>
        <w:tc>
          <w:tcPr>
            <w:tcW w:w="47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3"/>
                <w:szCs w:val="23"/>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D5DCE4"/>
          </w:tcPr>
          <w:p>
            <w:pPr>
              <w:spacing w:after="0"/>
              <w:rPr>
                <w:sz w:val="23"/>
                <w:szCs w:val="23"/>
                <w:color w:val="auto"/>
              </w:rPr>
            </w:pPr>
          </w:p>
        </w:tc>
        <w:tc>
          <w:tcPr>
            <w:tcW w:w="440" w:type="dxa"/>
            <w:vAlign w:val="bottom"/>
            <w:shd w:val="clear" w:color="auto" w:fill="D5DCE4"/>
          </w:tcPr>
          <w:p>
            <w:pPr>
              <w:spacing w:after="0"/>
              <w:rPr>
                <w:sz w:val="23"/>
                <w:szCs w:val="23"/>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7,295</w:t>
            </w:r>
          </w:p>
        </w:tc>
        <w:tc>
          <w:tcPr>
            <w:tcW w:w="100" w:type="dxa"/>
            <w:vAlign w:val="bottom"/>
            <w:shd w:val="clear" w:color="auto" w:fill="D5DCE4"/>
          </w:tcPr>
          <w:p>
            <w:pPr>
              <w:spacing w:after="0"/>
              <w:rPr>
                <w:sz w:val="23"/>
                <w:szCs w:val="23"/>
                <w:color w:val="auto"/>
              </w:rPr>
            </w:pPr>
          </w:p>
        </w:tc>
        <w:tc>
          <w:tcPr>
            <w:tcW w:w="340" w:type="dxa"/>
            <w:vAlign w:val="bottom"/>
            <w:shd w:val="clear" w:color="auto" w:fill="D5DCE4"/>
          </w:tcPr>
          <w:p>
            <w:pPr>
              <w:spacing w:after="0"/>
              <w:rPr>
                <w:sz w:val="23"/>
                <w:szCs w:val="23"/>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D5DCE4"/>
          </w:tcPr>
          <w:p>
            <w:pPr>
              <w:spacing w:after="0"/>
              <w:rPr>
                <w:sz w:val="23"/>
                <w:szCs w:val="23"/>
                <w:color w:val="auto"/>
              </w:rPr>
            </w:pPr>
          </w:p>
        </w:tc>
        <w:tc>
          <w:tcPr>
            <w:tcW w:w="440" w:type="dxa"/>
            <w:vAlign w:val="bottom"/>
            <w:shd w:val="clear" w:color="auto" w:fill="D5DCE4"/>
          </w:tcPr>
          <w:p>
            <w:pPr>
              <w:spacing w:after="0"/>
              <w:rPr>
                <w:sz w:val="23"/>
                <w:szCs w:val="23"/>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11,164</w:t>
            </w:r>
          </w:p>
        </w:tc>
        <w:tc>
          <w:tcPr>
            <w:tcW w:w="0" w:type="dxa"/>
            <w:vAlign w:val="bottom"/>
          </w:tcPr>
          <w:p>
            <w:pPr>
              <w:spacing w:after="0"/>
              <w:rPr>
                <w:sz w:val="1"/>
                <w:szCs w:val="1"/>
                <w:color w:val="auto"/>
              </w:rPr>
            </w:pPr>
          </w:p>
        </w:tc>
      </w:tr>
      <w:tr>
        <w:trPr>
          <w:trHeight w:val="23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29,049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25,548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62,254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39,258</w:t>
            </w:r>
          </w:p>
        </w:tc>
        <w:tc>
          <w:tcPr>
            <w:tcW w:w="0" w:type="dxa"/>
            <w:vAlign w:val="bottom"/>
          </w:tcPr>
          <w:p>
            <w:pPr>
              <w:spacing w:after="0"/>
              <w:rPr>
                <w:sz w:val="1"/>
                <w:szCs w:val="1"/>
                <w:color w:val="auto"/>
              </w:rPr>
            </w:pPr>
          </w:p>
        </w:tc>
      </w:tr>
      <w:tr>
        <w:trPr>
          <w:trHeight w:val="253"/>
        </w:trPr>
        <w:tc>
          <w:tcPr>
            <w:tcW w:w="47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(3,066)</w:t>
            </w:r>
          </w:p>
        </w:tc>
        <w:tc>
          <w:tcPr>
            <w:tcW w:w="10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340" w:type="dxa"/>
            <w:vAlign w:val="bottom"/>
            <w:tcBorders>
              <w:bottom w:val="single" w:sz="8" w:color="auto"/>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D5DCE4"/>
            </w:tcBorders>
            <w:shd w:val="clear" w:color="auto" w:fill="D5DCE4"/>
          </w:tcPr>
          <w:p>
            <w:pPr>
              <w:spacing w:after="0"/>
              <w:rPr>
                <w:sz w:val="20"/>
                <w:szCs w:val="20"/>
                <w:color w:val="auto"/>
              </w:rPr>
            </w:pPr>
          </w:p>
        </w:tc>
        <w:tc>
          <w:tcPr>
            <w:tcW w:w="440" w:type="dxa"/>
            <w:vAlign w:val="bottom"/>
            <w:tcBorders>
              <w:bottom w:val="single" w:sz="8" w:color="auto"/>
            </w:tcBorders>
            <w:shd w:val="clear" w:color="auto" w:fill="D5DCE4"/>
          </w:tcPr>
          <w:p>
            <w:pPr>
              <w:spacing w:after="0"/>
              <w:rPr>
                <w:sz w:val="20"/>
                <w:szCs w:val="20"/>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5DCE4"/>
            </w:tcBorders>
            <w:shd w:val="clear" w:color="auto" w:fill="D5DCE4"/>
          </w:tcPr>
          <w:p>
            <w:pPr>
              <w:spacing w:after="0"/>
              <w:rPr>
                <w:sz w:val="20"/>
                <w:szCs w:val="20"/>
                <w:color w:val="auto"/>
              </w:rPr>
            </w:pPr>
          </w:p>
        </w:tc>
        <w:tc>
          <w:tcPr>
            <w:tcW w:w="340" w:type="dxa"/>
            <w:vAlign w:val="bottom"/>
            <w:tcBorders>
              <w:bottom w:val="single" w:sz="8" w:color="auto"/>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D5DCE4"/>
            </w:tcBorders>
            <w:shd w:val="clear" w:color="auto" w:fill="D5DCE4"/>
          </w:tcPr>
          <w:p>
            <w:pPr>
              <w:spacing w:after="0"/>
              <w:rPr>
                <w:sz w:val="20"/>
                <w:szCs w:val="20"/>
                <w:color w:val="auto"/>
              </w:rPr>
            </w:pPr>
          </w:p>
        </w:tc>
        <w:tc>
          <w:tcPr>
            <w:tcW w:w="440" w:type="dxa"/>
            <w:vAlign w:val="bottom"/>
            <w:tcBorders>
              <w:bottom w:val="single" w:sz="8" w:color="auto"/>
            </w:tcBorders>
            <w:shd w:val="clear" w:color="auto" w:fill="D5DCE4"/>
          </w:tcPr>
          <w:p>
            <w:pPr>
              <w:spacing w:after="0"/>
              <w:rPr>
                <w:sz w:val="20"/>
                <w:szCs w:val="20"/>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163,055</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155,621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335,258</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316,256</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Depreciation and amortization</w:t>
            </w:r>
          </w:p>
        </w:tc>
        <w:tc>
          <w:tcPr>
            <w:tcW w:w="34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(45,887)</w:t>
            </w:r>
          </w:p>
        </w:tc>
        <w:tc>
          <w:tcPr>
            <w:tcW w:w="10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(44,770)</w:t>
            </w:r>
          </w:p>
        </w:tc>
        <w:tc>
          <w:tcPr>
            <w:tcW w:w="10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(91,291)</w:t>
            </w:r>
          </w:p>
        </w:tc>
        <w:tc>
          <w:tcPr>
            <w:tcW w:w="10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(89,220)</w:t>
            </w:r>
          </w:p>
        </w:tc>
        <w:tc>
          <w:tcPr>
            <w:tcW w:w="0" w:type="dxa"/>
            <w:vAlign w:val="bottom"/>
          </w:tcPr>
          <w:p>
            <w:pPr>
              <w:spacing w:after="0"/>
              <w:rPr>
                <w:sz w:val="1"/>
                <w:szCs w:val="1"/>
                <w:color w:val="auto"/>
              </w:rPr>
            </w:pPr>
          </w:p>
        </w:tc>
      </w:tr>
      <w:tr>
        <w:trPr>
          <w:trHeight w:val="176"/>
        </w:trPr>
        <w:tc>
          <w:tcPr>
            <w:tcW w:w="470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Add: D&amp;A related to acquisitions and the Refinitiv Transaction</w:t>
            </w:r>
          </w:p>
        </w:tc>
        <w:tc>
          <w:tcPr>
            <w:tcW w:w="340" w:type="dxa"/>
            <w:vAlign w:val="bottom"/>
          </w:tcPr>
          <w:p>
            <w:pPr>
              <w:spacing w:after="0"/>
              <w:rPr>
                <w:sz w:val="15"/>
                <w:szCs w:val="15"/>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31,629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31,761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63,246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63,530</w:t>
            </w:r>
          </w:p>
        </w:tc>
        <w:tc>
          <w:tcPr>
            <w:tcW w:w="0" w:type="dxa"/>
            <w:vAlign w:val="bottom"/>
          </w:tcPr>
          <w:p>
            <w:pPr>
              <w:spacing w:after="0"/>
              <w:rPr>
                <w:sz w:val="1"/>
                <w:szCs w:val="1"/>
                <w:color w:val="auto"/>
              </w:rPr>
            </w:pPr>
          </w:p>
        </w:tc>
      </w:tr>
      <w:tr>
        <w:trPr>
          <w:trHeight w:val="183"/>
        </w:trPr>
        <w:tc>
          <w:tcPr>
            <w:tcW w:w="4600" w:type="dxa"/>
            <w:vAlign w:val="bottom"/>
          </w:tcPr>
          <w:p>
            <w:pPr>
              <w:ind w:left="20"/>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7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Adjusted EBIT</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148,797</w:t>
            </w:r>
          </w:p>
        </w:tc>
        <w:tc>
          <w:tcPr>
            <w:tcW w:w="540" w:type="dxa"/>
            <w:vAlign w:val="bottom"/>
            <w:gridSpan w:val="2"/>
            <w:shd w:val="clear" w:color="auto" w:fill="D5DCE4"/>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142,612</w:t>
            </w:r>
          </w:p>
        </w:tc>
        <w:tc>
          <w:tcPr>
            <w:tcW w:w="440" w:type="dxa"/>
            <w:vAlign w:val="bottom"/>
            <w:gridSpan w:val="2"/>
            <w:shd w:val="clear" w:color="auto" w:fill="D5DCE4"/>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307,213</w:t>
            </w:r>
          </w:p>
        </w:tc>
        <w:tc>
          <w:tcPr>
            <w:tcW w:w="540" w:type="dxa"/>
            <w:vAlign w:val="bottom"/>
            <w:gridSpan w:val="2"/>
            <w:shd w:val="clear" w:color="auto" w:fill="D5DCE4"/>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290,566</w:t>
            </w:r>
          </w:p>
        </w:tc>
        <w:tc>
          <w:tcPr>
            <w:tcW w:w="0" w:type="dxa"/>
            <w:vAlign w:val="bottom"/>
          </w:tcPr>
          <w:p>
            <w:pPr>
              <w:spacing w:after="0"/>
              <w:rPr>
                <w:sz w:val="1"/>
                <w:szCs w:val="1"/>
                <w:color w:val="auto"/>
              </w:rPr>
            </w:pPr>
          </w:p>
        </w:tc>
      </w:tr>
      <w:tr>
        <w:trPr>
          <w:trHeight w:val="20"/>
        </w:trPr>
        <w:tc>
          <w:tcPr>
            <w:tcW w:w="4700" w:type="dxa"/>
            <w:vAlign w:val="bottom"/>
            <w:tcBorders>
              <w:top w:val="single" w:sz="8" w:color="D5DCE4"/>
              <w:bottom w:val="single" w:sz="8" w:color="D5DCE4"/>
            </w:tcBorders>
            <w:gridSpan w:val="2"/>
            <w:vMerge w:val="restart"/>
          </w:tcPr>
          <w:p>
            <w:pPr>
              <w:ind w:left="20"/>
              <w:spacing w:after="0"/>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29.4 %</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52.5 %</w:t>
            </w:r>
          </w:p>
        </w:tc>
        <w:tc>
          <w:tcPr>
            <w:tcW w:w="10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52.4 %</w:t>
            </w:r>
          </w:p>
        </w:tc>
        <w:tc>
          <w:tcPr>
            <w:tcW w:w="10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52.4 %</w:t>
            </w:r>
          </w:p>
        </w:tc>
        <w:tc>
          <w:tcPr>
            <w:tcW w:w="10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52.0 %</w:t>
            </w:r>
          </w:p>
        </w:tc>
        <w:tc>
          <w:tcPr>
            <w:tcW w:w="0" w:type="dxa"/>
            <w:vAlign w:val="bottom"/>
          </w:tcPr>
          <w:p>
            <w:pPr>
              <w:spacing w:after="0"/>
              <w:rPr>
                <w:sz w:val="1"/>
                <w:szCs w:val="1"/>
                <w:color w:val="auto"/>
              </w:rPr>
            </w:pPr>
          </w:p>
        </w:tc>
      </w:tr>
      <w:tr>
        <w:trPr>
          <w:trHeight w:val="294"/>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47.9 %</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48.0 %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48.0 %</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47.7 %</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w:t>
      </w:r>
    </w:p>
    <w:p>
      <w:pPr>
        <w:ind w:left="460" w:hanging="434"/>
        <w:spacing w:after="0" w:line="184" w:lineRule="auto"/>
        <w:tabs>
          <w:tab w:leader="none" w:pos="460" w:val="left"/>
        </w:tabs>
        <w:numPr>
          <w:ilvl w:val="0"/>
          <w:numId w:val="7"/>
        </w:numPr>
        <w:rPr>
          <w:rFonts w:ascii="Arial" w:cs="Arial" w:eastAsia="Arial" w:hAnsi="Arial"/>
          <w:sz w:val="24"/>
          <w:szCs w:val="24"/>
          <w:color w:val="auto"/>
          <w:vertAlign w:val="superscript"/>
        </w:rPr>
      </w:pPr>
      <w:r>
        <w:rPr>
          <w:rFonts w:ascii="Arial" w:cs="Arial" w:eastAsia="Arial" w:hAnsi="Arial"/>
          <w:sz w:val="12"/>
          <w:szCs w:val="12"/>
          <w:color w:val="auto"/>
        </w:rPr>
        <w:t>diligence, severance and other third party costs incurred that directly relate to the acquisition transaction or its integration.</w:t>
      </w:r>
    </w:p>
    <w:p>
      <w:pPr>
        <w:spacing w:after="0" w:line="58" w:lineRule="exact"/>
        <w:rPr>
          <w:rFonts w:ascii="Arial" w:cs="Arial" w:eastAsia="Arial" w:hAnsi="Arial"/>
          <w:sz w:val="24"/>
          <w:szCs w:val="24"/>
          <w:color w:val="auto"/>
          <w:vertAlign w:val="superscript"/>
        </w:rPr>
      </w:pPr>
    </w:p>
    <w:p>
      <w:pPr>
        <w:ind w:left="460" w:hanging="434"/>
        <w:spacing w:after="0"/>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29" w:lineRule="exact"/>
        <w:rPr>
          <w:rFonts w:ascii="Arial" w:cs="Arial" w:eastAsia="Arial" w:hAnsi="Arial"/>
          <w:sz w:val="12"/>
          <w:szCs w:val="12"/>
          <w:color w:val="auto"/>
        </w:rPr>
      </w:pPr>
    </w:p>
    <w:p>
      <w:pPr>
        <w:ind w:left="460" w:right="80"/>
        <w:spacing w:after="0" w:line="261" w:lineRule="auto"/>
        <w:rPr>
          <w:rFonts w:ascii="Arial" w:cs="Arial" w:eastAsia="Arial" w:hAnsi="Arial"/>
          <w:sz w:val="12"/>
          <w:szCs w:val="12"/>
          <w:color w:val="auto"/>
        </w:rPr>
      </w:pPr>
      <w:r>
        <w:rPr>
          <w:rFonts w:ascii="Arial" w:cs="Arial" w:eastAsia="Arial" w:hAnsi="Arial"/>
          <w:sz w:val="12"/>
          <w:szCs w:val="12"/>
          <w:color w:val="auto"/>
        </w:rPr>
        <w:t>options. During the three and six months ended June 30, 2022, this adjustment also includes $5.7 million and $7.4 million, respectively, of non-cash accelerated stock-based compensation expense and related payroll taxes associated with our former CFO and former CEO.</w:t>
      </w:r>
    </w:p>
    <w:p>
      <w:pPr>
        <w:spacing w:after="0" w:line="37" w:lineRule="exact"/>
        <w:rPr>
          <w:rFonts w:ascii="Arial" w:cs="Arial" w:eastAsia="Arial" w:hAnsi="Arial"/>
          <w:sz w:val="12"/>
          <w:szCs w:val="12"/>
          <w:color w:val="auto"/>
        </w:rPr>
      </w:pPr>
    </w:p>
    <w:p>
      <w:pPr>
        <w:ind w:left="460" w:right="120" w:hanging="434"/>
        <w:spacing w:after="0" w:line="284" w:lineRule="auto"/>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4" w:lineRule="exact"/>
        <w:rPr>
          <w:rFonts w:ascii="Arial" w:cs="Arial" w:eastAsia="Arial" w:hAnsi="Arial"/>
          <w:sz w:val="12"/>
          <w:szCs w:val="12"/>
          <w:color w:val="auto"/>
        </w:rPr>
      </w:pPr>
    </w:p>
    <w:p>
      <w:pPr>
        <w:ind w:left="460" w:right="60" w:hanging="434"/>
        <w:spacing w:after="0" w:line="261" w:lineRule="auto"/>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37" w:lineRule="exact"/>
        <w:rPr>
          <w:rFonts w:ascii="Arial" w:cs="Arial" w:eastAsia="Arial" w:hAnsi="Arial"/>
          <w:sz w:val="12"/>
          <w:szCs w:val="12"/>
          <w:color w:val="auto"/>
        </w:rPr>
      </w:pPr>
    </w:p>
    <w:p>
      <w:pPr>
        <w:ind w:left="460" w:right="200" w:hanging="434"/>
        <w:spacing w:after="0" w:line="284" w:lineRule="auto"/>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60" w:hanging="434"/>
        <w:spacing w:after="0"/>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line="302"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111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60"/>
        </w:trPr>
        <w:tc>
          <w:tcPr>
            <w:tcW w:w="10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center"/>
              <w:ind w:right="10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2"/>
                <w:szCs w:val="22"/>
                <w:color w:val="auto"/>
              </w:rPr>
            </w:pPr>
          </w:p>
        </w:tc>
        <w:tc>
          <w:tcPr>
            <w:tcW w:w="200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22"/>
                <w:szCs w:val="22"/>
                <w:color w:val="auto"/>
              </w:rPr>
            </w:pPr>
          </w:p>
        </w:tc>
      </w:tr>
      <w:tr>
        <w:trPr>
          <w:trHeight w:val="233"/>
        </w:trPr>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200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2022</w:t>
            </w:r>
          </w:p>
        </w:tc>
        <w:tc>
          <w:tcPr>
            <w:tcW w:w="16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80" w:type="dxa"/>
            <w:vAlign w:val="bottom"/>
            <w:gridSpan w:val="6"/>
          </w:tcPr>
          <w:p>
            <w:pPr>
              <w:ind w:left="40"/>
              <w:spacing w:after="0"/>
              <w:rPr>
                <w:sz w:val="20"/>
                <w:szCs w:val="20"/>
                <w:color w:val="auto"/>
              </w:rPr>
            </w:pPr>
            <w:r>
              <w:rPr>
                <w:rFonts w:ascii="Arial" w:cs="Arial" w:eastAsia="Arial" w:hAnsi="Arial"/>
                <w:sz w:val="16"/>
                <w:szCs w:val="16"/>
                <w:b w:val="1"/>
                <w:bCs w:val="1"/>
                <w:color w:val="auto"/>
              </w:rPr>
              <w:t>(in thousands, except per share amounts)</w:t>
            </w:r>
          </w:p>
        </w:tc>
        <w:tc>
          <w:tcPr>
            <w:tcW w:w="1080" w:type="dxa"/>
            <w:vAlign w:val="bottom"/>
          </w:tcPr>
          <w:p>
            <w:pPr>
              <w:spacing w:after="0"/>
              <w:rPr>
                <w:sz w:val="23"/>
                <w:szCs w:val="23"/>
                <w:color w:val="auto"/>
              </w:rPr>
            </w:pPr>
          </w:p>
        </w:tc>
      </w:tr>
    </w:tbl>
    <w:p>
      <w:pPr>
        <w:spacing w:after="0" w:line="20" w:lineRule="exact"/>
        <w:rPr>
          <w:sz w:val="20"/>
          <w:szCs w:val="20"/>
          <w:color w:val="auto"/>
        </w:rPr>
      </w:pPr>
    </w:p>
    <w:p>
      <w:pPr>
        <w:sectPr>
          <w:pgSz w:w="11900" w:h="16838" w:orient="portrait"/>
          <w:cols w:equalWidth="0" w:num="2">
            <w:col w:w="4440" w:space="540"/>
            <w:col w:w="626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580" w:type="dxa"/>
            <w:vAlign w:val="bottom"/>
            <w:gridSpan w:val="2"/>
            <w:shd w:val="clear" w:color="auto" w:fill="D5DCE4"/>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580" w:type="dxa"/>
            <w:vAlign w:val="bottom"/>
            <w:gridSpan w:val="2"/>
            <w:shd w:val="clear" w:color="auto" w:fill="D5DCE4"/>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0.83</w:t>
            </w:r>
          </w:p>
        </w:tc>
        <w:tc>
          <w:tcPr>
            <w:tcW w:w="560" w:type="dxa"/>
            <w:vAlign w:val="bottom"/>
            <w:gridSpan w:val="2"/>
            <w:shd w:val="clear" w:color="auto" w:fill="D5DCE4"/>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0.73</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89,082</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68,344</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176,938</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151,309</w:t>
            </w:r>
          </w:p>
        </w:tc>
      </w:tr>
      <w:tr>
        <w:trPr>
          <w:trHeight w:val="26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5DCE4"/>
          </w:tcPr>
          <w:p>
            <w:pPr>
              <w:spacing w:after="0"/>
              <w:rPr>
                <w:sz w:val="23"/>
                <w:szCs w:val="23"/>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12,857</w:t>
            </w:r>
          </w:p>
        </w:tc>
        <w:tc>
          <w:tcPr>
            <w:tcW w:w="100" w:type="dxa"/>
            <w:vAlign w:val="bottom"/>
            <w:shd w:val="clear" w:color="auto" w:fill="D5DCE4"/>
          </w:tcPr>
          <w:p>
            <w:pPr>
              <w:spacing w:after="0"/>
              <w:rPr>
                <w:sz w:val="23"/>
                <w:szCs w:val="23"/>
                <w:color w:val="auto"/>
              </w:rPr>
            </w:pPr>
          </w:p>
        </w:tc>
        <w:tc>
          <w:tcPr>
            <w:tcW w:w="480" w:type="dxa"/>
            <w:vAlign w:val="bottom"/>
            <w:tcBorders>
              <w:bottom w:val="single" w:sz="8" w:color="auto"/>
            </w:tcBorders>
            <w:shd w:val="clear" w:color="auto" w:fill="D5DCE4"/>
          </w:tcPr>
          <w:p>
            <w:pPr>
              <w:spacing w:after="0"/>
              <w:rPr>
                <w:sz w:val="23"/>
                <w:szCs w:val="23"/>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13,256</w:t>
            </w:r>
          </w:p>
        </w:tc>
        <w:tc>
          <w:tcPr>
            <w:tcW w:w="100" w:type="dxa"/>
            <w:vAlign w:val="bottom"/>
            <w:shd w:val="clear" w:color="auto" w:fill="D5DCE4"/>
          </w:tcPr>
          <w:p>
            <w:pPr>
              <w:spacing w:after="0"/>
              <w:rPr>
                <w:sz w:val="23"/>
                <w:szCs w:val="23"/>
                <w:color w:val="auto"/>
              </w:rPr>
            </w:pPr>
          </w:p>
        </w:tc>
        <w:tc>
          <w:tcPr>
            <w:tcW w:w="480" w:type="dxa"/>
            <w:vAlign w:val="bottom"/>
            <w:tcBorders>
              <w:bottom w:val="single" w:sz="8" w:color="auto"/>
            </w:tcBorders>
            <w:shd w:val="clear" w:color="auto" w:fill="D5DCE4"/>
          </w:tcPr>
          <w:p>
            <w:pPr>
              <w:spacing w:after="0"/>
              <w:rPr>
                <w:sz w:val="23"/>
                <w:szCs w:val="23"/>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27,194</w:t>
            </w:r>
          </w:p>
        </w:tc>
        <w:tc>
          <w:tcPr>
            <w:tcW w:w="80" w:type="dxa"/>
            <w:vAlign w:val="bottom"/>
            <w:shd w:val="clear" w:color="auto" w:fill="D5DCE4"/>
          </w:tcPr>
          <w:p>
            <w:pPr>
              <w:spacing w:after="0"/>
              <w:rPr>
                <w:sz w:val="23"/>
                <w:szCs w:val="23"/>
                <w:color w:val="auto"/>
              </w:rPr>
            </w:pPr>
          </w:p>
        </w:tc>
        <w:tc>
          <w:tcPr>
            <w:tcW w:w="480" w:type="dxa"/>
            <w:vAlign w:val="bottom"/>
            <w:tcBorders>
              <w:bottom w:val="single" w:sz="8" w:color="auto"/>
            </w:tcBorders>
            <w:shd w:val="clear" w:color="auto" w:fill="D5DCE4"/>
          </w:tcPr>
          <w:p>
            <w:pPr>
              <w:spacing w:after="0"/>
              <w:rPr>
                <w:sz w:val="23"/>
                <w:szCs w:val="23"/>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27,736</w:t>
            </w:r>
          </w:p>
        </w:tc>
      </w:tr>
      <w:tr>
        <w:trPr>
          <w:trHeight w:val="227"/>
        </w:trPr>
        <w:tc>
          <w:tcPr>
            <w:tcW w:w="4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101,939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81,600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204,132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179,045</w:t>
            </w:r>
          </w:p>
        </w:tc>
      </w:tr>
      <w:tr>
        <w:trPr>
          <w:trHeight w:val="25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29,049</w:t>
            </w:r>
          </w:p>
        </w:tc>
        <w:tc>
          <w:tcPr>
            <w:tcW w:w="10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25,548</w:t>
            </w:r>
          </w:p>
        </w:tc>
        <w:tc>
          <w:tcPr>
            <w:tcW w:w="10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62,254</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39,258</w:t>
            </w:r>
          </w:p>
        </w:tc>
      </w:tr>
      <w:tr>
        <w:trPr>
          <w:trHeight w:val="256"/>
        </w:trPr>
        <w:tc>
          <w:tcPr>
            <w:tcW w:w="498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31,629</w:t>
            </w:r>
          </w:p>
        </w:tc>
        <w:tc>
          <w:tcPr>
            <w:tcW w:w="10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31,761</w:t>
            </w:r>
          </w:p>
        </w:tc>
        <w:tc>
          <w:tcPr>
            <w:tcW w:w="10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63,246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63,530</w:t>
            </w:r>
          </w:p>
        </w:tc>
      </w:tr>
      <w:tr>
        <w:trPr>
          <w:trHeight w:val="257"/>
        </w:trPr>
        <w:tc>
          <w:tcPr>
            <w:tcW w:w="498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7,295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11,164</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(3,066)</w:t>
            </w:r>
          </w:p>
        </w:tc>
        <w:tc>
          <w:tcPr>
            <w:tcW w:w="10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1,834</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(2,334)</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80" w:type="dxa"/>
            <w:vAlign w:val="bottom"/>
            <w:tcBorders>
              <w:bottom w:val="single" w:sz="8" w:color="auto"/>
            </w:tcBorders>
            <w:shd w:val="clear" w:color="auto" w:fill="D5DCE4"/>
          </w:tcPr>
          <w:p>
            <w:pPr>
              <w:spacing w:after="0"/>
              <w:rPr>
                <w:sz w:val="22"/>
                <w:szCs w:val="22"/>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spacing w:after="0"/>
              <w:rPr>
                <w:sz w:val="22"/>
                <w:szCs w:val="22"/>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spacing w:after="0"/>
              <w:rPr>
                <w:sz w:val="22"/>
                <w:szCs w:val="22"/>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spacing w:after="0"/>
              <w:rPr>
                <w:sz w:val="22"/>
                <w:szCs w:val="22"/>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8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163,906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143,153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334,813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290,660</w:t>
            </w:r>
          </w:p>
        </w:tc>
      </w:tr>
      <w:tr>
        <w:trPr>
          <w:trHeight w:val="26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3"/>
                <w:szCs w:val="23"/>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(40,157)</w:t>
            </w:r>
          </w:p>
        </w:tc>
        <w:tc>
          <w:tcPr>
            <w:tcW w:w="100" w:type="dxa"/>
            <w:vAlign w:val="bottom"/>
            <w:shd w:val="clear" w:color="auto" w:fill="D5DCE4"/>
          </w:tcPr>
          <w:p>
            <w:pPr>
              <w:spacing w:after="0"/>
              <w:rPr>
                <w:sz w:val="23"/>
                <w:szCs w:val="23"/>
                <w:color w:val="auto"/>
              </w:rPr>
            </w:pPr>
          </w:p>
        </w:tc>
        <w:tc>
          <w:tcPr>
            <w:tcW w:w="480" w:type="dxa"/>
            <w:vAlign w:val="bottom"/>
            <w:tcBorders>
              <w:bottom w:val="single" w:sz="8" w:color="auto"/>
            </w:tcBorders>
            <w:shd w:val="clear" w:color="auto" w:fill="D5DCE4"/>
          </w:tcPr>
          <w:p>
            <w:pPr>
              <w:spacing w:after="0"/>
              <w:rPr>
                <w:sz w:val="23"/>
                <w:szCs w:val="23"/>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(31,494)</w:t>
            </w:r>
          </w:p>
        </w:tc>
        <w:tc>
          <w:tcPr>
            <w:tcW w:w="100" w:type="dxa"/>
            <w:vAlign w:val="bottom"/>
            <w:shd w:val="clear" w:color="auto" w:fill="D5DCE4"/>
          </w:tcPr>
          <w:p>
            <w:pPr>
              <w:spacing w:after="0"/>
              <w:rPr>
                <w:sz w:val="23"/>
                <w:szCs w:val="23"/>
                <w:color w:val="auto"/>
              </w:rPr>
            </w:pPr>
          </w:p>
        </w:tc>
        <w:tc>
          <w:tcPr>
            <w:tcW w:w="480" w:type="dxa"/>
            <w:vAlign w:val="bottom"/>
            <w:tcBorders>
              <w:bottom w:val="single" w:sz="8" w:color="auto"/>
            </w:tcBorders>
            <w:shd w:val="clear" w:color="auto" w:fill="D5DCE4"/>
          </w:tcPr>
          <w:p>
            <w:pPr>
              <w:spacing w:after="0"/>
              <w:rPr>
                <w:sz w:val="23"/>
                <w:szCs w:val="23"/>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(82,029)</w:t>
            </w:r>
          </w:p>
        </w:tc>
        <w:tc>
          <w:tcPr>
            <w:tcW w:w="80" w:type="dxa"/>
            <w:vAlign w:val="bottom"/>
            <w:shd w:val="clear" w:color="auto" w:fill="D5DCE4"/>
          </w:tcPr>
          <w:p>
            <w:pPr>
              <w:spacing w:after="0"/>
              <w:rPr>
                <w:sz w:val="23"/>
                <w:szCs w:val="23"/>
                <w:color w:val="auto"/>
              </w:rPr>
            </w:pPr>
          </w:p>
        </w:tc>
        <w:tc>
          <w:tcPr>
            <w:tcW w:w="480" w:type="dxa"/>
            <w:vAlign w:val="bottom"/>
            <w:tcBorders>
              <w:bottom w:val="single" w:sz="8" w:color="auto"/>
            </w:tcBorders>
            <w:shd w:val="clear" w:color="auto" w:fill="D5DCE4"/>
          </w:tcPr>
          <w:p>
            <w:pPr>
              <w:spacing w:after="0"/>
              <w:rPr>
                <w:sz w:val="23"/>
                <w:szCs w:val="23"/>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(63,946)</w:t>
            </w:r>
          </w:p>
        </w:tc>
      </w:tr>
      <w:tr>
        <w:trPr>
          <w:trHeight w:val="230"/>
        </w:trPr>
        <w:tc>
          <w:tcPr>
            <w:tcW w:w="498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123,749</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111,659</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252,784</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226,714</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0.52</w:t>
            </w:r>
          </w:p>
        </w:tc>
        <w:tc>
          <w:tcPr>
            <w:tcW w:w="580" w:type="dxa"/>
            <w:vAlign w:val="bottom"/>
            <w:gridSpan w:val="2"/>
            <w:shd w:val="clear" w:color="auto" w:fill="D5DCE4"/>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0.47</w:t>
            </w:r>
          </w:p>
        </w:tc>
        <w:tc>
          <w:tcPr>
            <w:tcW w:w="580" w:type="dxa"/>
            <w:vAlign w:val="bottom"/>
            <w:gridSpan w:val="2"/>
            <w:shd w:val="clear" w:color="auto" w:fill="D5DCE4"/>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1.07</w:t>
            </w:r>
          </w:p>
        </w:tc>
        <w:tc>
          <w:tcPr>
            <w:tcW w:w="560" w:type="dxa"/>
            <w:vAlign w:val="bottom"/>
            <w:gridSpan w:val="2"/>
            <w:shd w:val="clear" w:color="auto" w:fill="D5DCE4"/>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0.95</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type w:val="continuous"/>
        </w:sectPr>
      </w:pPr>
    </w:p>
    <w:p>
      <w:pPr>
        <w:spacing w:after="0" w:line="71"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69" w:right="339" w:bottom="1440" w:gutter="0" w:footer="0" w:header="0"/>
          <w:type w:val="continuous"/>
        </w:sectPr>
      </w:pPr>
    </w:p>
    <w:bookmarkStart w:id="8" w:name="page9"/>
    <w:bookmarkEnd w:id="8"/>
    <w:p>
      <w:pPr>
        <w:ind w:left="440" w:right="240" w:hanging="414"/>
        <w:spacing w:after="0" w:line="284"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10" w:lineRule="exact"/>
        <w:rPr>
          <w:rFonts w:ascii="Arial" w:cs="Arial" w:eastAsia="Arial" w:hAnsi="Arial"/>
          <w:sz w:val="12"/>
          <w:szCs w:val="12"/>
          <w:color w:val="auto"/>
        </w:rPr>
      </w:pPr>
    </w:p>
    <w:p>
      <w:pPr>
        <w:ind w:left="440" w:right="240" w:hanging="414"/>
        <w:spacing w:after="0" w:line="284"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24" w:lineRule="exact"/>
        <w:rPr>
          <w:rFonts w:ascii="Arial" w:cs="Arial" w:eastAsia="Arial" w:hAnsi="Arial"/>
          <w:sz w:val="12"/>
          <w:szCs w:val="12"/>
          <w:color w:val="auto"/>
        </w:rPr>
      </w:pPr>
    </w:p>
    <w:p>
      <w:pPr>
        <w:ind w:left="440" w:right="220" w:hanging="414"/>
        <w:spacing w:after="0" w:line="284"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0" w:lineRule="exact"/>
        <w:rPr>
          <w:rFonts w:ascii="Arial" w:cs="Arial" w:eastAsia="Arial" w:hAnsi="Arial"/>
          <w:sz w:val="12"/>
          <w:szCs w:val="12"/>
          <w:color w:val="auto"/>
        </w:rPr>
      </w:pPr>
    </w:p>
    <w:p>
      <w:pPr>
        <w:ind w:left="440" w:hanging="414"/>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w:t>
      </w:r>
    </w:p>
    <w:p>
      <w:pPr>
        <w:spacing w:after="0" w:line="37" w:lineRule="exact"/>
        <w:rPr>
          <w:rFonts w:ascii="Arial" w:cs="Arial" w:eastAsia="Arial" w:hAnsi="Arial"/>
          <w:sz w:val="12"/>
          <w:szCs w:val="12"/>
          <w:color w:val="auto"/>
        </w:rPr>
      </w:pPr>
    </w:p>
    <w:p>
      <w:pPr>
        <w:ind w:left="440" w:right="80"/>
        <w:spacing w:after="0" w:line="284" w:lineRule="auto"/>
        <w:rPr>
          <w:rFonts w:ascii="Arial" w:cs="Arial" w:eastAsia="Arial" w:hAnsi="Arial"/>
          <w:sz w:val="12"/>
          <w:szCs w:val="12"/>
          <w:color w:val="auto"/>
        </w:rPr>
      </w:pPr>
      <w:r>
        <w:rPr>
          <w:rFonts w:ascii="Arial" w:cs="Arial" w:eastAsia="Arial" w:hAnsi="Arial"/>
          <w:sz w:val="12"/>
          <w:szCs w:val="12"/>
          <w:color w:val="auto"/>
        </w:rPr>
        <w:t>options. During the three and six months ended June 30, 2022, this adjustment also includes $5.7 million and $7.4 million, respectively, of non-cash accelerated stock-based compensation expense and related payroll taxes associated with our former CFO and former CEO.</w:t>
      </w:r>
    </w:p>
    <w:p>
      <w:pPr>
        <w:spacing w:after="0" w:line="24" w:lineRule="exact"/>
        <w:rPr>
          <w:rFonts w:ascii="Arial" w:cs="Arial" w:eastAsia="Arial" w:hAnsi="Arial"/>
          <w:sz w:val="12"/>
          <w:szCs w:val="12"/>
          <w:color w:val="auto"/>
        </w:rPr>
      </w:pPr>
    </w:p>
    <w:p>
      <w:pPr>
        <w:ind w:left="440" w:right="140" w:hanging="414"/>
        <w:spacing w:after="0" w:line="261"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37" w:lineRule="exact"/>
        <w:rPr>
          <w:rFonts w:ascii="Arial" w:cs="Arial" w:eastAsia="Arial" w:hAnsi="Arial"/>
          <w:sz w:val="12"/>
          <w:szCs w:val="12"/>
          <w:color w:val="auto"/>
        </w:rPr>
      </w:pPr>
    </w:p>
    <w:p>
      <w:pPr>
        <w:ind w:left="440" w:right="80" w:hanging="414"/>
        <w:spacing w:after="0" w:line="261"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04" w:lineRule="exact"/>
        <w:rPr>
          <w:rFonts w:ascii="Arial" w:cs="Arial" w:eastAsia="Arial" w:hAnsi="Arial"/>
          <w:sz w:val="12"/>
          <w:szCs w:val="12"/>
          <w:color w:val="auto"/>
        </w:rPr>
      </w:pPr>
    </w:p>
    <w:p>
      <w:pPr>
        <w:ind w:left="440" w:right="140" w:hanging="414"/>
        <w:spacing w:after="0" w:line="261"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24.5% applied to Adjusted Net Income before income taxes for the three and six months ended June 30, 2023 and 22.0% for the three and six months ended June 30, 2022.</w:t>
      </w:r>
    </w:p>
    <w:p>
      <w:pPr>
        <w:spacing w:after="0" w:line="23" w:lineRule="exact"/>
        <w:rPr>
          <w:rFonts w:ascii="Arial" w:cs="Arial" w:eastAsia="Arial" w:hAnsi="Arial"/>
          <w:sz w:val="12"/>
          <w:szCs w:val="12"/>
          <w:color w:val="auto"/>
        </w:rPr>
      </w:pPr>
    </w:p>
    <w:p>
      <w:pPr>
        <w:ind w:left="440" w:right="120" w:hanging="414"/>
        <w:spacing w:after="0" w:line="284"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940" w:right="339" w:bottom="1440" w:gutter="0" w:footer="0" w:header="0"/>
        </w:sectPr>
      </w:pPr>
    </w:p>
    <w:p>
      <w:pPr>
        <w:spacing w:after="0" w:line="177" w:lineRule="exact"/>
        <w:rPr>
          <w:sz w:val="20"/>
          <w:szCs w:val="20"/>
          <w:color w:val="auto"/>
        </w:rPr>
      </w:pPr>
    </w:p>
    <w:p>
      <w:pPr>
        <w:ind w:left="20" w:right="260"/>
        <w:spacing w:after="0" w:line="283"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20" w:right="60"/>
        <w:spacing w:after="0" w:line="290"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4"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43"/>
        </w:trPr>
        <w:tc>
          <w:tcPr>
            <w:tcW w:w="2000" w:type="dxa"/>
            <w:vAlign w:val="bottom"/>
            <w:gridSpan w:val="3"/>
          </w:tcPr>
          <w:p>
            <w:pPr>
              <w:jc w:val="center"/>
              <w:ind w:left="1039"/>
              <w:spacing w:after="0"/>
              <w:rPr>
                <w:sz w:val="20"/>
                <w:szCs w:val="20"/>
                <w:color w:val="auto"/>
              </w:rPr>
            </w:pPr>
            <w:r>
              <w:rPr>
                <w:rFonts w:ascii="Arial" w:cs="Arial" w:eastAsia="Arial" w:hAnsi="Arial"/>
                <w:sz w:val="16"/>
                <w:szCs w:val="16"/>
                <w:b w:val="1"/>
                <w:bCs w:val="1"/>
                <w:color w:val="auto"/>
                <w:w w:val="99"/>
              </w:rPr>
              <w:t>June 30,</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3"/>
          </w:tcPr>
          <w:p>
            <w:pPr>
              <w:jc w:val="center"/>
              <w:ind w:left="1019"/>
              <w:spacing w:after="0"/>
              <w:rPr>
                <w:sz w:val="20"/>
                <w:szCs w:val="20"/>
                <w:color w:val="auto"/>
              </w:rPr>
            </w:pPr>
            <w:r>
              <w:rPr>
                <w:rFonts w:ascii="Arial" w:cs="Arial" w:eastAsia="Arial" w:hAnsi="Arial"/>
                <w:sz w:val="16"/>
                <w:szCs w:val="16"/>
                <w:b w:val="1"/>
                <w:bCs w:val="1"/>
                <w:color w:val="auto"/>
              </w:rPr>
              <w:t>June 30,</w:t>
            </w:r>
          </w:p>
        </w:tc>
        <w:tc>
          <w:tcPr>
            <w:tcW w:w="1100" w:type="dxa"/>
            <w:vAlign w:val="bottom"/>
          </w:tcPr>
          <w:p>
            <w:pPr>
              <w:spacing w:after="0"/>
              <w:rPr>
                <w:sz w:val="21"/>
                <w:szCs w:val="21"/>
                <w:color w:val="auto"/>
              </w:rPr>
            </w:pP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3"/>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423"/>
        </w:trPr>
        <w:tc>
          <w:tcPr>
            <w:tcW w:w="1500" w:type="dxa"/>
            <w:vAlign w:val="bottom"/>
          </w:tcPr>
          <w:p>
            <w:pPr>
              <w:jc w:val="right"/>
              <w:spacing w:after="0"/>
              <w:rPr>
                <w:sz w:val="20"/>
                <w:szCs w:val="20"/>
                <w:color w:val="auto"/>
              </w:rPr>
            </w:pPr>
            <w:r>
              <w:rPr>
                <w:rFonts w:ascii="Arial" w:cs="Arial" w:eastAsia="Arial" w:hAnsi="Arial"/>
                <w:sz w:val="16"/>
                <w:szCs w:val="16"/>
                <w:color w:val="auto"/>
              </w:rPr>
              <w:t>213,156,753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207,272,675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211,659,814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207,371,372</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241,963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76,426</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266,790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80,778</w:t>
            </w:r>
          </w:p>
        </w:tc>
      </w:tr>
      <w:tr>
        <w:trPr>
          <w:trHeight w:val="432"/>
        </w:trPr>
        <w:tc>
          <w:tcPr>
            <w:tcW w:w="1500" w:type="dxa"/>
            <w:vAlign w:val="bottom"/>
          </w:tcPr>
          <w:p>
            <w:pPr>
              <w:jc w:val="right"/>
              <w:spacing w:after="0"/>
              <w:rPr>
                <w:sz w:val="20"/>
                <w:szCs w:val="20"/>
                <w:color w:val="auto"/>
              </w:rPr>
            </w:pPr>
            <w:r>
              <w:rPr>
                <w:rFonts w:ascii="Arial" w:cs="Arial" w:eastAsia="Arial" w:hAnsi="Arial"/>
                <w:sz w:val="16"/>
                <w:szCs w:val="16"/>
                <w:color w:val="auto"/>
              </w:rPr>
              <w:t>23,153,250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29,971,658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24,738,197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30,133,370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-698500</wp:posOffset>
            </wp:positionV>
            <wp:extent cx="71323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-261620</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800" w:space="140"/>
            <w:col w:w="630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494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236,551,966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237,320,759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236,664,801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237,585,520</w:t>
            </w:r>
          </w:p>
        </w:tc>
      </w:tr>
      <w:tr>
        <w:trPr>
          <w:trHeight w:val="20"/>
        </w:trPr>
        <w:tc>
          <w:tcPr>
            <w:tcW w:w="494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9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123,749</w:t>
            </w:r>
          </w:p>
        </w:tc>
        <w:tc>
          <w:tcPr>
            <w:tcW w:w="10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111,659</w:t>
            </w:r>
          </w:p>
        </w:tc>
        <w:tc>
          <w:tcPr>
            <w:tcW w:w="10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252,784</w:t>
            </w:r>
          </w:p>
        </w:tc>
        <w:tc>
          <w:tcPr>
            <w:tcW w:w="10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226,714</w:t>
            </w: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8"/>
        </w:trPr>
        <w:tc>
          <w:tcPr>
            <w:tcW w:w="494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0.52</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0.47</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0.95</w:t>
            </w:r>
          </w:p>
        </w:tc>
      </w:tr>
      <w:tr>
        <w:trPr>
          <w:trHeight w:val="23"/>
        </w:trPr>
        <w:tc>
          <w:tcPr>
            <w:tcW w:w="49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15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or terminated employees that are entitled to non-</w:t>
      </w:r>
    </w:p>
    <w:p>
      <w:pPr>
        <w:spacing w:after="0" w:line="5" w:lineRule="exact"/>
        <w:rPr>
          <w:sz w:val="20"/>
          <w:szCs w:val="20"/>
          <w:color w:val="auto"/>
        </w:rPr>
      </w:pPr>
    </w:p>
    <w:p>
      <w:pPr>
        <w:ind w:left="460" w:right="540" w:hanging="434"/>
        <w:spacing w:after="0" w:line="270"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forfeitable dividend equivalent rights and are considered participating securities prior to being issued and outstanding shares of common stock in accordance with the two-class method used for purposes of calculating earnings per share.</w:t>
      </w:r>
    </w:p>
    <w:p>
      <w:pPr>
        <w:spacing w:after="0" w:line="46" w:lineRule="exact"/>
        <w:rPr>
          <w:rFonts w:ascii="Arial" w:cs="Arial" w:eastAsia="Arial" w:hAnsi="Arial"/>
          <w:sz w:val="12"/>
          <w:szCs w:val="12"/>
          <w:color w:val="auto"/>
        </w:rPr>
      </w:pPr>
    </w:p>
    <w:p>
      <w:pPr>
        <w:ind w:left="460" w:right="260" w:hanging="434"/>
        <w:spacing w:after="0" w:line="284"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gridSpan w:val="4"/>
          </w:tcPr>
          <w:p>
            <w:pPr>
              <w:ind w:left="300"/>
              <w:spacing w:after="0"/>
              <w:rPr>
                <w:sz w:val="20"/>
                <w:szCs w:val="20"/>
                <w:color w:val="auto"/>
              </w:rPr>
            </w:pPr>
            <w:r>
              <w:rPr>
                <w:rFonts w:ascii="Arial" w:cs="Arial" w:eastAsia="Arial" w:hAnsi="Arial"/>
                <w:sz w:val="16"/>
                <w:szCs w:val="16"/>
                <w:b w:val="1"/>
                <w:bCs w:val="1"/>
                <w:color w:val="auto"/>
              </w:rPr>
              <w:t>Six Months Ended</w:t>
            </w:r>
          </w:p>
        </w:tc>
      </w:tr>
      <w:tr>
        <w:trPr>
          <w:trHeight w:val="244"/>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r>
      <w:tr>
        <w:trPr>
          <w:trHeight w:val="236"/>
        </w:trPr>
        <w:tc>
          <w:tcPr>
            <w:tcW w:w="50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0"/>
        </w:trPr>
        <w:tc>
          <w:tcPr>
            <w:tcW w:w="4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1"/>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194,278</w:t>
            </w:r>
          </w:p>
        </w:tc>
        <w:tc>
          <w:tcPr>
            <w:tcW w:w="520" w:type="dxa"/>
            <w:vAlign w:val="bottom"/>
            <w:gridSpan w:val="2"/>
            <w:shd w:val="clear" w:color="auto" w:fill="D5DCE4"/>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190,531</w:t>
            </w:r>
          </w:p>
        </w:tc>
        <w:tc>
          <w:tcPr>
            <w:tcW w:w="620" w:type="dxa"/>
            <w:vAlign w:val="bottom"/>
            <w:gridSpan w:val="2"/>
            <w:shd w:val="clear" w:color="auto" w:fill="D5DCE4"/>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ind w:left="300"/>
              <w:spacing w:after="0"/>
              <w:rPr>
                <w:sz w:val="20"/>
                <w:szCs w:val="20"/>
                <w:color w:val="auto"/>
              </w:rPr>
            </w:pPr>
            <w:r>
              <w:rPr>
                <w:rFonts w:ascii="Arial" w:cs="Arial" w:eastAsia="Arial" w:hAnsi="Arial"/>
                <w:sz w:val="16"/>
                <w:szCs w:val="16"/>
                <w:color w:val="auto"/>
              </w:rPr>
              <w:t>400,961</w:t>
            </w:r>
          </w:p>
        </w:tc>
        <w:tc>
          <w:tcPr>
            <w:tcW w:w="500" w:type="dxa"/>
            <w:vAlign w:val="bottom"/>
            <w:gridSpan w:val="2"/>
            <w:shd w:val="clear" w:color="auto" w:fill="D5DCE4"/>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390,415</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6"/>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2"/>
                <w:szCs w:val="22"/>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(31,629)</w:t>
            </w:r>
          </w:p>
        </w:tc>
        <w:tc>
          <w:tcPr>
            <w:tcW w:w="100" w:type="dxa"/>
            <w:vAlign w:val="bottom"/>
            <w:shd w:val="clear" w:color="auto" w:fill="D5DCE4"/>
          </w:tcPr>
          <w:p>
            <w:pPr>
              <w:spacing w:after="0"/>
              <w:rPr>
                <w:sz w:val="22"/>
                <w:szCs w:val="22"/>
                <w:color w:val="auto"/>
              </w:rPr>
            </w:pPr>
          </w:p>
        </w:tc>
        <w:tc>
          <w:tcPr>
            <w:tcW w:w="420" w:type="dxa"/>
            <w:vAlign w:val="bottom"/>
            <w:shd w:val="clear" w:color="auto" w:fill="D5DCE4"/>
          </w:tcPr>
          <w:p>
            <w:pPr>
              <w:spacing w:after="0"/>
              <w:rPr>
                <w:sz w:val="22"/>
                <w:szCs w:val="22"/>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(31,761)</w:t>
            </w:r>
          </w:p>
        </w:tc>
        <w:tc>
          <w:tcPr>
            <w:tcW w:w="80" w:type="dxa"/>
            <w:vAlign w:val="bottom"/>
            <w:shd w:val="clear" w:color="auto" w:fill="D5DCE4"/>
          </w:tcPr>
          <w:p>
            <w:pPr>
              <w:spacing w:after="0"/>
              <w:rPr>
                <w:sz w:val="22"/>
                <w:szCs w:val="22"/>
                <w:color w:val="auto"/>
              </w:rPr>
            </w:pPr>
          </w:p>
        </w:tc>
        <w:tc>
          <w:tcPr>
            <w:tcW w:w="540" w:type="dxa"/>
            <w:vAlign w:val="bottom"/>
            <w:shd w:val="clear" w:color="auto" w:fill="D5DCE4"/>
          </w:tcPr>
          <w:p>
            <w:pPr>
              <w:spacing w:after="0"/>
              <w:rPr>
                <w:sz w:val="22"/>
                <w:szCs w:val="22"/>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(63,246)</w:t>
            </w:r>
          </w:p>
        </w:tc>
        <w:tc>
          <w:tcPr>
            <w:tcW w:w="80" w:type="dxa"/>
            <w:vAlign w:val="bottom"/>
            <w:shd w:val="clear" w:color="auto" w:fill="D5DCE4"/>
          </w:tcPr>
          <w:p>
            <w:pPr>
              <w:spacing w:after="0"/>
              <w:rPr>
                <w:sz w:val="22"/>
                <w:szCs w:val="22"/>
                <w:color w:val="auto"/>
              </w:rPr>
            </w:pPr>
          </w:p>
        </w:tc>
        <w:tc>
          <w:tcPr>
            <w:tcW w:w="420" w:type="dxa"/>
            <w:vAlign w:val="bottom"/>
            <w:shd w:val="clear" w:color="auto" w:fill="D5DCE4"/>
          </w:tcPr>
          <w:p>
            <w:pPr>
              <w:spacing w:after="0"/>
              <w:rPr>
                <w:sz w:val="22"/>
                <w:szCs w:val="22"/>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(63,530)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(7,295)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(11,164)</w:t>
            </w:r>
          </w:p>
        </w:tc>
      </w:tr>
      <w:tr>
        <w:trPr>
          <w:trHeight w:val="25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2"/>
                <w:szCs w:val="22"/>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spacing w:after="0"/>
              <w:rPr>
                <w:sz w:val="22"/>
                <w:szCs w:val="22"/>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3,066</w:t>
            </w:r>
          </w:p>
        </w:tc>
        <w:tc>
          <w:tcPr>
            <w:tcW w:w="80" w:type="dxa"/>
            <w:vAlign w:val="bottom"/>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spacing w:after="0"/>
              <w:rPr>
                <w:sz w:val="22"/>
                <w:szCs w:val="22"/>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(1,834)</w:t>
            </w:r>
          </w:p>
        </w:tc>
        <w:tc>
          <w:tcPr>
            <w:tcW w:w="80" w:type="dxa"/>
            <w:vAlign w:val="bottom"/>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spacing w:after="0"/>
              <w:rPr>
                <w:sz w:val="22"/>
                <w:szCs w:val="22"/>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2,334</w:t>
            </w: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161,816</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154,526</w:t>
            </w:r>
          </w:p>
        </w:tc>
        <w:tc>
          <w:tcPr>
            <w:tcW w:w="6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Pr>
          <w:p>
            <w:pPr>
              <w:ind w:left="300"/>
              <w:spacing w:after="0"/>
              <w:rPr>
                <w:sz w:val="20"/>
                <w:szCs w:val="20"/>
                <w:color w:val="auto"/>
              </w:rPr>
            </w:pPr>
            <w:r>
              <w:rPr>
                <w:rFonts w:ascii="Arial" w:cs="Arial" w:eastAsia="Arial" w:hAnsi="Arial"/>
                <w:sz w:val="16"/>
                <w:szCs w:val="16"/>
                <w:color w:val="auto"/>
              </w:rPr>
              <w:t>332,649</w:t>
            </w:r>
          </w:p>
        </w:tc>
        <w:tc>
          <w:tcPr>
            <w:tcW w:w="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318,058</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60" w:right="220" w:hanging="434"/>
        <w:spacing w:after="0" w:line="182" w:lineRule="auto"/>
        <w:tabs>
          <w:tab w:leader="none" w:pos="460" w:val="left"/>
        </w:tabs>
        <w:numPr>
          <w:ilvl w:val="0"/>
          <w:numId w:val="10"/>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49" w:lineRule="exact"/>
        <w:rPr>
          <w:rFonts w:ascii="Arial" w:cs="Arial" w:eastAsia="Arial" w:hAnsi="Arial"/>
          <w:sz w:val="22"/>
          <w:szCs w:val="22"/>
          <w:color w:val="auto"/>
          <w:vertAlign w:val="subscript"/>
        </w:rPr>
      </w:pPr>
    </w:p>
    <w:p>
      <w:pPr>
        <w:ind w:left="460" w:right="200" w:hanging="434"/>
        <w:spacing w:after="0" w:line="284" w:lineRule="auto"/>
        <w:tabs>
          <w:tab w:leader="none" w:pos="4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4" w:lineRule="exact"/>
        <w:rPr>
          <w:rFonts w:ascii="Arial" w:cs="Arial" w:eastAsia="Arial" w:hAnsi="Arial"/>
          <w:sz w:val="12"/>
          <w:szCs w:val="12"/>
          <w:color w:val="auto"/>
        </w:rPr>
      </w:pPr>
    </w:p>
    <w:p>
      <w:pPr>
        <w:ind w:left="460" w:right="80" w:hanging="434"/>
        <w:spacing w:after="0" w:line="283" w:lineRule="auto"/>
        <w:tabs>
          <w:tab w:leader="none" w:pos="4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six months ended June 30, 2022, this adjustment also includes $5.7 million and $7.4 million, respectively, of non-cash accelerated stock-based compensation expense and related payroll taxes associated with our former CFO and former CEO.</w:t>
      </w:r>
    </w:p>
    <w:p>
      <w:pPr>
        <w:spacing w:after="0" w:line="24" w:lineRule="exact"/>
        <w:rPr>
          <w:rFonts w:ascii="Arial" w:cs="Arial" w:eastAsia="Arial" w:hAnsi="Arial"/>
          <w:sz w:val="12"/>
          <w:szCs w:val="12"/>
          <w:color w:val="auto"/>
        </w:rPr>
      </w:pPr>
    </w:p>
    <w:p>
      <w:pPr>
        <w:ind w:left="460" w:right="120" w:hanging="434"/>
        <w:spacing w:after="0" w:line="284" w:lineRule="auto"/>
        <w:tabs>
          <w:tab w:leader="none" w:pos="4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940" w:right="339" w:bottom="1440" w:gutter="0" w:footer="0" w:header="0"/>
          <w:type w:val="continuous"/>
        </w:sectPr>
      </w:pPr>
    </w:p>
    <w:bookmarkStart w:id="9" w:name="page10"/>
    <w:bookmarkEnd w:id="9"/>
    <w:p>
      <w:pPr>
        <w:ind w:left="8180"/>
        <w:spacing w:after="0"/>
        <w:rPr>
          <w:sz w:val="20"/>
          <w:szCs w:val="20"/>
          <w:color w:val="auto"/>
        </w:rPr>
      </w:pPr>
      <w:r>
        <w:rPr>
          <w:rFonts w:ascii="Arial" w:cs="Arial" w:eastAsia="Arial" w:hAnsi="Arial"/>
          <w:sz w:val="16"/>
          <w:szCs w:val="16"/>
          <w:b w:val="1"/>
          <w:bCs w:val="1"/>
          <w:color w:val="auto"/>
        </w:rPr>
        <w:t>Trailing Twelve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31750</wp:posOffset>
            </wp:positionV>
            <wp:extent cx="1971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5100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00955" cy="825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from operating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Capitalization of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right="2420"/>
        <w:spacing w:after="0" w:line="399" w:lineRule="auto"/>
        <w:rPr>
          <w:sz w:val="20"/>
          <w:szCs w:val="20"/>
          <w:color w:val="auto"/>
        </w:rPr>
      </w:pPr>
      <w:r>
        <w:rPr>
          <w:rFonts w:ascii="Arial" w:cs="Arial" w:eastAsia="Arial" w:hAnsi="Arial"/>
          <w:sz w:val="16"/>
          <w:szCs w:val="16"/>
          <w:color w:val="auto"/>
        </w:rPr>
        <w:t>Less: Purchases of furniture, equipment and leasehold improvements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9"/>
        </w:trPr>
        <w:tc>
          <w:tcPr>
            <w:tcW w:w="340" w:type="dxa"/>
            <w:vAlign w:val="bottom"/>
          </w:tcPr>
          <w:p>
            <w:pPr>
              <w:spacing w:after="0"/>
              <w:rPr>
                <w:sz w:val="23"/>
                <w:szCs w:val="23"/>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3"/>
                <w:szCs w:val="23"/>
                <w:color w:val="auto"/>
              </w:rPr>
            </w:pPr>
          </w:p>
        </w:tc>
      </w:tr>
      <w:tr>
        <w:trPr>
          <w:trHeight w:val="245"/>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693,446</w:t>
            </w:r>
          </w:p>
        </w:tc>
        <w:tc>
          <w:tcPr>
            <w:tcW w:w="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597,330</w:t>
            </w:r>
          </w:p>
        </w:tc>
      </w:tr>
      <w:tr>
        <w:trPr>
          <w:trHeight w:val="243"/>
        </w:trPr>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(35,767)</w:t>
            </w:r>
          </w:p>
        </w:tc>
      </w:tr>
      <w:tr>
        <w:trPr>
          <w:trHeight w:val="243"/>
        </w:trPr>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(23,158)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634,766</w:t>
            </w:r>
          </w:p>
        </w:tc>
        <w:tc>
          <w:tcPr>
            <w:tcW w:w="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538,405</w:t>
            </w:r>
          </w:p>
        </w:tc>
      </w:tr>
      <w:tr>
        <w:trPr>
          <w:trHeight w:val="27"/>
        </w:trPr>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bl>
    <w:p>
      <w:pPr>
        <w:spacing w:after="0" w:line="1708" w:lineRule="exact"/>
        <w:rPr>
          <w:sz w:val="20"/>
          <w:szCs w:val="20"/>
          <w:color w:val="auto"/>
        </w:rPr>
      </w:pPr>
    </w:p>
    <w:p>
      <w:pPr>
        <w:sectPr>
          <w:pgSz w:w="11900" w:h="16838" w:orient="portrait"/>
          <w:cols w:equalWidth="0" w:num="2">
            <w:col w:w="7420" w:space="720"/>
            <w:col w:w="3100"/>
          </w:cols>
          <w:pgMar w:left="320" w:top="823"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9"/>
          </w:tcPr>
          <w:p>
            <w:pPr>
              <w:jc w:val="right"/>
              <w:ind w:right="8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00" w:type="dxa"/>
            <w:vAlign w:val="bottom"/>
            <w:tcBorders>
              <w:bottom w:val="single" w:sz="8" w:color="D5DCE4"/>
            </w:tcBorders>
            <w:gridSpan w:val="3"/>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180" w:type="dxa"/>
            <w:vAlign w:val="bottom"/>
            <w:tcBorders>
              <w:bottom w:val="single" w:sz="8" w:color="D5DCE4"/>
            </w:tcBorders>
            <w:shd w:val="clear" w:color="auto" w:fill="D5DCE4"/>
          </w:tcPr>
          <w:p>
            <w:pPr>
              <w:spacing w:after="0"/>
              <w:rPr>
                <w:sz w:val="20"/>
                <w:szCs w:val="20"/>
                <w:color w:val="auto"/>
              </w:rPr>
            </w:pPr>
          </w:p>
        </w:tc>
        <w:tc>
          <w:tcPr>
            <w:tcW w:w="100" w:type="dxa"/>
            <w:vAlign w:val="bottom"/>
            <w:tcBorders>
              <w:bottom w:val="single" w:sz="8" w:color="D5DCE4"/>
            </w:tcBorders>
            <w:shd w:val="clear" w:color="auto" w:fill="D5DCE4"/>
          </w:tcPr>
          <w:p>
            <w:pPr>
              <w:spacing w:after="0"/>
              <w:rPr>
                <w:sz w:val="20"/>
                <w:szCs w:val="20"/>
                <w:color w:val="auto"/>
              </w:rPr>
            </w:pPr>
          </w:p>
        </w:tc>
        <w:tc>
          <w:tcPr>
            <w:tcW w:w="400" w:type="dxa"/>
            <w:vAlign w:val="bottom"/>
            <w:tcBorders>
              <w:bottom w:val="single" w:sz="8" w:color="D5DCE4"/>
            </w:tcBorders>
            <w:shd w:val="clear" w:color="auto" w:fill="D5DCE4"/>
          </w:tcPr>
          <w:p>
            <w:pPr>
              <w:spacing w:after="0"/>
              <w:rPr>
                <w:sz w:val="20"/>
                <w:szCs w:val="20"/>
                <w:color w:val="auto"/>
              </w:rPr>
            </w:pPr>
          </w:p>
        </w:tc>
        <w:tc>
          <w:tcPr>
            <w:tcW w:w="112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180" w:type="dxa"/>
            <w:vAlign w:val="bottom"/>
            <w:tcBorders>
              <w:bottom w:val="single" w:sz="8" w:color="D5DCE4"/>
            </w:tcBorders>
            <w:shd w:val="clear" w:color="auto" w:fill="D5DCE4"/>
          </w:tcPr>
          <w:p>
            <w:pPr>
              <w:spacing w:after="0"/>
              <w:rPr>
                <w:sz w:val="20"/>
                <w:szCs w:val="20"/>
                <w:color w:val="auto"/>
              </w:rPr>
            </w:pPr>
          </w:p>
        </w:tc>
        <w:tc>
          <w:tcPr>
            <w:tcW w:w="100" w:type="dxa"/>
            <w:vAlign w:val="bottom"/>
            <w:tcBorders>
              <w:bottom w:val="single" w:sz="8" w:color="D5DCE4"/>
            </w:tcBorders>
            <w:shd w:val="clear" w:color="auto" w:fill="D5DCE4"/>
          </w:tcPr>
          <w:p>
            <w:pPr>
              <w:spacing w:after="0"/>
              <w:rPr>
                <w:sz w:val="20"/>
                <w:szCs w:val="20"/>
                <w:color w:val="auto"/>
              </w:rPr>
            </w:pPr>
          </w:p>
        </w:tc>
        <w:tc>
          <w:tcPr>
            <w:tcW w:w="440" w:type="dxa"/>
            <w:vAlign w:val="bottom"/>
            <w:tcBorders>
              <w:bottom w:val="single" w:sz="8" w:color="D5DCE4"/>
            </w:tcBorders>
            <w:shd w:val="clear" w:color="auto" w:fill="D5DCE4"/>
          </w:tcPr>
          <w:p>
            <w:pPr>
              <w:spacing w:after="0"/>
              <w:rPr>
                <w:sz w:val="20"/>
                <w:szCs w:val="20"/>
                <w:color w:val="auto"/>
              </w:rPr>
            </w:pPr>
          </w:p>
        </w:tc>
        <w:tc>
          <w:tcPr>
            <w:tcW w:w="1060" w:type="dxa"/>
            <w:vAlign w:val="bottom"/>
            <w:tcBorders>
              <w:bottom w:val="single" w:sz="8" w:color="D5DCE4"/>
            </w:tcBorders>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2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89,082</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68,344</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176,938</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151,309</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2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D5DCE4"/>
            </w:tcBorders>
            <w:shd w:val="clear" w:color="auto" w:fill="D5DCE4"/>
          </w:tcPr>
          <w:p>
            <w:pPr>
              <w:spacing w:after="0"/>
              <w:rPr>
                <w:sz w:val="19"/>
                <w:szCs w:val="19"/>
                <w:color w:val="auto"/>
              </w:rPr>
            </w:pPr>
          </w:p>
        </w:tc>
        <w:tc>
          <w:tcPr>
            <w:tcW w:w="4920" w:type="dxa"/>
            <w:vAlign w:val="bottom"/>
            <w:tcBorders>
              <w:bottom w:val="single" w:sz="8" w:color="D5DCE4"/>
            </w:tcBorders>
            <w:gridSpan w:val="4"/>
            <w:shd w:val="clear" w:color="auto" w:fill="D5DCE4"/>
          </w:tcPr>
          <w:p>
            <w:pPr>
              <w:spacing w:after="0" w:line="226" w:lineRule="exact"/>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5DCE4"/>
          </w:tcPr>
          <w:p>
            <w:pPr>
              <w:spacing w:after="0"/>
              <w:rPr>
                <w:sz w:val="19"/>
                <w:szCs w:val="19"/>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D5DCE4"/>
            </w:tcBorders>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spacing w:after="0"/>
              <w:rPr>
                <w:sz w:val="19"/>
                <w:szCs w:val="19"/>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auto"/>
            </w:tcBorders>
            <w:shd w:val="clear" w:color="auto" w:fill="D5DCE4"/>
          </w:tcPr>
          <w:p>
            <w:pPr>
              <w:spacing w:after="0"/>
              <w:rPr>
                <w:sz w:val="19"/>
                <w:szCs w:val="19"/>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D5DCE4"/>
            </w:tcBorders>
            <w:shd w:val="clear" w:color="auto" w:fill="D5DCE4"/>
          </w:tcPr>
          <w:p>
            <w:pPr>
              <w:spacing w:after="0"/>
              <w:rPr>
                <w:sz w:val="19"/>
                <w:szCs w:val="19"/>
                <w:color w:val="auto"/>
              </w:rPr>
            </w:pPr>
          </w:p>
        </w:tc>
        <w:tc>
          <w:tcPr>
            <w:tcW w:w="440" w:type="dxa"/>
            <w:vAlign w:val="bottom"/>
            <w:tcBorders>
              <w:bottom w:val="single" w:sz="8" w:color="auto"/>
            </w:tcBorders>
            <w:shd w:val="clear" w:color="auto" w:fill="D5DCE4"/>
          </w:tcPr>
          <w:p>
            <w:pPr>
              <w:spacing w:after="0"/>
              <w:rPr>
                <w:sz w:val="19"/>
                <w:szCs w:val="19"/>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88,980</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68,318</w:t>
            </w: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176,713</w:t>
            </w:r>
          </w:p>
        </w:tc>
        <w:tc>
          <w:tcPr>
            <w:tcW w:w="54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151,256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40" w:type="dxa"/>
            <w:vAlign w:val="bottom"/>
            <w:tcBorders>
              <w:bottom w:val="single" w:sz="8" w:color="D5DCE4"/>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shd w:val="clear" w:color="auto" w:fill="D5DCE4"/>
          </w:tcPr>
          <w:p>
            <w:pPr>
              <w:spacing w:after="0"/>
              <w:rPr>
                <w:sz w:val="18"/>
                <w:szCs w:val="18"/>
                <w:color w:val="auto"/>
              </w:rPr>
            </w:pPr>
          </w:p>
        </w:tc>
        <w:tc>
          <w:tcPr>
            <w:tcW w:w="820" w:type="dxa"/>
            <w:vAlign w:val="bottom"/>
            <w:shd w:val="clear" w:color="auto" w:fill="D5DCE4"/>
          </w:tcPr>
          <w:p>
            <w:pPr>
              <w:spacing w:after="0"/>
              <w:rPr>
                <w:sz w:val="18"/>
                <w:szCs w:val="18"/>
                <w:color w:val="auto"/>
              </w:rPr>
            </w:pPr>
          </w:p>
        </w:tc>
        <w:tc>
          <w:tcPr>
            <w:tcW w:w="160" w:type="dxa"/>
            <w:vAlign w:val="bottom"/>
            <w:shd w:val="clear" w:color="auto" w:fill="D5DCE4"/>
          </w:tcPr>
          <w:p>
            <w:pPr>
              <w:spacing w:after="0"/>
              <w:rPr>
                <w:sz w:val="18"/>
                <w:szCs w:val="18"/>
                <w:color w:val="auto"/>
              </w:rPr>
            </w:pPr>
          </w:p>
        </w:tc>
        <w:tc>
          <w:tcPr>
            <w:tcW w:w="384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D5DCE4"/>
          </w:tcPr>
          <w:p>
            <w:pPr>
              <w:spacing w:after="0"/>
              <w:rPr>
                <w:sz w:val="14"/>
                <w:szCs w:val="14"/>
                <w:color w:val="auto"/>
              </w:rPr>
            </w:pPr>
          </w:p>
        </w:tc>
        <w:tc>
          <w:tcPr>
            <w:tcW w:w="4920" w:type="dxa"/>
            <w:vAlign w:val="bottom"/>
            <w:gridSpan w:val="4"/>
            <w:shd w:val="clear" w:color="auto" w:fill="D5DCE4"/>
          </w:tcPr>
          <w:p>
            <w:pPr>
              <w:spacing w:after="0" w:line="165"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211,569,728</w:t>
            </w:r>
          </w:p>
        </w:tc>
        <w:tc>
          <w:tcPr>
            <w:tcW w:w="100" w:type="dxa"/>
            <w:vAlign w:val="bottom"/>
            <w:shd w:val="clear" w:color="auto" w:fill="D5DCE4"/>
          </w:tcPr>
          <w:p>
            <w:pPr>
              <w:spacing w:after="0"/>
              <w:rPr>
                <w:sz w:val="14"/>
                <w:szCs w:val="14"/>
                <w:color w:val="auto"/>
              </w:rPr>
            </w:pPr>
          </w:p>
        </w:tc>
        <w:tc>
          <w:tcPr>
            <w:tcW w:w="400" w:type="dxa"/>
            <w:vAlign w:val="bottom"/>
            <w:shd w:val="clear" w:color="auto" w:fill="D5DCE4"/>
          </w:tcPr>
          <w:p>
            <w:pPr>
              <w:spacing w:after="0"/>
              <w:rPr>
                <w:sz w:val="14"/>
                <w:szCs w:val="14"/>
                <w:color w:val="auto"/>
              </w:rPr>
            </w:pPr>
          </w:p>
        </w:tc>
        <w:tc>
          <w:tcPr>
            <w:tcW w:w="11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204,501,035</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209,847,153</w:t>
            </w:r>
          </w:p>
        </w:tc>
        <w:tc>
          <w:tcPr>
            <w:tcW w:w="100" w:type="dxa"/>
            <w:vAlign w:val="bottom"/>
            <w:shd w:val="clear" w:color="auto" w:fill="D5DCE4"/>
          </w:tcPr>
          <w:p>
            <w:pPr>
              <w:spacing w:after="0"/>
              <w:rPr>
                <w:sz w:val="14"/>
                <w:szCs w:val="14"/>
                <w:color w:val="auto"/>
              </w:rPr>
            </w:pPr>
          </w:p>
        </w:tc>
        <w:tc>
          <w:tcPr>
            <w:tcW w:w="440" w:type="dxa"/>
            <w:vAlign w:val="bottom"/>
            <w:shd w:val="clear" w:color="auto" w:fill="D5DCE4"/>
          </w:tcPr>
          <w:p>
            <w:pPr>
              <w:spacing w:after="0"/>
              <w:rPr>
                <w:sz w:val="14"/>
                <w:szCs w:val="14"/>
                <w:color w:val="auto"/>
              </w:rPr>
            </w:pPr>
          </w:p>
        </w:tc>
        <w:tc>
          <w:tcPr>
            <w:tcW w:w="10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204,282,406</w:t>
            </w:r>
          </w:p>
        </w:tc>
        <w:tc>
          <w:tcPr>
            <w:tcW w:w="0" w:type="dxa"/>
            <w:vAlign w:val="bottom"/>
          </w:tcPr>
          <w:p>
            <w:pPr>
              <w:spacing w:after="0"/>
              <w:rPr>
                <w:sz w:val="1"/>
                <w:szCs w:val="1"/>
                <w:color w:val="auto"/>
              </w:rPr>
            </w:pPr>
          </w:p>
        </w:tc>
      </w:tr>
      <w:tr>
        <w:trPr>
          <w:trHeight w:val="213"/>
        </w:trPr>
        <w:tc>
          <w:tcPr>
            <w:tcW w:w="20" w:type="dxa"/>
            <w:vAlign w:val="bottom"/>
            <w:shd w:val="clear" w:color="auto" w:fill="D5DCE4"/>
          </w:tcPr>
          <w:p>
            <w:pPr>
              <w:spacing w:after="0"/>
              <w:rPr>
                <w:sz w:val="18"/>
                <w:szCs w:val="18"/>
                <w:color w:val="auto"/>
              </w:rPr>
            </w:pPr>
          </w:p>
        </w:tc>
        <w:tc>
          <w:tcPr>
            <w:tcW w:w="492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12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106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2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350,713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782,955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318,638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765,497</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2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1,143,376</w:t>
            </w:r>
          </w:p>
        </w:tc>
        <w:tc>
          <w:tcPr>
            <w:tcW w:w="10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1,839,177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1,306,297</w:t>
            </w:r>
          </w:p>
        </w:tc>
        <w:tc>
          <w:tcPr>
            <w:tcW w:w="10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2,080,602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92,936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149,508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187,726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242,867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D5DCE4"/>
            </w:tcBorders>
            <w:shd w:val="clear" w:color="auto" w:fill="D5DCE4"/>
          </w:tcPr>
          <w:p>
            <w:pPr>
              <w:spacing w:after="0"/>
              <w:rPr>
                <w:sz w:val="20"/>
                <w:szCs w:val="20"/>
                <w:color w:val="auto"/>
              </w:rPr>
            </w:pPr>
          </w:p>
        </w:tc>
        <w:tc>
          <w:tcPr>
            <w:tcW w:w="4920" w:type="dxa"/>
            <w:vAlign w:val="bottom"/>
            <w:tcBorders>
              <w:bottom w:val="single" w:sz="8" w:color="D5DCE4"/>
            </w:tcBorders>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5DCE4"/>
            </w:tcBorders>
            <w:shd w:val="clear" w:color="auto" w:fill="D5DCE4"/>
          </w:tcPr>
          <w:p>
            <w:pPr>
              <w:spacing w:after="0"/>
              <w:rPr>
                <w:sz w:val="20"/>
                <w:szCs w:val="20"/>
                <w:color w:val="auto"/>
              </w:rPr>
            </w:pPr>
          </w:p>
        </w:tc>
        <w:tc>
          <w:tcPr>
            <w:tcW w:w="400" w:type="dxa"/>
            <w:vAlign w:val="bottom"/>
            <w:tcBorders>
              <w:bottom w:val="single" w:sz="8" w:color="auto"/>
            </w:tcBorders>
            <w:shd w:val="clear" w:color="auto" w:fill="D5DCE4"/>
          </w:tcPr>
          <w:p>
            <w:pPr>
              <w:spacing w:after="0"/>
              <w:rPr>
                <w:sz w:val="20"/>
                <w:szCs w:val="20"/>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5DCE4"/>
            </w:tcBorders>
            <w:shd w:val="clear" w:color="auto" w:fill="D5DCE4"/>
          </w:tcPr>
          <w:p>
            <w:pPr>
              <w:spacing w:after="0"/>
              <w:rPr>
                <w:sz w:val="20"/>
                <w:szCs w:val="20"/>
                <w:color w:val="auto"/>
              </w:rPr>
            </w:pPr>
          </w:p>
        </w:tc>
        <w:tc>
          <w:tcPr>
            <w:tcW w:w="440" w:type="dxa"/>
            <w:vAlign w:val="bottom"/>
            <w:tcBorders>
              <w:bottom w:val="single" w:sz="8" w:color="auto"/>
            </w:tcBorders>
            <w:shd w:val="clear" w:color="auto" w:fill="D5DCE4"/>
          </w:tcPr>
          <w:p>
            <w:pPr>
              <w:spacing w:after="0"/>
              <w:rPr>
                <w:sz w:val="20"/>
                <w:szCs w:val="20"/>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20" w:type="dxa"/>
            <w:vAlign w:val="bottom"/>
            <w:gridSpan w:val="4"/>
          </w:tcPr>
          <w:p>
            <w:pPr>
              <w:spacing w:after="0" w:line="165"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213,156,753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207,272,675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211,659,814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207,371,372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20" w:type="dxa"/>
            <w:vAlign w:val="bottom"/>
            <w:gridSpan w:val="4"/>
            <w:vMerge w:val="restart"/>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920" w:type="dxa"/>
            <w:vAlign w:val="bottom"/>
            <w:gridSpan w:val="4"/>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40" w:type="dxa"/>
            <w:vAlign w:val="bottom"/>
            <w:tcBorders>
              <w:bottom w:val="single" w:sz="8" w:color="D5DCE4"/>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820" w:type="dxa"/>
            <w:vAlign w:val="bottom"/>
            <w:shd w:val="clear" w:color="auto" w:fill="D5DCE4"/>
          </w:tcPr>
          <w:p>
            <w:pPr>
              <w:spacing w:after="0"/>
              <w:rPr>
                <w:sz w:val="18"/>
                <w:szCs w:val="18"/>
                <w:color w:val="auto"/>
              </w:rPr>
            </w:pPr>
          </w:p>
        </w:tc>
        <w:tc>
          <w:tcPr>
            <w:tcW w:w="160" w:type="dxa"/>
            <w:vAlign w:val="bottom"/>
            <w:shd w:val="clear" w:color="auto" w:fill="D5DCE4"/>
          </w:tcPr>
          <w:p>
            <w:pPr>
              <w:spacing w:after="0"/>
              <w:rPr>
                <w:sz w:val="18"/>
                <w:szCs w:val="18"/>
                <w:color w:val="auto"/>
              </w:rPr>
            </w:pPr>
          </w:p>
        </w:tc>
        <w:tc>
          <w:tcPr>
            <w:tcW w:w="384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92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0.42</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0.33</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0.84</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40" w:type="dxa"/>
            <w:vAlign w:val="bottom"/>
            <w:tcBorders>
              <w:bottom w:val="single" w:sz="8" w:color="D5DCE4"/>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shd w:val="clear" w:color="auto" w:fill="D5DCE4"/>
          </w:tcPr>
          <w:p>
            <w:pPr>
              <w:spacing w:after="0"/>
              <w:rPr>
                <w:sz w:val="22"/>
                <w:szCs w:val="22"/>
                <w:color w:val="auto"/>
              </w:rPr>
            </w:pPr>
          </w:p>
        </w:tc>
        <w:tc>
          <w:tcPr>
            <w:tcW w:w="492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500" w:type="dxa"/>
            <w:vAlign w:val="bottom"/>
            <w:gridSpan w:val="2"/>
            <w:shd w:val="clear" w:color="auto" w:fill="D5DCE4"/>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400" w:type="dxa"/>
            <w:vAlign w:val="bottom"/>
            <w:gridSpan w:val="2"/>
            <w:shd w:val="clear" w:color="auto" w:fill="D5DCE4"/>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0.83</w:t>
            </w:r>
          </w:p>
        </w:tc>
        <w:tc>
          <w:tcPr>
            <w:tcW w:w="540" w:type="dxa"/>
            <w:vAlign w:val="bottom"/>
            <w:gridSpan w:val="2"/>
            <w:shd w:val="clear" w:color="auto" w:fill="D5DCE4"/>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40" w:type="dxa"/>
            <w:vAlign w:val="bottom"/>
            <w:tcBorders>
              <w:top w:val="single" w:sz="8" w:color="D5DCE4"/>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the three months ended June 30, 2023 and 2022, there was a total of 241,963 and 76,426, respectively, and during the six months ended June 30, 2023 and 2022, there was a total of 266,790</w:t>
      </w:r>
    </w:p>
    <w:p>
      <w:pPr>
        <w:spacing w:after="0" w:line="5" w:lineRule="exact"/>
        <w:rPr>
          <w:sz w:val="20"/>
          <w:szCs w:val="20"/>
          <w:color w:val="auto"/>
        </w:rPr>
      </w:pPr>
    </w:p>
    <w:p>
      <w:pPr>
        <w:ind w:left="460" w:right="120" w:hanging="434"/>
        <w:spacing w:after="0" w:line="270" w:lineRule="auto"/>
        <w:tabs>
          <w:tab w:leader="none" w:pos="4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and 80,778, respectively, weighted average unvested RSUs and unsettled vested PRSUs that were considered a participating security for purposes of calculating earnings per share in accordance with the two-class method.</w:t>
      </w:r>
    </w:p>
    <w:p>
      <w:pPr>
        <w:spacing w:after="0" w:line="200" w:lineRule="exact"/>
        <w:rPr>
          <w:sz w:val="20"/>
          <w:szCs w:val="20"/>
          <w:color w:val="auto"/>
        </w:rPr>
      </w:pPr>
    </w:p>
    <w:p>
      <w:pPr>
        <w:spacing w:after="0" w:line="328"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823"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2023</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2022</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6"/>
        </w:trPr>
        <w:tc>
          <w:tcPr>
            <w:tcW w:w="220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01"/>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Fixed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Variable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220" w:type="dxa"/>
            <w:vAlign w:val="bottom"/>
          </w:tcPr>
          <w:p>
            <w:pPr>
              <w:spacing w:after="0"/>
              <w:rPr>
                <w:sz w:val="20"/>
                <w:szCs w:val="20"/>
                <w:color w:val="auto"/>
              </w:rPr>
            </w:pPr>
          </w:p>
        </w:tc>
        <w:tc>
          <w:tcPr>
            <w:tcW w:w="10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c>
          <w:tcPr>
            <w:tcW w:w="0" w:type="dxa"/>
            <w:vAlign w:val="bottom"/>
          </w:tcPr>
          <w:p>
            <w:pPr>
              <w:spacing w:after="0"/>
              <w:rPr>
                <w:sz w:val="1"/>
                <w:szCs w:val="1"/>
                <w:color w:val="auto"/>
              </w:rPr>
            </w:pP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gridSpan w:val="6"/>
          </w:tcPr>
          <w:p>
            <w:pPr>
              <w:jc w:val="right"/>
              <w:ind w:right="36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101,588</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58,766</w:t>
            </w:r>
          </w:p>
        </w:tc>
        <w:tc>
          <w:tcPr>
            <w:tcW w:w="26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96,334</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55,252</w:t>
            </w:r>
          </w:p>
        </w:tc>
        <w:tc>
          <w:tcPr>
            <w:tcW w:w="3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5,254</w:t>
            </w:r>
          </w:p>
        </w:tc>
        <w:tc>
          <w:tcPr>
            <w:tcW w:w="80" w:type="dxa"/>
            <w:vAlign w:val="bottom"/>
            <w:shd w:val="clear" w:color="auto" w:fill="D5DCE4"/>
          </w:tcPr>
          <w:p>
            <w:pPr>
              <w:spacing w:after="0"/>
              <w:rPr>
                <w:sz w:val="21"/>
                <w:szCs w:val="21"/>
                <w:color w:val="auto"/>
              </w:rPr>
            </w:pPr>
          </w:p>
        </w:tc>
        <w:tc>
          <w:tcPr>
            <w:tcW w:w="120" w:type="dxa"/>
            <w:vAlign w:val="bottom"/>
            <w:gridSpan w:val="2"/>
            <w:shd w:val="clear" w:color="auto" w:fill="D5DCE4"/>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1"/>
                <w:szCs w:val="21"/>
                <w:color w:val="auto"/>
              </w:rPr>
            </w:pPr>
          </w:p>
        </w:tc>
        <w:tc>
          <w:tcPr>
            <w:tcW w:w="7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3,514</w:t>
            </w:r>
          </w:p>
        </w:tc>
        <w:tc>
          <w:tcPr>
            <w:tcW w:w="22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62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5.5 %</w:t>
            </w:r>
          </w:p>
        </w:tc>
        <w:tc>
          <w:tcPr>
            <w:tcW w:w="11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77,334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6,714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77,497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6,494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46"/>
        </w:trPr>
        <w:tc>
          <w:tcPr>
            <w:tcW w:w="22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19,866</w:t>
            </w: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80" w:type="dxa"/>
            <w:vAlign w:val="bottom"/>
            <w:tcBorders>
              <w:bottom w:val="single" w:sz="8" w:color="D5DCE4"/>
            </w:tcBorders>
            <w:shd w:val="clear" w:color="auto" w:fill="D5DCE4"/>
          </w:tcPr>
          <w:p>
            <w:pPr>
              <w:spacing w:after="0"/>
              <w:rPr>
                <w:sz w:val="21"/>
                <w:szCs w:val="21"/>
                <w:color w:val="auto"/>
              </w:rPr>
            </w:pPr>
          </w:p>
        </w:tc>
        <w:tc>
          <w:tcPr>
            <w:tcW w:w="800" w:type="dxa"/>
            <w:vAlign w:val="bottom"/>
            <w:tcBorders>
              <w:bottom w:val="single" w:sz="8" w:color="D5DCE4"/>
            </w:tcBorders>
            <w:shd w:val="clear" w:color="auto" w:fill="D5DCE4"/>
          </w:tcPr>
          <w:p>
            <w:pPr>
              <w:jc w:val="right"/>
              <w:ind w:right="1"/>
              <w:spacing w:after="0"/>
              <w:rPr>
                <w:sz w:val="20"/>
                <w:szCs w:val="20"/>
                <w:color w:val="auto"/>
              </w:rPr>
            </w:pPr>
            <w:r>
              <w:rPr>
                <w:rFonts w:ascii="Arial" w:cs="Arial" w:eastAsia="Arial" w:hAnsi="Arial"/>
                <w:sz w:val="16"/>
                <w:szCs w:val="16"/>
                <w:color w:val="auto"/>
              </w:rPr>
              <w:t>2,280</w:t>
            </w:r>
          </w:p>
        </w:tc>
        <w:tc>
          <w:tcPr>
            <w:tcW w:w="1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20,409</w:t>
            </w: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820" w:type="dxa"/>
            <w:vAlign w:val="bottom"/>
            <w:tcBorders>
              <w:bottom w:val="single" w:sz="8" w:color="D5DCE4"/>
            </w:tcBorders>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2,250</w:t>
            </w:r>
          </w:p>
        </w:tc>
        <w:tc>
          <w:tcPr>
            <w:tcW w:w="22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84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(543)</w:t>
            </w:r>
          </w:p>
        </w:tc>
        <w:tc>
          <w:tcPr>
            <w:tcW w:w="80" w:type="dxa"/>
            <w:vAlign w:val="bottom"/>
            <w:tcBorders>
              <w:bottom w:val="single" w:sz="8" w:color="D5DCE4"/>
            </w:tcBorders>
            <w:shd w:val="clear" w:color="auto" w:fill="D5DCE4"/>
          </w:tcPr>
          <w:p>
            <w:pPr>
              <w:spacing w:after="0"/>
              <w:rPr>
                <w:sz w:val="21"/>
                <w:szCs w:val="21"/>
                <w:color w:val="auto"/>
              </w:rPr>
            </w:pPr>
          </w:p>
        </w:tc>
        <w:tc>
          <w:tcPr>
            <w:tcW w:w="20" w:type="dxa"/>
            <w:vAlign w:val="bottom"/>
            <w:tcBorders>
              <w:bottom w:val="single" w:sz="8" w:color="D5DCE4"/>
            </w:tcBorders>
            <w:shd w:val="clear" w:color="auto" w:fill="D5DCE4"/>
          </w:tcPr>
          <w:p>
            <w:pPr>
              <w:spacing w:after="0"/>
              <w:rPr>
                <w:sz w:val="21"/>
                <w:szCs w:val="21"/>
                <w:color w:val="auto"/>
              </w:rPr>
            </w:pPr>
          </w:p>
        </w:tc>
        <w:tc>
          <w:tcPr>
            <w:tcW w:w="10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70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D5DCE4"/>
            </w:tcBorders>
            <w:shd w:val="clear" w:color="auto" w:fill="D5DCE4"/>
          </w:tcPr>
          <w:p>
            <w:pPr>
              <w:spacing w:after="0"/>
              <w:rPr>
                <w:sz w:val="21"/>
                <w:szCs w:val="21"/>
                <w:color w:val="auto"/>
              </w:rPr>
            </w:pPr>
          </w:p>
        </w:tc>
        <w:tc>
          <w:tcPr>
            <w:tcW w:w="62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(2.7)%</w:t>
            </w:r>
          </w:p>
        </w:tc>
        <w:tc>
          <w:tcPr>
            <w:tcW w:w="110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11,535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7,658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4,508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50.6 %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6"/>
        </w:trPr>
        <w:tc>
          <w:tcPr>
            <w:tcW w:w="22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w:t>
            </w: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80" w:type="dxa"/>
            <w:vAlign w:val="bottom"/>
            <w:tcBorders>
              <w:bottom w:val="single" w:sz="8" w:color="D5DCE4"/>
            </w:tcBorders>
            <w:shd w:val="clear" w:color="auto" w:fill="D5DCE4"/>
          </w:tcPr>
          <w:p>
            <w:pPr>
              <w:spacing w:after="0"/>
              <w:rPr>
                <w:sz w:val="21"/>
                <w:szCs w:val="21"/>
                <w:color w:val="auto"/>
              </w:rPr>
            </w:pPr>
          </w:p>
        </w:tc>
        <w:tc>
          <w:tcPr>
            <w:tcW w:w="800" w:type="dxa"/>
            <w:vAlign w:val="bottom"/>
            <w:tcBorders>
              <w:bottom w:val="single" w:sz="8" w:color="D5DCE4"/>
            </w:tcBorders>
            <w:shd w:val="clear" w:color="auto" w:fill="D5DCE4"/>
          </w:tcPr>
          <w:p>
            <w:pPr>
              <w:jc w:val="right"/>
              <w:ind w:right="1"/>
              <w:spacing w:after="0"/>
              <w:rPr>
                <w:sz w:val="20"/>
                <w:szCs w:val="20"/>
                <w:color w:val="auto"/>
              </w:rPr>
            </w:pPr>
            <w:r>
              <w:rPr>
                <w:rFonts w:ascii="Arial" w:cs="Arial" w:eastAsia="Arial" w:hAnsi="Arial"/>
                <w:sz w:val="16"/>
                <w:szCs w:val="16"/>
                <w:color w:val="auto"/>
              </w:rPr>
              <w:t>22,731</w:t>
            </w:r>
          </w:p>
        </w:tc>
        <w:tc>
          <w:tcPr>
            <w:tcW w:w="1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820" w:type="dxa"/>
            <w:vAlign w:val="bottom"/>
            <w:tcBorders>
              <w:bottom w:val="single" w:sz="8" w:color="D5DCE4"/>
            </w:tcBorders>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21,030</w:t>
            </w:r>
          </w:p>
        </w:tc>
        <w:tc>
          <w:tcPr>
            <w:tcW w:w="22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84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D5DCE4"/>
            </w:tcBorders>
            <w:shd w:val="clear" w:color="auto" w:fill="D5DCE4"/>
          </w:tcPr>
          <w:p>
            <w:pPr>
              <w:spacing w:after="0"/>
              <w:rPr>
                <w:sz w:val="21"/>
                <w:szCs w:val="21"/>
                <w:color w:val="auto"/>
              </w:rPr>
            </w:pPr>
          </w:p>
        </w:tc>
        <w:tc>
          <w:tcPr>
            <w:tcW w:w="20" w:type="dxa"/>
            <w:vAlign w:val="bottom"/>
            <w:tcBorders>
              <w:bottom w:val="single" w:sz="8" w:color="D5DCE4"/>
            </w:tcBorders>
            <w:shd w:val="clear" w:color="auto" w:fill="D5DCE4"/>
          </w:tcPr>
          <w:p>
            <w:pPr>
              <w:spacing w:after="0"/>
              <w:rPr>
                <w:sz w:val="21"/>
                <w:szCs w:val="21"/>
                <w:color w:val="auto"/>
              </w:rPr>
            </w:pPr>
          </w:p>
        </w:tc>
        <w:tc>
          <w:tcPr>
            <w:tcW w:w="10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70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1,701</w:t>
            </w:r>
          </w:p>
        </w:tc>
        <w:tc>
          <w:tcPr>
            <w:tcW w:w="22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D5DCE4"/>
            </w:tcBorders>
            <w:shd w:val="clear" w:color="auto" w:fill="D5DCE4"/>
          </w:tcPr>
          <w:p>
            <w:pPr>
              <w:spacing w:after="0"/>
              <w:rPr>
                <w:sz w:val="21"/>
                <w:szCs w:val="21"/>
                <w:color w:val="auto"/>
              </w:rPr>
            </w:pPr>
          </w:p>
        </w:tc>
        <w:tc>
          <w:tcPr>
            <w:tcW w:w="100" w:type="dxa"/>
            <w:vAlign w:val="bottom"/>
            <w:tcBorders>
              <w:bottom w:val="single" w:sz="8" w:color="D5DCE4"/>
            </w:tcBorders>
            <w:shd w:val="clear" w:color="auto" w:fill="D5DCE4"/>
          </w:tcPr>
          <w:p>
            <w:pPr>
              <w:spacing w:after="0"/>
              <w:rPr>
                <w:sz w:val="21"/>
                <w:szCs w:val="21"/>
                <w:color w:val="auto"/>
              </w:rPr>
            </w:pPr>
          </w:p>
        </w:tc>
        <w:tc>
          <w:tcPr>
            <w:tcW w:w="52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N/M</w:t>
            </w:r>
          </w:p>
        </w:tc>
        <w:tc>
          <w:tcPr>
            <w:tcW w:w="110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5,455</w:t>
            </w:r>
          </w:p>
        </w:tc>
        <w:tc>
          <w:tcPr>
            <w:tcW w:w="12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5,706</w:t>
            </w:r>
          </w:p>
        </w:tc>
        <w:tc>
          <w:tcPr>
            <w:tcW w:w="220" w:type="dxa"/>
            <w:vAlign w:val="bottom"/>
            <w:tcBorders>
              <w:bottom w:val="single" w:sz="8" w:color="D5DC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Borders>
              <w:bottom w:val="single" w:sz="8" w:color="D5DCE4"/>
            </w:tcBorders>
          </w:tcPr>
          <w:p>
            <w:pPr>
              <w:spacing w:after="0"/>
              <w:rPr>
                <w:sz w:val="20"/>
                <w:szCs w:val="20"/>
                <w:color w:val="auto"/>
              </w:rPr>
            </w:pPr>
          </w:p>
        </w:tc>
        <w:tc>
          <w:tcPr>
            <w:tcW w:w="440" w:type="dxa"/>
            <w:vAlign w:val="bottom"/>
            <w:tcBorders>
              <w:bottom w:val="single" w:sz="8" w:color="D5DCE4"/>
            </w:tcBorders>
          </w:tcPr>
          <w:p>
            <w:pPr>
              <w:spacing w:after="0"/>
              <w:rPr>
                <w:sz w:val="20"/>
                <w:szCs w:val="20"/>
                <w:color w:val="auto"/>
              </w:rPr>
            </w:pPr>
          </w:p>
        </w:tc>
        <w:tc>
          <w:tcPr>
            <w:tcW w:w="100" w:type="dxa"/>
            <w:vAlign w:val="bottom"/>
            <w:tcBorders>
              <w:bottom w:val="single" w:sz="8" w:color="D5DCE4"/>
            </w:tcBorders>
          </w:tcPr>
          <w:p>
            <w:pPr>
              <w:spacing w:after="0"/>
              <w:rPr>
                <w:sz w:val="20"/>
                <w:szCs w:val="20"/>
                <w:color w:val="auto"/>
              </w:rPr>
            </w:pPr>
          </w:p>
        </w:tc>
        <w:tc>
          <w:tcPr>
            <w:tcW w:w="520" w:type="dxa"/>
            <w:vAlign w:val="bottom"/>
            <w:tcBorders>
              <w:bottom w:val="single" w:sz="8" w:color="D5DCE4"/>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5DCE4"/>
            </w:tcBorders>
            <w:gridSpan w:val="2"/>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63"/>
        </w:trPr>
        <w:tc>
          <w:tcPr>
            <w:tcW w:w="22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210,368</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100,245</w:t>
            </w:r>
          </w:p>
        </w:tc>
        <w:tc>
          <w:tcPr>
            <w:tcW w:w="26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201,898</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95,240</w:t>
            </w:r>
          </w:p>
        </w:tc>
        <w:tc>
          <w:tcPr>
            <w:tcW w:w="3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8,470</w:t>
            </w:r>
          </w:p>
        </w:tc>
        <w:tc>
          <w:tcPr>
            <w:tcW w:w="80" w:type="dxa"/>
            <w:vAlign w:val="bottom"/>
            <w:shd w:val="clear" w:color="auto" w:fill="D5DCE4"/>
          </w:tcPr>
          <w:p>
            <w:pPr>
              <w:spacing w:after="0"/>
              <w:rPr>
                <w:sz w:val="22"/>
                <w:szCs w:val="22"/>
                <w:color w:val="auto"/>
              </w:rPr>
            </w:pPr>
          </w:p>
        </w:tc>
        <w:tc>
          <w:tcPr>
            <w:tcW w:w="120" w:type="dxa"/>
            <w:vAlign w:val="bottom"/>
            <w:gridSpan w:val="2"/>
            <w:shd w:val="clear" w:color="auto" w:fill="D5DCE4"/>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2"/>
                <w:szCs w:val="22"/>
                <w:color w:val="auto"/>
              </w:rPr>
            </w:pPr>
          </w:p>
        </w:tc>
        <w:tc>
          <w:tcPr>
            <w:tcW w:w="7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5,005</w:t>
            </w:r>
          </w:p>
        </w:tc>
        <w:tc>
          <w:tcPr>
            <w:tcW w:w="220" w:type="dxa"/>
            <w:vAlign w:val="bottom"/>
            <w:shd w:val="clear" w:color="auto" w:fill="D5DCE4"/>
          </w:tcPr>
          <w:p>
            <w:pPr>
              <w:spacing w:after="0"/>
              <w:rPr>
                <w:sz w:val="22"/>
                <w:szCs w:val="22"/>
                <w:color w:val="auto"/>
              </w:rPr>
            </w:pPr>
          </w:p>
        </w:tc>
        <w:tc>
          <w:tcPr>
            <w:tcW w:w="440" w:type="dxa"/>
            <w:vAlign w:val="bottom"/>
            <w:shd w:val="clear" w:color="auto" w:fill="D5DCE4"/>
          </w:tcPr>
          <w:p>
            <w:pPr>
              <w:spacing w:after="0"/>
              <w:rPr>
                <w:sz w:val="22"/>
                <w:szCs w:val="22"/>
                <w:color w:val="auto"/>
              </w:rPr>
            </w:pPr>
          </w:p>
        </w:tc>
        <w:tc>
          <w:tcPr>
            <w:tcW w:w="62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4.2 %</w:t>
            </w:r>
          </w:p>
        </w:tc>
        <w:tc>
          <w:tcPr>
            <w:tcW w:w="11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0"/>
        </w:trPr>
        <w:tc>
          <w:tcPr>
            <w:tcW w:w="2200" w:type="dxa"/>
            <w:vAlign w:val="bottom"/>
            <w:tcBorders>
              <w:top w:val="single" w:sz="8" w:color="D5DCE4"/>
              <w:bottom w:val="single" w:sz="8" w:color="D5DCE4"/>
            </w:tcBorders>
            <w:gridSpan w:val="2"/>
            <w:vMerge w:val="restart"/>
          </w:tcPr>
          <w:p>
            <w:pPr>
              <w:spacing w:after="0"/>
              <w:rPr>
                <w:sz w:val="20"/>
                <w:szCs w:val="20"/>
                <w:color w:val="auto"/>
              </w:rPr>
            </w:pPr>
            <w:r>
              <w:rPr>
                <w:rFonts w:ascii="Arial" w:cs="Arial" w:eastAsia="Arial" w:hAnsi="Arial"/>
                <w:sz w:val="14"/>
                <w:szCs w:val="14"/>
                <w:color w:val="auto"/>
              </w:rPr>
              <w:t>N/M = not meaningful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20" w:type="dxa"/>
            <w:vAlign w:val="bottom"/>
            <w:tcBorders>
              <w:top w:val="single" w:sz="8" w:color="D5DC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200" w:type="dxa"/>
            <w:vAlign w:val="bottom"/>
            <w:gridSpan w:val="2"/>
          </w:tcPr>
          <w:p>
            <w:pPr>
              <w:spacing w:after="0"/>
              <w:rPr>
                <w:sz w:val="20"/>
                <w:szCs w:val="20"/>
                <w:color w:val="auto"/>
              </w:rPr>
            </w:pPr>
            <w:r>
              <w:rPr>
                <w:rFonts w:ascii="Arial" w:cs="Arial" w:eastAsia="Arial" w:hAnsi="Arial"/>
                <w:sz w:val="16"/>
                <w:szCs w:val="16"/>
                <w:b w:val="1"/>
                <w:bCs w:val="1"/>
                <w:color w:val="083566"/>
              </w:rPr>
              <w:t>TRADEWEB MARKETS INC.</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60" w:type="dxa"/>
            <w:vAlign w:val="bottom"/>
            <w:gridSpan w:val="16"/>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6"/>
          </w:tcPr>
          <w:p>
            <w:pPr>
              <w:jc w:val="center"/>
              <w:ind w:left="5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w w:val="99"/>
              </w:rPr>
              <w:t>June 30,</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4"/>
        </w:trPr>
        <w:tc>
          <w:tcPr>
            <w:tcW w:w="22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40" w:type="dxa"/>
            <w:vAlign w:val="bottom"/>
            <w:tcBorders>
              <w:bottom w:val="single" w:sz="8" w:color="D5DCE4"/>
            </w:tcBorders>
            <w:shd w:val="clear" w:color="auto" w:fill="D5DCE4"/>
          </w:tcPr>
          <w:p>
            <w:pPr>
              <w:spacing w:after="0"/>
              <w:rPr>
                <w:sz w:val="20"/>
                <w:szCs w:val="20"/>
                <w:color w:val="auto"/>
              </w:rPr>
            </w:pPr>
          </w:p>
        </w:tc>
        <w:tc>
          <w:tcPr>
            <w:tcW w:w="780" w:type="dxa"/>
            <w:vAlign w:val="bottom"/>
            <w:tcBorders>
              <w:bottom w:val="single" w:sz="8" w:color="D5DCE4"/>
            </w:tcBorders>
            <w:shd w:val="clear" w:color="auto" w:fill="D5DCE4"/>
          </w:tcPr>
          <w:p>
            <w:pPr>
              <w:spacing w:after="0"/>
              <w:rPr>
                <w:sz w:val="20"/>
                <w:szCs w:val="20"/>
                <w:color w:val="auto"/>
              </w:rPr>
            </w:pPr>
          </w:p>
        </w:tc>
        <w:tc>
          <w:tcPr>
            <w:tcW w:w="6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80" w:type="dxa"/>
            <w:vAlign w:val="bottom"/>
            <w:tcBorders>
              <w:bottom w:val="single" w:sz="8" w:color="D5DCE4"/>
            </w:tcBorders>
            <w:shd w:val="clear" w:color="auto" w:fill="D5DCE4"/>
          </w:tcPr>
          <w:p>
            <w:pPr>
              <w:spacing w:after="0"/>
              <w:rPr>
                <w:sz w:val="20"/>
                <w:szCs w:val="20"/>
                <w:color w:val="auto"/>
              </w:rPr>
            </w:pPr>
          </w:p>
        </w:tc>
        <w:tc>
          <w:tcPr>
            <w:tcW w:w="800" w:type="dxa"/>
            <w:vAlign w:val="bottom"/>
            <w:tcBorders>
              <w:bottom w:val="single" w:sz="8" w:color="D5DCE4"/>
            </w:tcBorders>
            <w:shd w:val="clear" w:color="auto" w:fill="D5DCE4"/>
          </w:tcPr>
          <w:p>
            <w:pPr>
              <w:spacing w:after="0"/>
              <w:rPr>
                <w:sz w:val="20"/>
                <w:szCs w:val="20"/>
                <w:color w:val="auto"/>
              </w:rPr>
            </w:pPr>
          </w:p>
        </w:tc>
        <w:tc>
          <w:tcPr>
            <w:tcW w:w="120" w:type="dxa"/>
            <w:vAlign w:val="bottom"/>
            <w:tcBorders>
              <w:bottom w:val="single" w:sz="8" w:color="D5DCE4"/>
            </w:tcBorders>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780" w:type="dxa"/>
            <w:vAlign w:val="bottom"/>
            <w:tcBorders>
              <w:bottom w:val="single" w:sz="8" w:color="D5DCE4"/>
            </w:tcBorders>
            <w:shd w:val="clear" w:color="auto" w:fill="D5DCE4"/>
          </w:tcPr>
          <w:p>
            <w:pPr>
              <w:spacing w:after="0"/>
              <w:rPr>
                <w:sz w:val="20"/>
                <w:szCs w:val="20"/>
                <w:color w:val="auto"/>
              </w:rPr>
            </w:pPr>
          </w:p>
        </w:tc>
        <w:tc>
          <w:tcPr>
            <w:tcW w:w="6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D5DCE4"/>
            </w:tcBorders>
            <w:gridSpan w:val="2"/>
            <w:shd w:val="clear" w:color="auto" w:fill="D5DCE4"/>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D5DCE4"/>
            </w:tcBorders>
            <w:shd w:val="clear" w:color="auto" w:fill="D5DCE4"/>
          </w:tcPr>
          <w:p>
            <w:pPr>
              <w:spacing w:after="0"/>
              <w:rPr>
                <w:sz w:val="20"/>
                <w:szCs w:val="20"/>
                <w:color w:val="auto"/>
              </w:rPr>
            </w:pPr>
          </w:p>
        </w:tc>
        <w:tc>
          <w:tcPr>
            <w:tcW w:w="120" w:type="dxa"/>
            <w:vAlign w:val="bottom"/>
            <w:tcBorders>
              <w:bottom w:val="single" w:sz="8" w:color="D5DCE4"/>
            </w:tcBorders>
            <w:shd w:val="clear" w:color="auto" w:fill="D5DCE4"/>
          </w:tcPr>
          <w:p>
            <w:pPr>
              <w:spacing w:after="0"/>
              <w:rPr>
                <w:sz w:val="20"/>
                <w:szCs w:val="20"/>
                <w:color w:val="auto"/>
              </w:rPr>
            </w:pPr>
          </w:p>
        </w:tc>
        <w:tc>
          <w:tcPr>
            <w:tcW w:w="920" w:type="dxa"/>
            <w:vAlign w:val="bottom"/>
            <w:tcBorders>
              <w:bottom w:val="single" w:sz="8" w:color="D5DCE4"/>
            </w:tcBorders>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2.10</w:t>
            </w:r>
          </w:p>
        </w:tc>
        <w:tc>
          <w:tcPr>
            <w:tcW w:w="240" w:type="dxa"/>
            <w:vAlign w:val="bottom"/>
            <w:tcBorders>
              <w:bottom w:val="single" w:sz="8" w:color="D5DCE4"/>
            </w:tcBorders>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D5DCE4"/>
            </w:tcBorders>
            <w:shd w:val="clear" w:color="auto" w:fill="D5DCE4"/>
          </w:tcPr>
          <w:p>
            <w:pPr>
              <w:spacing w:after="0"/>
              <w:rPr>
                <w:sz w:val="20"/>
                <w:szCs w:val="20"/>
                <w:color w:val="auto"/>
              </w:rPr>
            </w:pPr>
          </w:p>
        </w:tc>
        <w:tc>
          <w:tcPr>
            <w:tcW w:w="66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2.20</w:t>
            </w:r>
          </w:p>
        </w:tc>
        <w:tc>
          <w:tcPr>
            <w:tcW w:w="100" w:type="dxa"/>
            <w:vAlign w:val="bottom"/>
            <w:tcBorders>
              <w:bottom w:val="single" w:sz="8" w:color="D5DCE4"/>
            </w:tcBorders>
            <w:shd w:val="clear" w:color="auto" w:fill="D5DCE4"/>
          </w:tcPr>
          <w:p>
            <w:pPr>
              <w:spacing w:after="0"/>
              <w:rPr>
                <w:sz w:val="20"/>
                <w:szCs w:val="20"/>
                <w:color w:val="auto"/>
              </w:rPr>
            </w:pPr>
          </w:p>
        </w:tc>
        <w:tc>
          <w:tcPr>
            <w:tcW w:w="520" w:type="dxa"/>
            <w:vAlign w:val="bottom"/>
            <w:tcBorders>
              <w:bottom w:val="single" w:sz="8" w:color="D5DCE4"/>
            </w:tcBorders>
            <w:shd w:val="clear" w:color="auto" w:fill="D5DCE4"/>
          </w:tcPr>
          <w:p>
            <w:pPr>
              <w:spacing w:after="0"/>
              <w:rPr>
                <w:sz w:val="20"/>
                <w:szCs w:val="20"/>
                <w:color w:val="auto"/>
              </w:rPr>
            </w:pPr>
          </w:p>
        </w:tc>
        <w:tc>
          <w:tcPr>
            <w:tcW w:w="110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33"/>
        </w:trPr>
        <w:tc>
          <w:tcPr>
            <w:tcW w:w="2200" w:type="dxa"/>
            <w:vAlign w:val="bottom"/>
            <w:gridSpan w:val="2"/>
          </w:tcPr>
          <w:p>
            <w:pPr>
              <w:ind w:left="140"/>
              <w:spacing w:after="0"/>
              <w:rPr>
                <w:sz w:val="20"/>
                <w:szCs w:val="20"/>
                <w:color w:val="auto"/>
              </w:rPr>
            </w:pPr>
            <w:r>
              <w:rPr>
                <w:rFonts w:ascii="Arial" w:cs="Arial" w:eastAsia="Arial" w:hAnsi="Arial"/>
                <w:sz w:val="16"/>
                <w:szCs w:val="16"/>
                <w:color w:val="auto"/>
              </w:rPr>
              <w:t>Rates Cash</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2.44</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46"/>
        </w:trPr>
        <w:tc>
          <w:tcPr>
            <w:tcW w:w="2200" w:type="dxa"/>
            <w:vAlign w:val="bottom"/>
            <w:tcBorders>
              <w:bottom w:val="single" w:sz="8" w:color="D5DCE4"/>
            </w:tcBorders>
            <w:gridSpan w:val="2"/>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spacing w:after="0"/>
              <w:rPr>
                <w:sz w:val="21"/>
                <w:szCs w:val="21"/>
                <w:color w:val="auto"/>
              </w:rPr>
            </w:pP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80" w:type="dxa"/>
            <w:vAlign w:val="bottom"/>
            <w:tcBorders>
              <w:bottom w:val="single" w:sz="8" w:color="D5DCE4"/>
            </w:tcBorders>
            <w:shd w:val="clear" w:color="auto" w:fill="D5DCE4"/>
          </w:tcPr>
          <w:p>
            <w:pPr>
              <w:spacing w:after="0"/>
              <w:rPr>
                <w:sz w:val="21"/>
                <w:szCs w:val="21"/>
                <w:color w:val="auto"/>
              </w:rPr>
            </w:pPr>
          </w:p>
        </w:tc>
        <w:tc>
          <w:tcPr>
            <w:tcW w:w="80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spacing w:after="0"/>
              <w:rPr>
                <w:sz w:val="21"/>
                <w:szCs w:val="21"/>
                <w:color w:val="auto"/>
              </w:rPr>
            </w:pP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820" w:type="dxa"/>
            <w:vAlign w:val="bottom"/>
            <w:tcBorders>
              <w:bottom w:val="single" w:sz="8" w:color="D5DCE4"/>
            </w:tcBorders>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920" w:type="dxa"/>
            <w:vAlign w:val="bottom"/>
            <w:tcBorders>
              <w:bottom w:val="single" w:sz="8" w:color="D5DCE4"/>
            </w:tcBorders>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1.83</w:t>
            </w:r>
          </w:p>
        </w:tc>
        <w:tc>
          <w:tcPr>
            <w:tcW w:w="240" w:type="dxa"/>
            <w:vAlign w:val="bottom"/>
            <w:tcBorders>
              <w:bottom w:val="single" w:sz="8" w:color="D5DCE4"/>
            </w:tcBorders>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5DCE4"/>
            </w:tcBorders>
            <w:shd w:val="clear" w:color="auto" w:fill="D5DCE4"/>
          </w:tcPr>
          <w:p>
            <w:pPr>
              <w:spacing w:after="0"/>
              <w:rPr>
                <w:sz w:val="21"/>
                <w:szCs w:val="21"/>
                <w:color w:val="auto"/>
              </w:rPr>
            </w:pPr>
          </w:p>
        </w:tc>
        <w:tc>
          <w:tcPr>
            <w:tcW w:w="66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D5DCE4"/>
            </w:tcBorders>
            <w:shd w:val="clear" w:color="auto" w:fill="D5DCE4"/>
          </w:tcPr>
          <w:p>
            <w:pPr>
              <w:spacing w:after="0"/>
              <w:rPr>
                <w:sz w:val="21"/>
                <w:szCs w:val="21"/>
                <w:color w:val="auto"/>
              </w:rPr>
            </w:pPr>
          </w:p>
        </w:tc>
        <w:tc>
          <w:tcPr>
            <w:tcW w:w="520" w:type="dxa"/>
            <w:vAlign w:val="bottom"/>
            <w:tcBorders>
              <w:bottom w:val="single" w:sz="8" w:color="D5DCE4"/>
            </w:tcBorders>
            <w:shd w:val="clear" w:color="auto" w:fill="D5DCE4"/>
          </w:tcPr>
          <w:p>
            <w:pPr>
              <w:spacing w:after="0"/>
              <w:rPr>
                <w:sz w:val="21"/>
                <w:szCs w:val="21"/>
                <w:color w:val="auto"/>
              </w:rPr>
            </w:pPr>
          </w:p>
        </w:tc>
        <w:tc>
          <w:tcPr>
            <w:tcW w:w="110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3"/>
        </w:trPr>
        <w:tc>
          <w:tcPr>
            <w:tcW w:w="3120" w:type="dxa"/>
            <w:vAlign w:val="bottom"/>
            <w:gridSpan w:val="4"/>
          </w:tcPr>
          <w:p>
            <w:pPr>
              <w:ind w:left="240"/>
              <w:spacing w:after="0"/>
              <w:rPr>
                <w:sz w:val="20"/>
                <w:szCs w:val="20"/>
                <w:color w:val="auto"/>
              </w:rPr>
            </w:pPr>
            <w:r>
              <w:rPr>
                <w:rFonts w:ascii="Arial" w:cs="Arial" w:eastAsia="Arial" w:hAnsi="Arial"/>
                <w:sz w:val="16"/>
                <w:szCs w:val="16"/>
                <w:color w:val="auto"/>
              </w:rPr>
              <w:t>Rates Derivatives (greater than 1 year)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2.75</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53"/>
        </w:trPr>
        <w:tc>
          <w:tcPr>
            <w:tcW w:w="2200" w:type="dxa"/>
            <w:vAlign w:val="bottom"/>
            <w:gridSpan w:val="2"/>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92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0.23</w:t>
            </w:r>
          </w:p>
        </w:tc>
        <w:tc>
          <w:tcPr>
            <w:tcW w:w="24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5DCE4"/>
          </w:tcPr>
          <w:p>
            <w:pPr>
              <w:spacing w:after="0"/>
              <w:rPr>
                <w:sz w:val="21"/>
                <w:szCs w:val="21"/>
                <w:color w:val="auto"/>
              </w:rPr>
            </w:pPr>
          </w:p>
        </w:tc>
        <w:tc>
          <w:tcPr>
            <w:tcW w:w="6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40" w:type="dxa"/>
            <w:vAlign w:val="bottom"/>
            <w:tcBorders>
              <w:bottom w:val="single" w:sz="8" w:color="D5DCE4"/>
            </w:tcBorders>
            <w:shd w:val="clear" w:color="auto" w:fill="D5DCE4"/>
          </w:tcPr>
          <w:p>
            <w:pPr>
              <w:spacing w:after="0"/>
              <w:rPr>
                <w:sz w:val="20"/>
                <w:szCs w:val="20"/>
                <w:color w:val="auto"/>
              </w:rPr>
            </w:pPr>
          </w:p>
        </w:tc>
        <w:tc>
          <w:tcPr>
            <w:tcW w:w="780" w:type="dxa"/>
            <w:vAlign w:val="bottom"/>
            <w:tcBorders>
              <w:bottom w:val="single" w:sz="8" w:color="D5DCE4"/>
            </w:tcBorders>
            <w:shd w:val="clear" w:color="auto" w:fill="D5DCE4"/>
          </w:tcPr>
          <w:p>
            <w:pPr>
              <w:spacing w:after="0"/>
              <w:rPr>
                <w:sz w:val="20"/>
                <w:szCs w:val="20"/>
                <w:color w:val="auto"/>
              </w:rPr>
            </w:pPr>
          </w:p>
        </w:tc>
        <w:tc>
          <w:tcPr>
            <w:tcW w:w="6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80" w:type="dxa"/>
            <w:vAlign w:val="bottom"/>
            <w:tcBorders>
              <w:bottom w:val="single" w:sz="8" w:color="D5DCE4"/>
            </w:tcBorders>
            <w:shd w:val="clear" w:color="auto" w:fill="D5DCE4"/>
          </w:tcPr>
          <w:p>
            <w:pPr>
              <w:spacing w:after="0"/>
              <w:rPr>
                <w:sz w:val="20"/>
                <w:szCs w:val="20"/>
                <w:color w:val="auto"/>
              </w:rPr>
            </w:pPr>
          </w:p>
        </w:tc>
        <w:tc>
          <w:tcPr>
            <w:tcW w:w="800" w:type="dxa"/>
            <w:vAlign w:val="bottom"/>
            <w:tcBorders>
              <w:bottom w:val="single" w:sz="8" w:color="D5DCE4"/>
            </w:tcBorders>
            <w:shd w:val="clear" w:color="auto" w:fill="D5DCE4"/>
          </w:tcPr>
          <w:p>
            <w:pPr>
              <w:spacing w:after="0"/>
              <w:rPr>
                <w:sz w:val="20"/>
                <w:szCs w:val="20"/>
                <w:color w:val="auto"/>
              </w:rPr>
            </w:pPr>
          </w:p>
        </w:tc>
        <w:tc>
          <w:tcPr>
            <w:tcW w:w="120" w:type="dxa"/>
            <w:vAlign w:val="bottom"/>
            <w:tcBorders>
              <w:bottom w:val="single" w:sz="8" w:color="D5DCE4"/>
            </w:tcBorders>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780" w:type="dxa"/>
            <w:vAlign w:val="bottom"/>
            <w:tcBorders>
              <w:bottom w:val="single" w:sz="8" w:color="D5DCE4"/>
            </w:tcBorders>
            <w:shd w:val="clear" w:color="auto" w:fill="D5DCE4"/>
          </w:tcPr>
          <w:p>
            <w:pPr>
              <w:spacing w:after="0"/>
              <w:rPr>
                <w:sz w:val="20"/>
                <w:szCs w:val="20"/>
                <w:color w:val="auto"/>
              </w:rPr>
            </w:pPr>
          </w:p>
        </w:tc>
        <w:tc>
          <w:tcPr>
            <w:tcW w:w="6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D5DCE4"/>
            </w:tcBorders>
            <w:gridSpan w:val="2"/>
            <w:shd w:val="clear" w:color="auto" w:fill="D5DCE4"/>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D5DCE4"/>
            </w:tcBorders>
            <w:shd w:val="clear" w:color="auto" w:fill="D5DCE4"/>
          </w:tcPr>
          <w:p>
            <w:pPr>
              <w:spacing w:after="0"/>
              <w:rPr>
                <w:sz w:val="20"/>
                <w:szCs w:val="20"/>
                <w:color w:val="auto"/>
              </w:rPr>
            </w:pPr>
          </w:p>
        </w:tc>
        <w:tc>
          <w:tcPr>
            <w:tcW w:w="120" w:type="dxa"/>
            <w:vAlign w:val="bottom"/>
            <w:tcBorders>
              <w:bottom w:val="single" w:sz="8" w:color="D5DCE4"/>
            </w:tcBorders>
            <w:shd w:val="clear" w:color="auto" w:fill="D5DCE4"/>
          </w:tcPr>
          <w:p>
            <w:pPr>
              <w:spacing w:after="0"/>
              <w:rPr>
                <w:sz w:val="20"/>
                <w:szCs w:val="20"/>
                <w:color w:val="auto"/>
              </w:rPr>
            </w:pPr>
          </w:p>
        </w:tc>
        <w:tc>
          <w:tcPr>
            <w:tcW w:w="920" w:type="dxa"/>
            <w:vAlign w:val="bottom"/>
            <w:tcBorders>
              <w:bottom w:val="single" w:sz="8" w:color="D5DCE4"/>
            </w:tcBorders>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65.37</w:t>
            </w:r>
          </w:p>
        </w:tc>
        <w:tc>
          <w:tcPr>
            <w:tcW w:w="240" w:type="dxa"/>
            <w:vAlign w:val="bottom"/>
            <w:tcBorders>
              <w:bottom w:val="single" w:sz="8" w:color="D5DCE4"/>
            </w:tcBorders>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D5DCE4"/>
            </w:tcBorders>
            <w:shd w:val="clear" w:color="auto" w:fill="D5DCE4"/>
          </w:tcPr>
          <w:p>
            <w:pPr>
              <w:spacing w:after="0"/>
              <w:rPr>
                <w:sz w:val="20"/>
                <w:szCs w:val="20"/>
                <w:color w:val="auto"/>
              </w:rPr>
            </w:pPr>
          </w:p>
        </w:tc>
        <w:tc>
          <w:tcPr>
            <w:tcW w:w="66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47.31</w:t>
            </w:r>
          </w:p>
        </w:tc>
        <w:tc>
          <w:tcPr>
            <w:tcW w:w="100" w:type="dxa"/>
            <w:vAlign w:val="bottom"/>
            <w:tcBorders>
              <w:bottom w:val="single" w:sz="8" w:color="D5DCE4"/>
            </w:tcBorders>
            <w:shd w:val="clear" w:color="auto" w:fill="D5DCE4"/>
          </w:tcPr>
          <w:p>
            <w:pPr>
              <w:spacing w:after="0"/>
              <w:rPr>
                <w:sz w:val="20"/>
                <w:szCs w:val="20"/>
                <w:color w:val="auto"/>
              </w:rPr>
            </w:pPr>
          </w:p>
        </w:tc>
        <w:tc>
          <w:tcPr>
            <w:tcW w:w="520" w:type="dxa"/>
            <w:vAlign w:val="bottom"/>
            <w:tcBorders>
              <w:bottom w:val="single" w:sz="8" w:color="D5DCE4"/>
            </w:tcBorders>
            <w:shd w:val="clear" w:color="auto" w:fill="D5DCE4"/>
          </w:tcPr>
          <w:p>
            <w:pPr>
              <w:spacing w:after="0"/>
              <w:rPr>
                <w:sz w:val="20"/>
                <w:szCs w:val="20"/>
                <w:color w:val="auto"/>
              </w:rPr>
            </w:pPr>
          </w:p>
        </w:tc>
        <w:tc>
          <w:tcPr>
            <w:tcW w:w="110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38.2 %</w:t>
            </w:r>
          </w:p>
        </w:tc>
        <w:tc>
          <w:tcPr>
            <w:tcW w:w="0" w:type="dxa"/>
            <w:vAlign w:val="bottom"/>
          </w:tcPr>
          <w:p>
            <w:pPr>
              <w:spacing w:after="0"/>
              <w:rPr>
                <w:sz w:val="1"/>
                <w:szCs w:val="1"/>
                <w:color w:val="auto"/>
              </w:rPr>
            </w:pPr>
          </w:p>
        </w:tc>
      </w:tr>
      <w:tr>
        <w:trPr>
          <w:trHeight w:val="243"/>
        </w:trPr>
        <w:tc>
          <w:tcPr>
            <w:tcW w:w="2200" w:type="dxa"/>
            <w:vAlign w:val="bottom"/>
            <w:gridSpan w:val="2"/>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151.91</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155.56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3120" w:type="dxa"/>
            <w:vAlign w:val="bottom"/>
            <w:gridSpan w:val="4"/>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92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7.75</w:t>
            </w:r>
          </w:p>
        </w:tc>
        <w:tc>
          <w:tcPr>
            <w:tcW w:w="24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5DCE4"/>
          </w:tcPr>
          <w:p>
            <w:pPr>
              <w:spacing w:after="0"/>
              <w:rPr>
                <w:sz w:val="21"/>
                <w:szCs w:val="21"/>
                <w:color w:val="auto"/>
              </w:rPr>
            </w:pPr>
          </w:p>
        </w:tc>
        <w:tc>
          <w:tcPr>
            <w:tcW w:w="6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40" w:type="dxa"/>
            <w:vAlign w:val="bottom"/>
            <w:tcBorders>
              <w:bottom w:val="single" w:sz="8" w:color="D5DCE4"/>
            </w:tcBorders>
            <w:shd w:val="clear" w:color="auto" w:fill="D5DCE4"/>
          </w:tcPr>
          <w:p>
            <w:pPr>
              <w:spacing w:after="0"/>
              <w:rPr>
                <w:sz w:val="20"/>
                <w:szCs w:val="20"/>
                <w:color w:val="auto"/>
              </w:rPr>
            </w:pPr>
          </w:p>
        </w:tc>
        <w:tc>
          <w:tcPr>
            <w:tcW w:w="780" w:type="dxa"/>
            <w:vAlign w:val="bottom"/>
            <w:tcBorders>
              <w:bottom w:val="single" w:sz="8" w:color="D5DCE4"/>
            </w:tcBorders>
            <w:shd w:val="clear" w:color="auto" w:fill="D5DCE4"/>
          </w:tcPr>
          <w:p>
            <w:pPr>
              <w:spacing w:after="0"/>
              <w:rPr>
                <w:sz w:val="20"/>
                <w:szCs w:val="20"/>
                <w:color w:val="auto"/>
              </w:rPr>
            </w:pPr>
          </w:p>
        </w:tc>
        <w:tc>
          <w:tcPr>
            <w:tcW w:w="6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80" w:type="dxa"/>
            <w:vAlign w:val="bottom"/>
            <w:tcBorders>
              <w:bottom w:val="single" w:sz="8" w:color="D5DCE4"/>
            </w:tcBorders>
            <w:shd w:val="clear" w:color="auto" w:fill="D5DCE4"/>
          </w:tcPr>
          <w:p>
            <w:pPr>
              <w:spacing w:after="0"/>
              <w:rPr>
                <w:sz w:val="20"/>
                <w:szCs w:val="20"/>
                <w:color w:val="auto"/>
              </w:rPr>
            </w:pPr>
          </w:p>
        </w:tc>
        <w:tc>
          <w:tcPr>
            <w:tcW w:w="800" w:type="dxa"/>
            <w:vAlign w:val="bottom"/>
            <w:tcBorders>
              <w:bottom w:val="single" w:sz="8" w:color="D5DCE4"/>
            </w:tcBorders>
            <w:shd w:val="clear" w:color="auto" w:fill="D5DCE4"/>
          </w:tcPr>
          <w:p>
            <w:pPr>
              <w:spacing w:after="0"/>
              <w:rPr>
                <w:sz w:val="20"/>
                <w:szCs w:val="20"/>
                <w:color w:val="auto"/>
              </w:rPr>
            </w:pPr>
          </w:p>
        </w:tc>
        <w:tc>
          <w:tcPr>
            <w:tcW w:w="120" w:type="dxa"/>
            <w:vAlign w:val="bottom"/>
            <w:tcBorders>
              <w:bottom w:val="single" w:sz="8" w:color="D5DCE4"/>
            </w:tcBorders>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780" w:type="dxa"/>
            <w:vAlign w:val="bottom"/>
            <w:tcBorders>
              <w:bottom w:val="single" w:sz="8" w:color="D5DCE4"/>
            </w:tcBorders>
            <w:shd w:val="clear" w:color="auto" w:fill="D5DCE4"/>
          </w:tcPr>
          <w:p>
            <w:pPr>
              <w:spacing w:after="0"/>
              <w:rPr>
                <w:sz w:val="20"/>
                <w:szCs w:val="20"/>
                <w:color w:val="auto"/>
              </w:rPr>
            </w:pPr>
          </w:p>
        </w:tc>
        <w:tc>
          <w:tcPr>
            <w:tcW w:w="6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tcBorders>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D5DCE4"/>
            </w:tcBorders>
            <w:gridSpan w:val="2"/>
            <w:shd w:val="clear" w:color="auto" w:fill="D5DCE4"/>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D5DCE4"/>
            </w:tcBorders>
            <w:shd w:val="clear" w:color="auto" w:fill="D5DCE4"/>
          </w:tcPr>
          <w:p>
            <w:pPr>
              <w:spacing w:after="0"/>
              <w:rPr>
                <w:sz w:val="20"/>
                <w:szCs w:val="20"/>
                <w:color w:val="auto"/>
              </w:rPr>
            </w:pPr>
          </w:p>
        </w:tc>
        <w:tc>
          <w:tcPr>
            <w:tcW w:w="120" w:type="dxa"/>
            <w:vAlign w:val="bottom"/>
            <w:tcBorders>
              <w:bottom w:val="single" w:sz="8" w:color="D5DCE4"/>
            </w:tcBorders>
            <w:shd w:val="clear" w:color="auto" w:fill="D5DCE4"/>
          </w:tcPr>
          <w:p>
            <w:pPr>
              <w:spacing w:after="0"/>
              <w:rPr>
                <w:sz w:val="20"/>
                <w:szCs w:val="20"/>
                <w:color w:val="auto"/>
              </w:rPr>
            </w:pPr>
          </w:p>
        </w:tc>
        <w:tc>
          <w:tcPr>
            <w:tcW w:w="920" w:type="dxa"/>
            <w:vAlign w:val="bottom"/>
            <w:tcBorders>
              <w:bottom w:val="single" w:sz="8" w:color="D5DCE4"/>
            </w:tcBorders>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16.60</w:t>
            </w:r>
          </w:p>
        </w:tc>
        <w:tc>
          <w:tcPr>
            <w:tcW w:w="240" w:type="dxa"/>
            <w:vAlign w:val="bottom"/>
            <w:tcBorders>
              <w:bottom w:val="single" w:sz="8" w:color="D5DCE4"/>
            </w:tcBorders>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D5DCE4"/>
            </w:tcBorders>
            <w:shd w:val="clear" w:color="auto" w:fill="D5DCE4"/>
          </w:tcPr>
          <w:p>
            <w:pPr>
              <w:spacing w:after="0"/>
              <w:rPr>
                <w:sz w:val="20"/>
                <w:szCs w:val="20"/>
                <w:color w:val="auto"/>
              </w:rPr>
            </w:pPr>
          </w:p>
        </w:tc>
        <w:tc>
          <w:tcPr>
            <w:tcW w:w="66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19.77</w:t>
            </w:r>
          </w:p>
        </w:tc>
        <w:tc>
          <w:tcPr>
            <w:tcW w:w="100" w:type="dxa"/>
            <w:vAlign w:val="bottom"/>
            <w:tcBorders>
              <w:bottom w:val="single" w:sz="8" w:color="D5DCE4"/>
            </w:tcBorders>
            <w:shd w:val="clear" w:color="auto" w:fill="D5DCE4"/>
          </w:tcPr>
          <w:p>
            <w:pPr>
              <w:spacing w:after="0"/>
              <w:rPr>
                <w:sz w:val="20"/>
                <w:szCs w:val="20"/>
                <w:color w:val="auto"/>
              </w:rPr>
            </w:pPr>
          </w:p>
        </w:tc>
        <w:tc>
          <w:tcPr>
            <w:tcW w:w="520" w:type="dxa"/>
            <w:vAlign w:val="bottom"/>
            <w:tcBorders>
              <w:bottom w:val="single" w:sz="8" w:color="D5DCE4"/>
            </w:tcBorders>
            <w:shd w:val="clear" w:color="auto" w:fill="D5DCE4"/>
          </w:tcPr>
          <w:p>
            <w:pPr>
              <w:spacing w:after="0"/>
              <w:rPr>
                <w:sz w:val="20"/>
                <w:szCs w:val="20"/>
                <w:color w:val="auto"/>
              </w:rPr>
            </w:pPr>
          </w:p>
        </w:tc>
        <w:tc>
          <w:tcPr>
            <w:tcW w:w="110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(16.0)%</w:t>
            </w:r>
          </w:p>
        </w:tc>
        <w:tc>
          <w:tcPr>
            <w:tcW w:w="0" w:type="dxa"/>
            <w:vAlign w:val="bottom"/>
          </w:tcPr>
          <w:p>
            <w:pPr>
              <w:spacing w:after="0"/>
              <w:rPr>
                <w:sz w:val="1"/>
                <w:szCs w:val="1"/>
                <w:color w:val="auto"/>
              </w:rPr>
            </w:pPr>
          </w:p>
        </w:tc>
      </w:tr>
      <w:tr>
        <w:trPr>
          <w:trHeight w:val="233"/>
        </w:trPr>
        <w:tc>
          <w:tcPr>
            <w:tcW w:w="2200" w:type="dxa"/>
            <w:vAlign w:val="bottom"/>
            <w:gridSpan w:val="2"/>
          </w:tcPr>
          <w:p>
            <w:pPr>
              <w:ind w:left="140"/>
              <w:spacing w:after="0"/>
              <w:rPr>
                <w:sz w:val="20"/>
                <w:szCs w:val="20"/>
                <w:color w:val="auto"/>
              </w:rPr>
            </w:pPr>
            <w:r>
              <w:rPr>
                <w:rFonts w:ascii="Arial" w:cs="Arial" w:eastAsia="Arial" w:hAnsi="Arial"/>
                <w:sz w:val="16"/>
                <w:szCs w:val="16"/>
                <w:color w:val="auto"/>
              </w:rPr>
              <w:t>Equities Cash</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26.59</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46"/>
        </w:trPr>
        <w:tc>
          <w:tcPr>
            <w:tcW w:w="2200" w:type="dxa"/>
            <w:vAlign w:val="bottom"/>
            <w:tcBorders>
              <w:bottom w:val="single" w:sz="8" w:color="D5DCE4"/>
            </w:tcBorders>
            <w:gridSpan w:val="2"/>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spacing w:after="0"/>
              <w:rPr>
                <w:sz w:val="21"/>
                <w:szCs w:val="21"/>
                <w:color w:val="auto"/>
              </w:rPr>
            </w:pP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80" w:type="dxa"/>
            <w:vAlign w:val="bottom"/>
            <w:tcBorders>
              <w:bottom w:val="single" w:sz="8" w:color="D5DCE4"/>
            </w:tcBorders>
            <w:shd w:val="clear" w:color="auto" w:fill="D5DCE4"/>
          </w:tcPr>
          <w:p>
            <w:pPr>
              <w:spacing w:after="0"/>
              <w:rPr>
                <w:sz w:val="21"/>
                <w:szCs w:val="21"/>
                <w:color w:val="auto"/>
              </w:rPr>
            </w:pPr>
          </w:p>
        </w:tc>
        <w:tc>
          <w:tcPr>
            <w:tcW w:w="80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780" w:type="dxa"/>
            <w:vAlign w:val="bottom"/>
            <w:tcBorders>
              <w:bottom w:val="single" w:sz="8" w:color="D5DCE4"/>
            </w:tcBorders>
            <w:shd w:val="clear" w:color="auto" w:fill="D5DCE4"/>
          </w:tcPr>
          <w:p>
            <w:pPr>
              <w:spacing w:after="0"/>
              <w:rPr>
                <w:sz w:val="21"/>
                <w:szCs w:val="21"/>
                <w:color w:val="auto"/>
              </w:rPr>
            </w:pPr>
          </w:p>
        </w:tc>
        <w:tc>
          <w:tcPr>
            <w:tcW w:w="6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tcBorders>
            <w:shd w:val="clear" w:color="auto" w:fill="D5DCE4"/>
          </w:tcPr>
          <w:p>
            <w:pPr>
              <w:spacing w:after="0"/>
              <w:rPr>
                <w:sz w:val="21"/>
                <w:szCs w:val="21"/>
                <w:color w:val="auto"/>
              </w:rPr>
            </w:pPr>
          </w:p>
        </w:tc>
        <w:tc>
          <w:tcPr>
            <w:tcW w:w="140" w:type="dxa"/>
            <w:vAlign w:val="bottom"/>
            <w:tcBorders>
              <w:bottom w:val="single" w:sz="8" w:color="D5DCE4"/>
            </w:tcBorders>
            <w:shd w:val="clear" w:color="auto" w:fill="D5DCE4"/>
          </w:tcPr>
          <w:p>
            <w:pPr>
              <w:spacing w:after="0"/>
              <w:rPr>
                <w:sz w:val="21"/>
                <w:szCs w:val="21"/>
                <w:color w:val="auto"/>
              </w:rPr>
            </w:pPr>
          </w:p>
        </w:tc>
        <w:tc>
          <w:tcPr>
            <w:tcW w:w="820" w:type="dxa"/>
            <w:vAlign w:val="bottom"/>
            <w:tcBorders>
              <w:bottom w:val="single" w:sz="8" w:color="D5DCE4"/>
            </w:tcBorders>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5DCE4"/>
            </w:tcBorders>
            <w:shd w:val="clear" w:color="auto" w:fill="D5DCE4"/>
          </w:tcPr>
          <w:p>
            <w:pPr>
              <w:spacing w:after="0"/>
              <w:rPr>
                <w:sz w:val="21"/>
                <w:szCs w:val="21"/>
                <w:color w:val="auto"/>
              </w:rPr>
            </w:pPr>
          </w:p>
        </w:tc>
        <w:tc>
          <w:tcPr>
            <w:tcW w:w="120" w:type="dxa"/>
            <w:vAlign w:val="bottom"/>
            <w:tcBorders>
              <w:bottom w:val="single" w:sz="8" w:color="D5DCE4"/>
            </w:tcBorders>
            <w:shd w:val="clear" w:color="auto" w:fill="D5DCE4"/>
          </w:tcPr>
          <w:p>
            <w:pPr>
              <w:spacing w:after="0"/>
              <w:rPr>
                <w:sz w:val="21"/>
                <w:szCs w:val="21"/>
                <w:color w:val="auto"/>
              </w:rPr>
            </w:pPr>
          </w:p>
        </w:tc>
        <w:tc>
          <w:tcPr>
            <w:tcW w:w="920" w:type="dxa"/>
            <w:vAlign w:val="bottom"/>
            <w:tcBorders>
              <w:bottom w:val="single" w:sz="8" w:color="D5DCE4"/>
            </w:tcBorders>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6.14</w:t>
            </w:r>
          </w:p>
        </w:tc>
        <w:tc>
          <w:tcPr>
            <w:tcW w:w="240" w:type="dxa"/>
            <w:vAlign w:val="bottom"/>
            <w:tcBorders>
              <w:bottom w:val="single" w:sz="8" w:color="D5DCE4"/>
            </w:tcBorders>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5DCE4"/>
            </w:tcBorders>
            <w:shd w:val="clear" w:color="auto" w:fill="D5DCE4"/>
          </w:tcPr>
          <w:p>
            <w:pPr>
              <w:spacing w:after="0"/>
              <w:rPr>
                <w:sz w:val="21"/>
                <w:szCs w:val="21"/>
                <w:color w:val="auto"/>
              </w:rPr>
            </w:pPr>
          </w:p>
        </w:tc>
        <w:tc>
          <w:tcPr>
            <w:tcW w:w="66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D5DCE4"/>
            </w:tcBorders>
            <w:shd w:val="clear" w:color="auto" w:fill="D5DCE4"/>
          </w:tcPr>
          <w:p>
            <w:pPr>
              <w:spacing w:after="0"/>
              <w:rPr>
                <w:sz w:val="21"/>
                <w:szCs w:val="21"/>
                <w:color w:val="auto"/>
              </w:rPr>
            </w:pPr>
          </w:p>
        </w:tc>
        <w:tc>
          <w:tcPr>
            <w:tcW w:w="520" w:type="dxa"/>
            <w:vAlign w:val="bottom"/>
            <w:tcBorders>
              <w:bottom w:val="single" w:sz="8" w:color="D5DCE4"/>
            </w:tcBorders>
            <w:shd w:val="clear" w:color="auto" w:fill="D5DCE4"/>
          </w:tcPr>
          <w:p>
            <w:pPr>
              <w:spacing w:after="0"/>
              <w:rPr>
                <w:sz w:val="21"/>
                <w:szCs w:val="21"/>
                <w:color w:val="auto"/>
              </w:rPr>
            </w:pPr>
          </w:p>
        </w:tc>
        <w:tc>
          <w:tcPr>
            <w:tcW w:w="110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92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0.38</w:t>
            </w:r>
          </w:p>
        </w:tc>
        <w:tc>
          <w:tcPr>
            <w:tcW w:w="24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D5DCE4"/>
          </w:tcPr>
          <w:p>
            <w:pPr>
              <w:spacing w:after="0"/>
              <w:rPr>
                <w:sz w:val="21"/>
                <w:szCs w:val="21"/>
                <w:color w:val="auto"/>
              </w:rPr>
            </w:pPr>
          </w:p>
        </w:tc>
        <w:tc>
          <w:tcPr>
            <w:tcW w:w="6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0.29</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30.1 %</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92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2.60</w:t>
            </w:r>
          </w:p>
        </w:tc>
        <w:tc>
          <w:tcPr>
            <w:tcW w:w="24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D5DCE4"/>
          </w:tcPr>
          <w:p>
            <w:pPr>
              <w:spacing w:after="0"/>
              <w:rPr>
                <w:sz w:val="21"/>
                <w:szCs w:val="21"/>
                <w:color w:val="auto"/>
              </w:rPr>
            </w:pPr>
          </w:p>
        </w:tc>
        <w:tc>
          <w:tcPr>
            <w:tcW w:w="6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2.78</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302"/>
        </w:trPr>
        <w:tc>
          <w:tcPr>
            <w:tcW w:w="3580" w:type="dxa"/>
            <w:vAlign w:val="bottom"/>
            <w:gridSpan w:val="7"/>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2.92</w:t>
            </w:r>
          </w:p>
        </w:tc>
        <w:tc>
          <w:tcPr>
            <w:tcW w:w="24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rPr>
              <w:t>3.14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6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7" w:lineRule="exact"/>
        <w:rPr>
          <w:sz w:val="20"/>
          <w:szCs w:val="20"/>
          <w:color w:val="auto"/>
        </w:rPr>
      </w:pPr>
    </w:p>
    <w:p>
      <w:pPr>
        <w:ind w:left="460" w:hanging="434"/>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spacing w:after="0" w:line="64" w:lineRule="exact"/>
        <w:rPr>
          <w:rFonts w:ascii="Arial" w:cs="Arial" w:eastAsia="Arial" w:hAnsi="Arial"/>
          <w:sz w:val="12"/>
          <w:szCs w:val="12"/>
          <w:color w:val="auto"/>
        </w:rPr>
      </w:pPr>
    </w:p>
    <w:p>
      <w:pPr>
        <w:ind w:left="460" w:hanging="434"/>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304"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8</w:t>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2023 Q2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2022 Q2</w:t>
            </w:r>
          </w:p>
        </w:tc>
        <w:tc>
          <w:tcPr>
            <w:tcW w:w="120" w:type="dxa"/>
            <w:vAlign w:val="bottom"/>
          </w:tcPr>
          <w:p>
            <w:pPr>
              <w:spacing w:after="0"/>
              <w:rPr>
                <w:sz w:val="19"/>
                <w:szCs w:val="19"/>
                <w:color w:val="auto"/>
              </w:rPr>
            </w:pPr>
          </w:p>
        </w:tc>
        <w:tc>
          <w:tcPr>
            <w:tcW w:w="1220" w:type="dxa"/>
            <w:vAlign w:val="bottom"/>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Volume (USD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Volume (USD</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0"/>
                <w:szCs w:val="20"/>
                <w:color w:val="auto"/>
              </w:rPr>
            </w:pPr>
          </w:p>
        </w:tc>
        <w:tc>
          <w:tcPr>
            <w:tcW w:w="1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mm)</w:t>
            </w:r>
          </w:p>
        </w:tc>
        <w:tc>
          <w:tcPr>
            <w:tcW w:w="100" w:type="dxa"/>
            <w:vAlign w:val="bottom"/>
            <w:tcBorders>
              <w:bottom w:val="single" w:sz="8" w:color="D5DCE4"/>
            </w:tcBorders>
          </w:tcPr>
          <w:p>
            <w:pPr>
              <w:spacing w:after="0"/>
              <w:rPr>
                <w:sz w:val="20"/>
                <w:szCs w:val="20"/>
                <w:color w:val="auto"/>
              </w:rPr>
            </w:pPr>
          </w:p>
        </w:tc>
        <w:tc>
          <w:tcPr>
            <w:tcW w:w="1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mm)</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20" w:type="dxa"/>
            <w:vAlign w:val="bottom"/>
            <w:tcBorders>
              <w:right w:val="single" w:sz="8" w:color="D5DCE4"/>
            </w:tcBorders>
            <w:shd w:val="clear" w:color="auto" w:fill="D5DCE4"/>
          </w:tcPr>
          <w:p>
            <w:pPr>
              <w:spacing w:after="0"/>
              <w:rPr>
                <w:sz w:val="20"/>
                <w:szCs w:val="20"/>
                <w:color w:val="auto"/>
              </w:rPr>
            </w:pPr>
          </w:p>
        </w:tc>
        <w:tc>
          <w:tcPr>
            <w:tcW w:w="29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42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344,674</w:t>
            </w:r>
          </w:p>
        </w:tc>
        <w:tc>
          <w:tcPr>
            <w:tcW w:w="140" w:type="dxa"/>
            <w:vAlign w:val="bottom"/>
            <w:shd w:val="clear" w:color="auto" w:fill="D5DCE4"/>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21,627,622</w:t>
            </w:r>
          </w:p>
        </w:tc>
        <w:tc>
          <w:tcPr>
            <w:tcW w:w="42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341,367</w:t>
            </w:r>
          </w:p>
        </w:tc>
        <w:tc>
          <w:tcPr>
            <w:tcW w:w="140" w:type="dxa"/>
            <w:vAlign w:val="bottom"/>
            <w:shd w:val="clear" w:color="auto" w:fill="D5DCE4"/>
          </w:tcPr>
          <w:p>
            <w:pPr>
              <w:jc w:val="center"/>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21,126,389</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0.97 %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U.S. Government Bonds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135,128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8,513,069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131,935</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8,179,969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40" w:type="dxa"/>
            <w:vAlign w:val="bottom"/>
            <w:shd w:val="clear" w:color="auto" w:fill="D5DCE4"/>
          </w:tcPr>
          <w:p>
            <w:pPr>
              <w:jc w:val="right"/>
              <w:spacing w:after="0"/>
              <w:rPr>
                <w:sz w:val="20"/>
                <w:szCs w:val="20"/>
                <w:color w:val="auto"/>
              </w:rPr>
            </w:pPr>
            <w:r>
              <w:rPr>
                <w:rFonts w:ascii="Arial" w:cs="Arial" w:eastAsia="Arial" w:hAnsi="Arial"/>
                <w:sz w:val="16"/>
                <w:szCs w:val="16"/>
                <w:i w:val="1"/>
                <w:iCs w:val="1"/>
                <w:color w:val="auto"/>
              </w:rPr>
              <w:t>European Government Bonds</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40,694</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2,482,305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35,439</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2,161,809</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14.83 %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Mortgages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163,359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10,291,617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168,603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10,453,370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40" w:type="dxa"/>
            <w:vAlign w:val="bottom"/>
            <w:shd w:val="clear" w:color="auto" w:fill="D5DCE4"/>
          </w:tcPr>
          <w:p>
            <w:pPr>
              <w:jc w:val="right"/>
              <w:spacing w:after="0"/>
              <w:rPr>
                <w:sz w:val="20"/>
                <w:szCs w:val="20"/>
                <w:color w:val="auto"/>
              </w:rPr>
            </w:pPr>
            <w:r>
              <w:rPr>
                <w:rFonts w:ascii="Arial" w:cs="Arial" w:eastAsia="Arial" w:hAnsi="Arial"/>
                <w:sz w:val="16"/>
                <w:szCs w:val="16"/>
                <w:i w:val="1"/>
                <w:iCs w:val="1"/>
                <w:color w:val="auto"/>
              </w:rPr>
              <w:t>Other Government Bonds</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5,493</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340,631</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5,389</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331,240</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1.92 %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429,285</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26,633,837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367,604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22,616,932</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16.78 %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0" w:type="dxa"/>
            <w:vAlign w:val="bottom"/>
            <w:tcBorders>
              <w:bottom w:val="single" w:sz="8" w:color="D5DCE4"/>
            </w:tcBorders>
            <w:shd w:val="clear" w:color="auto" w:fill="D5DCE4"/>
          </w:tcPr>
          <w:p>
            <w:pPr>
              <w:spacing w:after="0"/>
              <w:rPr>
                <w:sz w:val="20"/>
                <w:szCs w:val="20"/>
                <w:color w:val="auto"/>
              </w:rPr>
            </w:pPr>
          </w:p>
        </w:tc>
        <w:tc>
          <w:tcPr>
            <w:tcW w:w="220" w:type="dxa"/>
            <w:vAlign w:val="bottom"/>
            <w:tcBorders>
              <w:bottom w:val="single" w:sz="8" w:color="D5DCE4"/>
              <w:right w:val="single" w:sz="8" w:color="D5DCE4"/>
            </w:tcBorders>
            <w:shd w:val="clear" w:color="auto" w:fill="D5DCE4"/>
          </w:tcPr>
          <w:p>
            <w:pPr>
              <w:spacing w:after="0"/>
              <w:rPr>
                <w:sz w:val="20"/>
                <w:szCs w:val="20"/>
                <w:color w:val="auto"/>
              </w:rPr>
            </w:pPr>
          </w:p>
        </w:tc>
        <w:tc>
          <w:tcPr>
            <w:tcW w:w="294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i w:val="1"/>
                <w:iCs w:val="1"/>
                <w:color w:val="auto"/>
              </w:rPr>
              <w:t>Swaps/Swaptions ≥ 1Y</w:t>
            </w:r>
          </w:p>
        </w:tc>
        <w:tc>
          <w:tcPr>
            <w:tcW w:w="100" w:type="dxa"/>
            <w:vAlign w:val="bottom"/>
            <w:tcBorders>
              <w:bottom w:val="single" w:sz="8" w:color="D5DCE4"/>
              <w:right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020" w:type="dxa"/>
            <w:vAlign w:val="bottom"/>
            <w:tcBorders>
              <w:bottom w:val="single" w:sz="8" w:color="D5DCE4"/>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273,533</w:t>
            </w:r>
          </w:p>
        </w:tc>
        <w:tc>
          <w:tcPr>
            <w:tcW w:w="140" w:type="dxa"/>
            <w:vAlign w:val="bottom"/>
            <w:tcBorders>
              <w:bottom w:val="single" w:sz="8" w:color="D5DCE4"/>
            </w:tcBorders>
            <w:shd w:val="clear" w:color="auto" w:fill="D5DCE4"/>
          </w:tcPr>
          <w:p>
            <w:pPr>
              <w:spacing w:after="0"/>
              <w:rPr>
                <w:sz w:val="20"/>
                <w:szCs w:val="20"/>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16,961,570</w:t>
            </w:r>
          </w:p>
        </w:tc>
        <w:tc>
          <w:tcPr>
            <w:tcW w:w="100" w:type="dxa"/>
            <w:vAlign w:val="bottom"/>
            <w:tcBorders>
              <w:bottom w:val="single" w:sz="8" w:color="D5DCE4"/>
              <w:right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020" w:type="dxa"/>
            <w:vAlign w:val="bottom"/>
            <w:tcBorders>
              <w:bottom w:val="single" w:sz="8" w:color="D5DCE4"/>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221,191</w:t>
            </w:r>
          </w:p>
        </w:tc>
        <w:tc>
          <w:tcPr>
            <w:tcW w:w="140" w:type="dxa"/>
            <w:vAlign w:val="bottom"/>
            <w:tcBorders>
              <w:bottom w:val="single" w:sz="8" w:color="D5DCE4"/>
            </w:tcBorders>
            <w:shd w:val="clear" w:color="auto" w:fill="D5DCE4"/>
          </w:tcPr>
          <w:p>
            <w:pPr>
              <w:spacing w:after="0"/>
              <w:rPr>
                <w:sz w:val="20"/>
                <w:szCs w:val="20"/>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13,602,492</w:t>
            </w:r>
          </w:p>
        </w:tc>
        <w:tc>
          <w:tcPr>
            <w:tcW w:w="134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23.66 %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Swaps/Swaptions &lt; 1Y</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154,332</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9,582,824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145,004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8,927,045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6.43 %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00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right w:val="single" w:sz="8" w:color="D5DCE4"/>
            </w:tcBorders>
            <w:shd w:val="clear" w:color="auto" w:fill="D5DCE4"/>
          </w:tcPr>
          <w:p>
            <w:pPr>
              <w:spacing w:after="0"/>
              <w:rPr>
                <w:sz w:val="21"/>
                <w:szCs w:val="21"/>
                <w:color w:val="auto"/>
              </w:rPr>
            </w:pPr>
          </w:p>
        </w:tc>
        <w:tc>
          <w:tcPr>
            <w:tcW w:w="294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i w:val="1"/>
                <w:iCs w:val="1"/>
                <w:color w:val="auto"/>
              </w:rPr>
              <w:t>Futures</w:t>
            </w:r>
          </w:p>
        </w:tc>
        <w:tc>
          <w:tcPr>
            <w:tcW w:w="100" w:type="dxa"/>
            <w:vAlign w:val="bottom"/>
            <w:tcBorders>
              <w:bottom w:val="single" w:sz="8" w:color="D5DCE4"/>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1,420</w:t>
            </w:r>
          </w:p>
        </w:tc>
        <w:tc>
          <w:tcPr>
            <w:tcW w:w="1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Borders>
              <w:bottom w:val="single" w:sz="8" w:color="D5DCE4"/>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1,410</w:t>
            </w:r>
          </w:p>
        </w:tc>
        <w:tc>
          <w:tcPr>
            <w:tcW w:w="1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87,395</w:t>
            </w:r>
          </w:p>
        </w:tc>
        <w:tc>
          <w:tcPr>
            <w:tcW w:w="120" w:type="dxa"/>
            <w:vAlign w:val="bottom"/>
            <w:tcBorders>
              <w:bottom w:val="single" w:sz="8" w:color="D5DCE4"/>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773,959</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48,261,458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708,971</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43,743,321</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9.17 %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0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D5DCE4"/>
            </w:tcBorders>
          </w:tcPr>
          <w:p>
            <w:pPr>
              <w:spacing w:after="0" w:line="20" w:lineRule="exact"/>
              <w:rPr>
                <w:sz w:val="1"/>
                <w:szCs w:val="1"/>
                <w:color w:val="auto"/>
              </w:rPr>
            </w:pPr>
          </w:p>
        </w:tc>
        <w:tc>
          <w:tcPr>
            <w:tcW w:w="2940" w:type="dxa"/>
            <w:vAlign w:val="bottom"/>
            <w:tcBorders>
              <w:bottom w:val="single" w:sz="8" w:color="D5DCE4"/>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5DCE4"/>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20" w:type="dxa"/>
            <w:vAlign w:val="bottom"/>
            <w:tcBorders>
              <w:right w:val="single" w:sz="8" w:color="D5DCE4"/>
            </w:tcBorders>
            <w:shd w:val="clear" w:color="auto" w:fill="D5DCE4"/>
          </w:tcPr>
          <w:p>
            <w:pPr>
              <w:spacing w:after="0"/>
              <w:rPr>
                <w:sz w:val="20"/>
                <w:szCs w:val="20"/>
                <w:color w:val="auto"/>
              </w:rPr>
            </w:pPr>
          </w:p>
        </w:tc>
        <w:tc>
          <w:tcPr>
            <w:tcW w:w="29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10,627</w:t>
            </w:r>
          </w:p>
        </w:tc>
        <w:tc>
          <w:tcPr>
            <w:tcW w:w="14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662,558</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10,196</w:t>
            </w:r>
          </w:p>
        </w:tc>
        <w:tc>
          <w:tcPr>
            <w:tcW w:w="14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626,277</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4.23 %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U.S. High Grade - Fully Electronic</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3,960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202,106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21.49 %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0" w:type="dxa"/>
            <w:vAlign w:val="bottom"/>
            <w:shd w:val="clear" w:color="auto" w:fill="D5DCE4"/>
          </w:tcPr>
          <w:p>
            <w:pPr>
              <w:spacing w:after="0"/>
              <w:rPr>
                <w:sz w:val="21"/>
                <w:szCs w:val="21"/>
                <w:color w:val="auto"/>
              </w:rPr>
            </w:pPr>
          </w:p>
        </w:tc>
        <w:tc>
          <w:tcPr>
            <w:tcW w:w="3160" w:type="dxa"/>
            <w:vAlign w:val="bottom"/>
            <w:gridSpan w:val="2"/>
            <w:shd w:val="clear" w:color="auto" w:fill="D5DCE4"/>
          </w:tcPr>
          <w:p>
            <w:pPr>
              <w:jc w:val="right"/>
              <w:spacing w:after="0"/>
              <w:rPr>
                <w:sz w:val="20"/>
                <w:szCs w:val="20"/>
                <w:color w:val="auto"/>
              </w:rPr>
            </w:pPr>
            <w:r>
              <w:rPr>
                <w:rFonts w:ascii="Arial" w:cs="Arial" w:eastAsia="Arial" w:hAnsi="Arial"/>
                <w:sz w:val="16"/>
                <w:szCs w:val="16"/>
                <w:i w:val="1"/>
                <w:iCs w:val="1"/>
                <w:color w:val="auto"/>
              </w:rPr>
              <w:t>U.S. High Grade - Electronically Processed</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2,694</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169,695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2,652</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164,397</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1.58 %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U.S. High Yield - Fully Electronic</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35,718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652</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40,432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shd w:val="clear" w:color="auto" w:fill="D5DCE4"/>
          </w:tcPr>
          <w:p>
            <w:pPr>
              <w:spacing w:after="0"/>
              <w:rPr>
                <w:sz w:val="19"/>
                <w:szCs w:val="19"/>
                <w:color w:val="auto"/>
              </w:rPr>
            </w:pPr>
          </w:p>
        </w:tc>
        <w:tc>
          <w:tcPr>
            <w:tcW w:w="220" w:type="dxa"/>
            <w:vAlign w:val="bottom"/>
            <w:tcBorders>
              <w:right w:val="single" w:sz="8" w:color="D5DCE4"/>
            </w:tcBorders>
            <w:shd w:val="clear" w:color="auto" w:fill="D5DCE4"/>
          </w:tcPr>
          <w:p>
            <w:pPr>
              <w:spacing w:after="0"/>
              <w:rPr>
                <w:sz w:val="19"/>
                <w:szCs w:val="19"/>
                <w:color w:val="auto"/>
              </w:rPr>
            </w:pPr>
          </w:p>
        </w:tc>
        <w:tc>
          <w:tcPr>
            <w:tcW w:w="2940" w:type="dxa"/>
            <w:vAlign w:val="bottom"/>
            <w:shd w:val="clear" w:color="auto" w:fill="D5DCE4"/>
          </w:tcPr>
          <w:p>
            <w:pPr>
              <w:jc w:val="right"/>
              <w:spacing w:after="0"/>
              <w:rPr>
                <w:sz w:val="20"/>
                <w:szCs w:val="20"/>
                <w:color w:val="auto"/>
              </w:rPr>
            </w:pPr>
            <w:r>
              <w:rPr>
                <w:rFonts w:ascii="Arial" w:cs="Arial" w:eastAsia="Arial" w:hAnsi="Arial"/>
                <w:sz w:val="16"/>
                <w:szCs w:val="16"/>
                <w:i w:val="1"/>
                <w:iCs w:val="1"/>
                <w:color w:val="auto"/>
              </w:rPr>
              <w:t>U.S. High Yield - Electronically</w:t>
            </w:r>
          </w:p>
        </w:tc>
        <w:tc>
          <w:tcPr>
            <w:tcW w:w="100" w:type="dxa"/>
            <w:vAlign w:val="bottom"/>
            <w:tcBorders>
              <w:right w:val="single" w:sz="8" w:color="D5DCE4"/>
            </w:tcBorders>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02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317</w:t>
            </w:r>
          </w:p>
        </w:tc>
        <w:tc>
          <w:tcPr>
            <w:tcW w:w="140" w:type="dxa"/>
            <w:vAlign w:val="bottom"/>
            <w:shd w:val="clear" w:color="auto" w:fill="D5DCE4"/>
          </w:tcPr>
          <w:p>
            <w:pPr>
              <w:spacing w:after="0"/>
              <w:rPr>
                <w:sz w:val="19"/>
                <w:szCs w:val="19"/>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19,997</w:t>
            </w:r>
          </w:p>
        </w:tc>
        <w:tc>
          <w:tcPr>
            <w:tcW w:w="100" w:type="dxa"/>
            <w:vAlign w:val="bottom"/>
            <w:tcBorders>
              <w:right w:val="single" w:sz="8" w:color="D5DCE4"/>
            </w:tcBorders>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353</w:t>
            </w:r>
          </w:p>
        </w:tc>
        <w:tc>
          <w:tcPr>
            <w:tcW w:w="140" w:type="dxa"/>
            <w:vAlign w:val="bottom"/>
            <w:shd w:val="clear" w:color="auto" w:fill="D5DCE4"/>
          </w:tcPr>
          <w:p>
            <w:pPr>
              <w:spacing w:after="0"/>
              <w:rPr>
                <w:sz w:val="19"/>
                <w:szCs w:val="19"/>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21,910</w:t>
            </w:r>
          </w:p>
        </w:tc>
        <w:tc>
          <w:tcPr>
            <w:tcW w:w="1340" w:type="dxa"/>
            <w:vAlign w:val="bottom"/>
            <w:gridSpan w:val="2"/>
            <w:vMerge w:val="restart"/>
            <w:shd w:val="clear" w:color="auto" w:fill="D5DCE4"/>
          </w:tcPr>
          <w:p>
            <w:pPr>
              <w:jc w:val="right"/>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000" w:type="dxa"/>
            <w:vAlign w:val="bottom"/>
            <w:shd w:val="clear" w:color="auto" w:fill="D5DCE4"/>
          </w:tcPr>
          <w:p>
            <w:pPr>
              <w:spacing w:after="0"/>
              <w:rPr>
                <w:sz w:val="10"/>
                <w:szCs w:val="10"/>
                <w:color w:val="auto"/>
              </w:rPr>
            </w:pPr>
          </w:p>
        </w:tc>
        <w:tc>
          <w:tcPr>
            <w:tcW w:w="220" w:type="dxa"/>
            <w:vAlign w:val="bottom"/>
            <w:tcBorders>
              <w:right w:val="single" w:sz="8" w:color="D5DCE4"/>
            </w:tcBorders>
            <w:shd w:val="clear" w:color="auto" w:fill="D5DCE4"/>
          </w:tcPr>
          <w:p>
            <w:pPr>
              <w:spacing w:after="0"/>
              <w:rPr>
                <w:sz w:val="10"/>
                <w:szCs w:val="10"/>
                <w:color w:val="auto"/>
              </w:rPr>
            </w:pPr>
          </w:p>
        </w:tc>
        <w:tc>
          <w:tcPr>
            <w:tcW w:w="2940" w:type="dxa"/>
            <w:vAlign w:val="bottom"/>
            <w:vMerge w:val="restart"/>
            <w:shd w:val="clear" w:color="auto" w:fill="D5DCE4"/>
          </w:tcPr>
          <w:p>
            <w:pPr>
              <w:jc w:val="right"/>
              <w:spacing w:after="0"/>
              <w:rPr>
                <w:sz w:val="20"/>
                <w:szCs w:val="20"/>
                <w:color w:val="auto"/>
              </w:rPr>
            </w:pPr>
            <w:r>
              <w:rPr>
                <w:rFonts w:ascii="Arial" w:cs="Arial" w:eastAsia="Arial" w:hAnsi="Arial"/>
                <w:sz w:val="16"/>
                <w:szCs w:val="16"/>
                <w:i w:val="1"/>
                <w:iCs w:val="1"/>
                <w:color w:val="auto"/>
              </w:rPr>
              <w:t>Processed</w:t>
            </w:r>
          </w:p>
        </w:tc>
        <w:tc>
          <w:tcPr>
            <w:tcW w:w="100" w:type="dxa"/>
            <w:vAlign w:val="bottom"/>
            <w:tcBorders>
              <w:right w:val="single" w:sz="8" w:color="D5DCE4"/>
            </w:tcBorders>
            <w:shd w:val="clear" w:color="auto" w:fill="D5DCE4"/>
          </w:tcPr>
          <w:p>
            <w:pPr>
              <w:spacing w:after="0"/>
              <w:rPr>
                <w:sz w:val="10"/>
                <w:szCs w:val="10"/>
                <w:color w:val="auto"/>
              </w:rPr>
            </w:pP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4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4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340" w:type="dxa"/>
            <w:vAlign w:val="bottom"/>
            <w:gridSpan w:val="2"/>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D5DCE4"/>
          </w:tcPr>
          <w:p>
            <w:pPr>
              <w:spacing w:after="0"/>
              <w:rPr>
                <w:sz w:val="9"/>
                <w:szCs w:val="9"/>
                <w:color w:val="auto"/>
              </w:rPr>
            </w:pPr>
          </w:p>
        </w:tc>
        <w:tc>
          <w:tcPr>
            <w:tcW w:w="220" w:type="dxa"/>
            <w:vAlign w:val="bottom"/>
            <w:tcBorders>
              <w:right w:val="single" w:sz="8" w:color="D5DCE4"/>
            </w:tcBorders>
            <w:shd w:val="clear" w:color="auto" w:fill="D5DCE4"/>
          </w:tcPr>
          <w:p>
            <w:pPr>
              <w:spacing w:after="0"/>
              <w:rPr>
                <w:sz w:val="9"/>
                <w:szCs w:val="9"/>
                <w:color w:val="auto"/>
              </w:rPr>
            </w:pPr>
          </w:p>
        </w:tc>
        <w:tc>
          <w:tcPr>
            <w:tcW w:w="2940" w:type="dxa"/>
            <w:vAlign w:val="bottom"/>
            <w:vMerge w:val="continue"/>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320" w:type="dxa"/>
            <w:vAlign w:val="bottom"/>
            <w:shd w:val="clear" w:color="auto" w:fill="D5DCE4"/>
          </w:tcPr>
          <w:p>
            <w:pPr>
              <w:spacing w:after="0"/>
              <w:rPr>
                <w:sz w:val="9"/>
                <w:szCs w:val="9"/>
                <w:color w:val="auto"/>
              </w:rPr>
            </w:pPr>
          </w:p>
        </w:tc>
        <w:tc>
          <w:tcPr>
            <w:tcW w:w="1020" w:type="dxa"/>
            <w:vAlign w:val="bottom"/>
            <w:tcBorders>
              <w:right w:val="single" w:sz="8" w:color="D5DCE4"/>
            </w:tcBorders>
            <w:shd w:val="clear" w:color="auto" w:fill="D5DCE4"/>
          </w:tcPr>
          <w:p>
            <w:pPr>
              <w:spacing w:after="0"/>
              <w:rPr>
                <w:sz w:val="9"/>
                <w:szCs w:val="9"/>
                <w:color w:val="auto"/>
              </w:rPr>
            </w:pPr>
          </w:p>
        </w:tc>
        <w:tc>
          <w:tcPr>
            <w:tcW w:w="140" w:type="dxa"/>
            <w:vAlign w:val="bottom"/>
            <w:shd w:val="clear" w:color="auto" w:fill="D5DCE4"/>
          </w:tcPr>
          <w:p>
            <w:pPr>
              <w:spacing w:after="0"/>
              <w:rPr>
                <w:sz w:val="9"/>
                <w:szCs w:val="9"/>
                <w:color w:val="auto"/>
              </w:rPr>
            </w:pPr>
          </w:p>
        </w:tc>
        <w:tc>
          <w:tcPr>
            <w:tcW w:w="126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320" w:type="dxa"/>
            <w:vAlign w:val="bottom"/>
            <w:shd w:val="clear" w:color="auto" w:fill="D5DCE4"/>
          </w:tcPr>
          <w:p>
            <w:pPr>
              <w:spacing w:after="0"/>
              <w:rPr>
                <w:sz w:val="9"/>
                <w:szCs w:val="9"/>
                <w:color w:val="auto"/>
              </w:rPr>
            </w:pPr>
          </w:p>
        </w:tc>
        <w:tc>
          <w:tcPr>
            <w:tcW w:w="1020" w:type="dxa"/>
            <w:vAlign w:val="bottom"/>
            <w:tcBorders>
              <w:right w:val="single" w:sz="8" w:color="D5DCE4"/>
            </w:tcBorders>
            <w:shd w:val="clear" w:color="auto" w:fill="D5DCE4"/>
          </w:tcPr>
          <w:p>
            <w:pPr>
              <w:spacing w:after="0"/>
              <w:rPr>
                <w:sz w:val="9"/>
                <w:szCs w:val="9"/>
                <w:color w:val="auto"/>
              </w:rPr>
            </w:pPr>
          </w:p>
        </w:tc>
        <w:tc>
          <w:tcPr>
            <w:tcW w:w="140" w:type="dxa"/>
            <w:vAlign w:val="bottom"/>
            <w:shd w:val="clear" w:color="auto" w:fill="D5DCE4"/>
          </w:tcPr>
          <w:p>
            <w:pPr>
              <w:spacing w:after="0"/>
              <w:rPr>
                <w:sz w:val="9"/>
                <w:szCs w:val="9"/>
                <w:color w:val="auto"/>
              </w:rPr>
            </w:pPr>
          </w:p>
        </w:tc>
        <w:tc>
          <w:tcPr>
            <w:tcW w:w="1260" w:type="dxa"/>
            <w:vAlign w:val="bottom"/>
            <w:shd w:val="clear" w:color="auto" w:fill="D5DCE4"/>
          </w:tcPr>
          <w:p>
            <w:pPr>
              <w:spacing w:after="0"/>
              <w:rPr>
                <w:sz w:val="9"/>
                <w:szCs w:val="9"/>
                <w:color w:val="auto"/>
              </w:rPr>
            </w:pPr>
          </w:p>
        </w:tc>
        <w:tc>
          <w:tcPr>
            <w:tcW w:w="120" w:type="dxa"/>
            <w:vAlign w:val="bottom"/>
            <w:tcBorders>
              <w:right w:val="single" w:sz="8" w:color="D5DCE4"/>
            </w:tcBorders>
            <w:shd w:val="clear" w:color="auto" w:fill="D5DCE4"/>
          </w:tcPr>
          <w:p>
            <w:pPr>
              <w:spacing w:after="0"/>
              <w:rPr>
                <w:sz w:val="9"/>
                <w:szCs w:val="9"/>
                <w:color w:val="auto"/>
              </w:rPr>
            </w:pPr>
          </w:p>
        </w:tc>
        <w:tc>
          <w:tcPr>
            <w:tcW w:w="1220" w:type="dxa"/>
            <w:vAlign w:val="bottom"/>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European Credit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1,958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1,762</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107,496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11.13 %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40" w:type="dxa"/>
            <w:vAlign w:val="bottom"/>
            <w:shd w:val="clear" w:color="auto" w:fill="D5DCE4"/>
          </w:tcPr>
          <w:p>
            <w:pPr>
              <w:jc w:val="right"/>
              <w:spacing w:after="0"/>
              <w:rPr>
                <w:sz w:val="20"/>
                <w:szCs w:val="20"/>
                <w:color w:val="auto"/>
              </w:rPr>
            </w:pPr>
            <w:r>
              <w:rPr>
                <w:rFonts w:ascii="Arial" w:cs="Arial" w:eastAsia="Arial" w:hAnsi="Arial"/>
                <w:sz w:val="16"/>
                <w:szCs w:val="16"/>
                <w:i w:val="1"/>
                <w:iCs w:val="1"/>
                <w:color w:val="auto"/>
              </w:rPr>
              <w:t>Municipal Bonds</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308</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19,414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394</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24,444</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(21.84)%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Chinese Bonds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1,001</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58,041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(28.01)%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000" w:type="dxa"/>
            <w:vAlign w:val="bottom"/>
            <w:tcBorders>
              <w:bottom w:val="single" w:sz="8" w:color="D5DCE4"/>
            </w:tcBorders>
            <w:shd w:val="clear" w:color="auto" w:fill="D5DCE4"/>
          </w:tcPr>
          <w:p>
            <w:pPr>
              <w:spacing w:after="0"/>
              <w:rPr>
                <w:sz w:val="21"/>
                <w:szCs w:val="21"/>
                <w:color w:val="auto"/>
              </w:rPr>
            </w:pPr>
          </w:p>
        </w:tc>
        <w:tc>
          <w:tcPr>
            <w:tcW w:w="220" w:type="dxa"/>
            <w:vAlign w:val="bottom"/>
            <w:tcBorders>
              <w:bottom w:val="single" w:sz="8" w:color="D5DCE4"/>
              <w:right w:val="single" w:sz="8" w:color="D5DCE4"/>
            </w:tcBorders>
            <w:shd w:val="clear" w:color="auto" w:fill="D5DCE4"/>
          </w:tcPr>
          <w:p>
            <w:pPr>
              <w:spacing w:after="0"/>
              <w:rPr>
                <w:sz w:val="21"/>
                <w:szCs w:val="21"/>
                <w:color w:val="auto"/>
              </w:rPr>
            </w:pPr>
          </w:p>
        </w:tc>
        <w:tc>
          <w:tcPr>
            <w:tcW w:w="294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i w:val="1"/>
                <w:iCs w:val="1"/>
                <w:color w:val="auto"/>
              </w:rPr>
              <w:t>Other Credit Bonds</w:t>
            </w:r>
          </w:p>
        </w:tc>
        <w:tc>
          <w:tcPr>
            <w:tcW w:w="100" w:type="dxa"/>
            <w:vAlign w:val="bottom"/>
            <w:tcBorders>
              <w:bottom w:val="single" w:sz="8" w:color="D5DCE4"/>
              <w:right w:val="single" w:sz="8" w:color="D5DCE4"/>
            </w:tcBorders>
            <w:shd w:val="clear" w:color="auto" w:fill="D5DCE4"/>
          </w:tcPr>
          <w:p>
            <w:pPr>
              <w:spacing w:after="0"/>
              <w:rPr>
                <w:sz w:val="21"/>
                <w:szCs w:val="21"/>
                <w:color w:val="auto"/>
              </w:rPr>
            </w:pPr>
          </w:p>
        </w:tc>
        <w:tc>
          <w:tcPr>
            <w:tcW w:w="320" w:type="dxa"/>
            <w:vAlign w:val="bottom"/>
            <w:tcBorders>
              <w:bottom w:val="single" w:sz="8" w:color="D5DCE4"/>
            </w:tcBorders>
            <w:shd w:val="clear" w:color="auto" w:fill="D5DCE4"/>
          </w:tcPr>
          <w:p>
            <w:pPr>
              <w:spacing w:after="0"/>
              <w:rPr>
                <w:sz w:val="21"/>
                <w:szCs w:val="21"/>
                <w:color w:val="auto"/>
              </w:rPr>
            </w:pPr>
          </w:p>
        </w:tc>
        <w:tc>
          <w:tcPr>
            <w:tcW w:w="1020" w:type="dxa"/>
            <w:vAlign w:val="bottom"/>
            <w:tcBorders>
              <w:bottom w:val="single" w:sz="8" w:color="D5DCE4"/>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101</w:t>
            </w:r>
          </w:p>
        </w:tc>
        <w:tc>
          <w:tcPr>
            <w:tcW w:w="140" w:type="dxa"/>
            <w:vAlign w:val="bottom"/>
            <w:tcBorders>
              <w:bottom w:val="single" w:sz="8" w:color="D5DCE4"/>
            </w:tcBorders>
            <w:shd w:val="clear" w:color="auto" w:fill="D5DCE4"/>
          </w:tcPr>
          <w:p>
            <w:pPr>
              <w:spacing w:after="0"/>
              <w:rPr>
                <w:sz w:val="21"/>
                <w:szCs w:val="21"/>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6,259</w:t>
            </w:r>
          </w:p>
        </w:tc>
        <w:tc>
          <w:tcPr>
            <w:tcW w:w="100" w:type="dxa"/>
            <w:vAlign w:val="bottom"/>
            <w:tcBorders>
              <w:bottom w:val="single" w:sz="8" w:color="D5DCE4"/>
              <w:right w:val="single" w:sz="8" w:color="D5DCE4"/>
            </w:tcBorders>
            <w:shd w:val="clear" w:color="auto" w:fill="D5DCE4"/>
          </w:tcPr>
          <w:p>
            <w:pPr>
              <w:spacing w:after="0"/>
              <w:rPr>
                <w:sz w:val="21"/>
                <w:szCs w:val="21"/>
                <w:color w:val="auto"/>
              </w:rPr>
            </w:pPr>
          </w:p>
        </w:tc>
        <w:tc>
          <w:tcPr>
            <w:tcW w:w="320" w:type="dxa"/>
            <w:vAlign w:val="bottom"/>
            <w:tcBorders>
              <w:bottom w:val="single" w:sz="8" w:color="D5DCE4"/>
            </w:tcBorders>
            <w:shd w:val="clear" w:color="auto" w:fill="D5DCE4"/>
          </w:tcPr>
          <w:p>
            <w:pPr>
              <w:spacing w:after="0"/>
              <w:rPr>
                <w:sz w:val="21"/>
                <w:szCs w:val="21"/>
                <w:color w:val="auto"/>
              </w:rPr>
            </w:pPr>
          </w:p>
        </w:tc>
        <w:tc>
          <w:tcPr>
            <w:tcW w:w="1020" w:type="dxa"/>
            <w:vAlign w:val="bottom"/>
            <w:tcBorders>
              <w:bottom w:val="single" w:sz="8" w:color="D5DCE4"/>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Borders>
              <w:bottom w:val="single" w:sz="8" w:color="D5DCE4"/>
            </w:tcBorders>
            <w:shd w:val="clear" w:color="auto" w:fill="D5DCE4"/>
          </w:tcPr>
          <w:p>
            <w:pPr>
              <w:spacing w:after="0"/>
              <w:rPr>
                <w:sz w:val="21"/>
                <w:szCs w:val="21"/>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7,449</w:t>
            </w:r>
          </w:p>
        </w:tc>
        <w:tc>
          <w:tcPr>
            <w:tcW w:w="134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(16.57)%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8,362</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520,513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16,477</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1,013,032</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(49.25)%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00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D5DCE4"/>
              <w:right w:val="single" w:sz="8" w:color="D5DCE4"/>
            </w:tcBorders>
            <w:shd w:val="clear" w:color="auto" w:fill="D5DCE4"/>
          </w:tcPr>
          <w:p>
            <w:pPr>
              <w:spacing w:after="0"/>
              <w:rPr>
                <w:sz w:val="22"/>
                <w:szCs w:val="22"/>
                <w:color w:val="auto"/>
              </w:rPr>
            </w:pPr>
          </w:p>
        </w:tc>
        <w:tc>
          <w:tcPr>
            <w:tcW w:w="294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i w:val="1"/>
                <w:iCs w:val="1"/>
                <w:color w:val="auto"/>
              </w:rPr>
              <w:t>Swaps</w:t>
            </w:r>
          </w:p>
        </w:tc>
        <w:tc>
          <w:tcPr>
            <w:tcW w:w="100" w:type="dxa"/>
            <w:vAlign w:val="bottom"/>
            <w:tcBorders>
              <w:bottom w:val="single" w:sz="8" w:color="D5DCE4"/>
              <w:right w:val="single" w:sz="8" w:color="D5DCE4"/>
            </w:tcBorders>
            <w:shd w:val="clear" w:color="auto" w:fill="D5DCE4"/>
          </w:tcPr>
          <w:p>
            <w:pPr>
              <w:spacing w:after="0"/>
              <w:rPr>
                <w:sz w:val="22"/>
                <w:szCs w:val="22"/>
                <w:color w:val="auto"/>
              </w:rPr>
            </w:pPr>
          </w:p>
        </w:tc>
        <w:tc>
          <w:tcPr>
            <w:tcW w:w="320" w:type="dxa"/>
            <w:vAlign w:val="bottom"/>
            <w:tcBorders>
              <w:bottom w:val="single" w:sz="8" w:color="D5DCE4"/>
            </w:tcBorders>
            <w:shd w:val="clear" w:color="auto" w:fill="D5DCE4"/>
          </w:tcPr>
          <w:p>
            <w:pPr>
              <w:spacing w:after="0"/>
              <w:rPr>
                <w:sz w:val="22"/>
                <w:szCs w:val="22"/>
                <w:color w:val="auto"/>
              </w:rPr>
            </w:pPr>
          </w:p>
        </w:tc>
        <w:tc>
          <w:tcPr>
            <w:tcW w:w="1020" w:type="dxa"/>
            <w:vAlign w:val="bottom"/>
            <w:tcBorders>
              <w:bottom w:val="single" w:sz="8" w:color="D5DCE4"/>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8,362</w:t>
            </w:r>
          </w:p>
        </w:tc>
        <w:tc>
          <w:tcPr>
            <w:tcW w:w="140" w:type="dxa"/>
            <w:vAlign w:val="bottom"/>
            <w:tcBorders>
              <w:bottom w:val="single" w:sz="8" w:color="D5DCE4"/>
            </w:tcBorders>
            <w:shd w:val="clear" w:color="auto" w:fill="D5DCE4"/>
          </w:tcPr>
          <w:p>
            <w:pPr>
              <w:spacing w:after="0"/>
              <w:rPr>
                <w:sz w:val="22"/>
                <w:szCs w:val="22"/>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520,513</w:t>
            </w:r>
          </w:p>
        </w:tc>
        <w:tc>
          <w:tcPr>
            <w:tcW w:w="100" w:type="dxa"/>
            <w:vAlign w:val="bottom"/>
            <w:tcBorders>
              <w:bottom w:val="single" w:sz="8" w:color="D5DCE4"/>
              <w:right w:val="single" w:sz="8" w:color="D5DCE4"/>
            </w:tcBorders>
            <w:shd w:val="clear" w:color="auto" w:fill="D5DCE4"/>
          </w:tcPr>
          <w:p>
            <w:pPr>
              <w:spacing w:after="0"/>
              <w:rPr>
                <w:sz w:val="22"/>
                <w:szCs w:val="22"/>
                <w:color w:val="auto"/>
              </w:rPr>
            </w:pPr>
          </w:p>
        </w:tc>
        <w:tc>
          <w:tcPr>
            <w:tcW w:w="320" w:type="dxa"/>
            <w:vAlign w:val="bottom"/>
            <w:tcBorders>
              <w:bottom w:val="single" w:sz="8" w:color="D5DCE4"/>
            </w:tcBorders>
            <w:shd w:val="clear" w:color="auto" w:fill="D5DCE4"/>
          </w:tcPr>
          <w:p>
            <w:pPr>
              <w:spacing w:after="0"/>
              <w:rPr>
                <w:sz w:val="22"/>
                <w:szCs w:val="22"/>
                <w:color w:val="auto"/>
              </w:rPr>
            </w:pPr>
          </w:p>
        </w:tc>
        <w:tc>
          <w:tcPr>
            <w:tcW w:w="1020" w:type="dxa"/>
            <w:vAlign w:val="bottom"/>
            <w:tcBorders>
              <w:bottom w:val="single" w:sz="8" w:color="D5DCE4"/>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16,477</w:t>
            </w:r>
          </w:p>
        </w:tc>
        <w:tc>
          <w:tcPr>
            <w:tcW w:w="140" w:type="dxa"/>
            <w:vAlign w:val="bottom"/>
            <w:tcBorders>
              <w:bottom w:val="single" w:sz="8" w:color="D5DCE4"/>
            </w:tcBorders>
            <w:shd w:val="clear" w:color="auto" w:fill="D5DCE4"/>
          </w:tcPr>
          <w:p>
            <w:pPr>
              <w:spacing w:after="0"/>
              <w:rPr>
                <w:sz w:val="22"/>
                <w:szCs w:val="22"/>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1,013,032</w:t>
            </w:r>
          </w:p>
        </w:tc>
        <w:tc>
          <w:tcPr>
            <w:tcW w:w="134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(49.25)%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00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2940" w:type="dxa"/>
            <w:vAlign w:val="bottom"/>
            <w:tcBorders>
              <w:bottom w:val="single" w:sz="8" w:color="D5DCE4"/>
            </w:tcBorders>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18,989</w:t>
            </w: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1,183,072</w:t>
            </w:r>
          </w:p>
        </w:tc>
        <w:tc>
          <w:tcPr>
            <w:tcW w:w="100" w:type="dxa"/>
            <w:vAlign w:val="bottom"/>
            <w:tcBorders>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26,673</w:t>
            </w: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1,639,309</w:t>
            </w:r>
          </w:p>
        </w:tc>
        <w:tc>
          <w:tcPr>
            <w:tcW w:w="120" w:type="dxa"/>
            <w:vAlign w:val="bottom"/>
            <w:tcBorders>
              <w:bottom w:val="single" w:sz="8" w:color="D5DCE4"/>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20" w:type="dxa"/>
            <w:vAlign w:val="bottom"/>
            <w:tcBorders>
              <w:right w:val="single" w:sz="8" w:color="D5DCE4"/>
            </w:tcBorders>
            <w:shd w:val="clear" w:color="auto" w:fill="D5DCE4"/>
          </w:tcPr>
          <w:p>
            <w:pPr>
              <w:spacing w:after="0"/>
              <w:rPr>
                <w:sz w:val="20"/>
                <w:szCs w:val="20"/>
                <w:color w:val="auto"/>
              </w:rPr>
            </w:pPr>
          </w:p>
        </w:tc>
        <w:tc>
          <w:tcPr>
            <w:tcW w:w="29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9,913</w:t>
            </w:r>
          </w:p>
        </w:tc>
        <w:tc>
          <w:tcPr>
            <w:tcW w:w="14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612,223</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9,945</w:t>
            </w:r>
          </w:p>
        </w:tc>
        <w:tc>
          <w:tcPr>
            <w:tcW w:w="14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613,843</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U.S. ETFs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7,547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467,926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7,202</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446,499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4.80 %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40" w:type="dxa"/>
            <w:vAlign w:val="bottom"/>
            <w:shd w:val="clear" w:color="auto" w:fill="D5DCE4"/>
          </w:tcPr>
          <w:p>
            <w:pPr>
              <w:jc w:val="right"/>
              <w:spacing w:after="0"/>
              <w:rPr>
                <w:sz w:val="20"/>
                <w:szCs w:val="20"/>
                <w:color w:val="auto"/>
              </w:rPr>
            </w:pPr>
            <w:r>
              <w:rPr>
                <w:rFonts w:ascii="Arial" w:cs="Arial" w:eastAsia="Arial" w:hAnsi="Arial"/>
                <w:sz w:val="16"/>
                <w:szCs w:val="16"/>
                <w:i w:val="1"/>
                <w:iCs w:val="1"/>
                <w:color w:val="auto"/>
              </w:rPr>
              <w:t>European ETFs</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2,366</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144,297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2,743</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167,344</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(13.77)%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9,444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584,528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6,761</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418,547</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39.67 %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40" w:type="dxa"/>
            <w:vAlign w:val="bottom"/>
            <w:shd w:val="clear" w:color="auto" w:fill="D5DCE4"/>
          </w:tcPr>
          <w:p>
            <w:pPr>
              <w:jc w:val="right"/>
              <w:spacing w:after="0"/>
              <w:rPr>
                <w:sz w:val="20"/>
                <w:szCs w:val="20"/>
                <w:color w:val="auto"/>
              </w:rPr>
            </w:pPr>
            <w:r>
              <w:rPr>
                <w:rFonts w:ascii="Arial" w:cs="Arial" w:eastAsia="Arial" w:hAnsi="Arial"/>
                <w:sz w:val="16"/>
                <w:szCs w:val="16"/>
                <w:i w:val="1"/>
                <w:iCs w:val="1"/>
                <w:color w:val="auto"/>
              </w:rPr>
              <w:t>Convertibles/Swaps/Options</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6,340</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392,306</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3,273</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202,579</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93.69 %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6"/>
                <w:szCs w:val="16"/>
                <w:i w:val="1"/>
                <w:iCs w:val="1"/>
                <w:color w:val="auto"/>
              </w:rPr>
              <w:t>Futures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3,103</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215,968</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00" w:type="dxa"/>
            <w:vAlign w:val="bottom"/>
            <w:tcBorders>
              <w:bottom w:val="single" w:sz="8" w:color="D5DCE4"/>
            </w:tcBorders>
            <w:shd w:val="clear" w:color="auto" w:fill="D5DCE4"/>
          </w:tcPr>
          <w:p>
            <w:pPr>
              <w:spacing w:after="0"/>
              <w:rPr>
                <w:sz w:val="22"/>
                <w:szCs w:val="22"/>
                <w:color w:val="auto"/>
              </w:rPr>
            </w:pPr>
          </w:p>
        </w:tc>
        <w:tc>
          <w:tcPr>
            <w:tcW w:w="220" w:type="dxa"/>
            <w:vAlign w:val="bottom"/>
            <w:tcBorders>
              <w:bottom w:val="single" w:sz="8" w:color="D5DCE4"/>
              <w:right w:val="single" w:sz="8" w:color="D5DCE4"/>
            </w:tcBorders>
            <w:shd w:val="clear" w:color="auto" w:fill="D5DCE4"/>
          </w:tcPr>
          <w:p>
            <w:pPr>
              <w:spacing w:after="0"/>
              <w:rPr>
                <w:sz w:val="22"/>
                <w:szCs w:val="22"/>
                <w:color w:val="auto"/>
              </w:rPr>
            </w:pPr>
          </w:p>
        </w:tc>
        <w:tc>
          <w:tcPr>
            <w:tcW w:w="2940" w:type="dxa"/>
            <w:vAlign w:val="bottom"/>
            <w:tcBorders>
              <w:bottom w:val="single" w:sz="8" w:color="D5DCE4"/>
            </w:tcBorders>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D5DCE4"/>
              <w:right w:val="single" w:sz="8" w:color="D5DCE4"/>
            </w:tcBorders>
            <w:shd w:val="clear" w:color="auto" w:fill="D5DCE4"/>
          </w:tcPr>
          <w:p>
            <w:pPr>
              <w:spacing w:after="0"/>
              <w:rPr>
                <w:sz w:val="22"/>
                <w:szCs w:val="22"/>
                <w:color w:val="auto"/>
              </w:rPr>
            </w:pPr>
          </w:p>
        </w:tc>
        <w:tc>
          <w:tcPr>
            <w:tcW w:w="320" w:type="dxa"/>
            <w:vAlign w:val="bottom"/>
            <w:tcBorders>
              <w:bottom w:val="single" w:sz="8" w:color="D5DCE4"/>
            </w:tcBorders>
            <w:shd w:val="clear" w:color="auto" w:fill="D5DCE4"/>
          </w:tcPr>
          <w:p>
            <w:pPr>
              <w:spacing w:after="0"/>
              <w:rPr>
                <w:sz w:val="22"/>
                <w:szCs w:val="22"/>
                <w:color w:val="auto"/>
              </w:rPr>
            </w:pPr>
          </w:p>
        </w:tc>
        <w:tc>
          <w:tcPr>
            <w:tcW w:w="1020" w:type="dxa"/>
            <w:vAlign w:val="bottom"/>
            <w:tcBorders>
              <w:bottom w:val="single" w:sz="8" w:color="D5DCE4"/>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19,356</w:t>
            </w:r>
          </w:p>
        </w:tc>
        <w:tc>
          <w:tcPr>
            <w:tcW w:w="140" w:type="dxa"/>
            <w:vAlign w:val="bottom"/>
            <w:tcBorders>
              <w:bottom w:val="single" w:sz="8" w:color="D5DCE4"/>
            </w:tcBorders>
            <w:shd w:val="clear" w:color="auto" w:fill="D5DCE4"/>
          </w:tcPr>
          <w:p>
            <w:pPr>
              <w:spacing w:after="0"/>
              <w:rPr>
                <w:sz w:val="22"/>
                <w:szCs w:val="22"/>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1,196,751</w:t>
            </w:r>
          </w:p>
        </w:tc>
        <w:tc>
          <w:tcPr>
            <w:tcW w:w="100" w:type="dxa"/>
            <w:vAlign w:val="bottom"/>
            <w:tcBorders>
              <w:bottom w:val="single" w:sz="8" w:color="D5DCE4"/>
              <w:right w:val="single" w:sz="8" w:color="D5DCE4"/>
            </w:tcBorders>
            <w:shd w:val="clear" w:color="auto" w:fill="D5DCE4"/>
          </w:tcPr>
          <w:p>
            <w:pPr>
              <w:spacing w:after="0"/>
              <w:rPr>
                <w:sz w:val="22"/>
                <w:szCs w:val="22"/>
                <w:color w:val="auto"/>
              </w:rPr>
            </w:pPr>
          </w:p>
        </w:tc>
        <w:tc>
          <w:tcPr>
            <w:tcW w:w="320" w:type="dxa"/>
            <w:vAlign w:val="bottom"/>
            <w:tcBorders>
              <w:bottom w:val="single" w:sz="8" w:color="D5DCE4"/>
            </w:tcBorders>
            <w:shd w:val="clear" w:color="auto" w:fill="D5DCE4"/>
          </w:tcPr>
          <w:p>
            <w:pPr>
              <w:spacing w:after="0"/>
              <w:rPr>
                <w:sz w:val="22"/>
                <w:szCs w:val="22"/>
                <w:color w:val="auto"/>
              </w:rPr>
            </w:pPr>
          </w:p>
        </w:tc>
        <w:tc>
          <w:tcPr>
            <w:tcW w:w="1020" w:type="dxa"/>
            <w:vAlign w:val="bottom"/>
            <w:tcBorders>
              <w:bottom w:val="single" w:sz="8" w:color="D5DCE4"/>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16,706</w:t>
            </w:r>
          </w:p>
        </w:tc>
        <w:tc>
          <w:tcPr>
            <w:tcW w:w="140" w:type="dxa"/>
            <w:vAlign w:val="bottom"/>
            <w:tcBorders>
              <w:bottom w:val="single" w:sz="8" w:color="D5DCE4"/>
            </w:tcBorders>
            <w:shd w:val="clear" w:color="auto" w:fill="D5DCE4"/>
          </w:tcPr>
          <w:p>
            <w:pPr>
              <w:spacing w:after="0"/>
              <w:rPr>
                <w:sz w:val="22"/>
                <w:szCs w:val="22"/>
                <w:color w:val="auto"/>
              </w:rPr>
            </w:pPr>
          </w:p>
        </w:tc>
        <w:tc>
          <w:tcPr>
            <w:tcW w:w="1260" w:type="dxa"/>
            <w:vAlign w:val="bottom"/>
            <w:tcBorders>
              <w:bottom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1,032,390</w:t>
            </w:r>
          </w:p>
        </w:tc>
        <w:tc>
          <w:tcPr>
            <w:tcW w:w="1340" w:type="dxa"/>
            <w:vAlign w:val="bottom"/>
            <w:tcBorders>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15.86 %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Money</w:t>
            </w:r>
          </w:p>
        </w:tc>
        <w:tc>
          <w:tcPr>
            <w:tcW w:w="220" w:type="dxa"/>
            <w:vAlign w:val="bottom"/>
          </w:tcPr>
          <w:p>
            <w:pPr>
              <w:spacing w:after="0"/>
              <w:rPr>
                <w:sz w:val="16"/>
                <w:szCs w:val="16"/>
                <w:color w:val="auto"/>
              </w:rPr>
            </w:pPr>
          </w:p>
        </w:tc>
        <w:tc>
          <w:tcPr>
            <w:tcW w:w="2940" w:type="dxa"/>
            <w:vAlign w:val="bottom"/>
            <w:vMerge w:val="restart"/>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484,307</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30,339,463</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423,984</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26,205,599</w:t>
            </w:r>
          </w:p>
        </w:tc>
        <w:tc>
          <w:tcPr>
            <w:tcW w:w="120" w:type="dxa"/>
            <w:vAlign w:val="bottom"/>
            <w:vMerge w:val="restart"/>
          </w:tcPr>
          <w:p>
            <w:pPr>
              <w:spacing w:after="0"/>
              <w:rPr>
                <w:sz w:val="16"/>
                <w:szCs w:val="16"/>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14.23 %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2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00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2940" w:type="dxa"/>
            <w:vAlign w:val="bottom"/>
            <w:shd w:val="clear" w:color="auto" w:fill="D5DCE4"/>
          </w:tcPr>
          <w:p>
            <w:pPr>
              <w:jc w:val="right"/>
              <w:spacing w:after="0"/>
              <w:rPr>
                <w:sz w:val="20"/>
                <w:szCs w:val="20"/>
                <w:color w:val="auto"/>
              </w:rPr>
            </w:pPr>
            <w:r>
              <w:rPr>
                <w:rFonts w:ascii="Arial" w:cs="Arial" w:eastAsia="Arial" w:hAnsi="Arial"/>
                <w:sz w:val="16"/>
                <w:szCs w:val="16"/>
                <w:i w:val="1"/>
                <w:iCs w:val="1"/>
                <w:color w:val="auto"/>
              </w:rPr>
              <w:t>Repurchase Agreements (Repo)</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465,958</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29,184,597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405,652</w:t>
            </w:r>
          </w:p>
        </w:tc>
        <w:tc>
          <w:tcPr>
            <w:tcW w:w="14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25,069,414</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14.87 %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Borders>
              <w:bottom w:val="single" w:sz="8" w:color="D5DCE4"/>
            </w:tcBorders>
          </w:tcPr>
          <w:p>
            <w:pPr>
              <w:spacing w:after="0"/>
              <w:rPr>
                <w:sz w:val="21"/>
                <w:szCs w:val="21"/>
                <w:color w:val="auto"/>
              </w:rPr>
            </w:pPr>
          </w:p>
        </w:tc>
        <w:tc>
          <w:tcPr>
            <w:tcW w:w="220" w:type="dxa"/>
            <w:vAlign w:val="bottom"/>
            <w:tcBorders>
              <w:bottom w:val="single" w:sz="8" w:color="D5DCE4"/>
            </w:tcBorders>
          </w:tcPr>
          <w:p>
            <w:pPr>
              <w:spacing w:after="0"/>
              <w:rPr>
                <w:sz w:val="21"/>
                <w:szCs w:val="21"/>
                <w:color w:val="auto"/>
              </w:rPr>
            </w:pPr>
          </w:p>
        </w:tc>
        <w:tc>
          <w:tcPr>
            <w:tcW w:w="2940" w:type="dxa"/>
            <w:vAlign w:val="bottom"/>
            <w:tcBorders>
              <w:bottom w:val="single" w:sz="8" w:color="D5DCE4"/>
            </w:tcBorders>
          </w:tcPr>
          <w:p>
            <w:pPr>
              <w:jc w:val="right"/>
              <w:spacing w:after="0"/>
              <w:rPr>
                <w:sz w:val="20"/>
                <w:szCs w:val="20"/>
                <w:color w:val="auto"/>
              </w:rPr>
            </w:pPr>
            <w:r>
              <w:rPr>
                <w:rFonts w:ascii="Arial" w:cs="Arial" w:eastAsia="Arial" w:hAnsi="Arial"/>
                <w:sz w:val="16"/>
                <w:szCs w:val="16"/>
                <w:i w:val="1"/>
                <w:iCs w:val="1"/>
                <w:color w:val="auto"/>
              </w:rPr>
              <w:t>Other Money Markets</w:t>
            </w:r>
          </w:p>
        </w:tc>
        <w:tc>
          <w:tcPr>
            <w:tcW w:w="100" w:type="dxa"/>
            <w:vAlign w:val="bottom"/>
            <w:tcBorders>
              <w:bottom w:val="single" w:sz="8" w:color="D5DCE4"/>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18,349</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1,154,866</w:t>
            </w:r>
          </w:p>
        </w:tc>
        <w:tc>
          <w:tcPr>
            <w:tcW w:w="100" w:type="dxa"/>
            <w:vAlign w:val="bottom"/>
            <w:tcBorders>
              <w:bottom w:val="single" w:sz="8" w:color="D5DCE4"/>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18,332</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1,136,185</w:t>
            </w:r>
          </w:p>
        </w:tc>
        <w:tc>
          <w:tcPr>
            <w:tcW w:w="12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0" w:type="dxa"/>
            <w:vAlign w:val="bottom"/>
            <w:shd w:val="clear" w:color="auto" w:fill="D5DCE4"/>
          </w:tcPr>
          <w:p>
            <w:pPr>
              <w:spacing w:after="0"/>
              <w:rPr>
                <w:sz w:val="20"/>
                <w:szCs w:val="20"/>
                <w:color w:val="auto"/>
              </w:rPr>
            </w:pPr>
          </w:p>
        </w:tc>
        <w:tc>
          <w:tcPr>
            <w:tcW w:w="220" w:type="dxa"/>
            <w:vAlign w:val="bottom"/>
            <w:tcBorders>
              <w:right w:val="single" w:sz="8" w:color="D5DCE4"/>
            </w:tcBorders>
            <w:shd w:val="clear" w:color="auto" w:fill="D5DCE4"/>
          </w:tcPr>
          <w:p>
            <w:pPr>
              <w:spacing w:after="0"/>
              <w:rPr>
                <w:sz w:val="20"/>
                <w:szCs w:val="20"/>
                <w:color w:val="auto"/>
              </w:rPr>
            </w:pPr>
          </w:p>
        </w:tc>
        <w:tc>
          <w:tcPr>
            <w:tcW w:w="29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484,307</w:t>
            </w:r>
          </w:p>
        </w:tc>
        <w:tc>
          <w:tcPr>
            <w:tcW w:w="14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30,339,463</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423,984</w:t>
            </w:r>
          </w:p>
        </w:tc>
        <w:tc>
          <w:tcPr>
            <w:tcW w:w="14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26,205,599</w:t>
            </w:r>
          </w:p>
        </w:tc>
        <w:tc>
          <w:tcPr>
            <w:tcW w:w="134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14.23 %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0" w:type="dxa"/>
            <w:vAlign w:val="bottom"/>
            <w:tcBorders>
              <w:top w:val="single" w:sz="8" w:color="D5DCE4"/>
            </w:tcBorders>
          </w:tcPr>
          <w:p>
            <w:pPr>
              <w:spacing w:after="0"/>
              <w:rPr>
                <w:sz w:val="17"/>
                <w:szCs w:val="17"/>
                <w:color w:val="auto"/>
              </w:rPr>
            </w:pPr>
          </w:p>
        </w:tc>
        <w:tc>
          <w:tcPr>
            <w:tcW w:w="220" w:type="dxa"/>
            <w:vAlign w:val="bottom"/>
            <w:tcBorders>
              <w:top w:val="single" w:sz="8" w:color="D5DCE4"/>
            </w:tcBorders>
          </w:tcPr>
          <w:p>
            <w:pPr>
              <w:spacing w:after="0"/>
              <w:rPr>
                <w:sz w:val="17"/>
                <w:szCs w:val="17"/>
                <w:color w:val="auto"/>
              </w:rPr>
            </w:pPr>
          </w:p>
        </w:tc>
        <w:tc>
          <w:tcPr>
            <w:tcW w:w="2940" w:type="dxa"/>
            <w:vAlign w:val="bottom"/>
            <w:tcBorders>
              <w:top w:val="single" w:sz="8" w:color="D5DCE4"/>
            </w:tcBorders>
          </w:tcPr>
          <w:p>
            <w:pPr>
              <w:spacing w:after="0"/>
              <w:rPr>
                <w:sz w:val="17"/>
                <w:szCs w:val="17"/>
                <w:color w:val="auto"/>
              </w:rPr>
            </w:pPr>
          </w:p>
        </w:tc>
        <w:tc>
          <w:tcPr>
            <w:tcW w:w="100" w:type="dxa"/>
            <w:vAlign w:val="bottom"/>
            <w:tcBorders>
              <w:top w:val="single" w:sz="8" w:color="D5DCE4"/>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D5DCE4"/>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D5DCE4"/>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shd w:val="clear" w:color="auto" w:fill="D5DCE4"/>
          </w:tcPr>
          <w:p>
            <w:pPr>
              <w:spacing w:after="0"/>
              <w:rPr>
                <w:sz w:val="17"/>
                <w:szCs w:val="17"/>
                <w:color w:val="auto"/>
              </w:rPr>
            </w:pPr>
          </w:p>
        </w:tc>
        <w:tc>
          <w:tcPr>
            <w:tcW w:w="220" w:type="dxa"/>
            <w:vAlign w:val="bottom"/>
            <w:tcBorders>
              <w:right w:val="single" w:sz="8" w:color="D5DCE4"/>
            </w:tcBorders>
            <w:shd w:val="clear" w:color="auto" w:fill="D5DCE4"/>
          </w:tcPr>
          <w:p>
            <w:pPr>
              <w:spacing w:after="0"/>
              <w:rPr>
                <w:sz w:val="17"/>
                <w:szCs w:val="17"/>
                <w:color w:val="auto"/>
              </w:rPr>
            </w:pPr>
          </w:p>
        </w:tc>
        <w:tc>
          <w:tcPr>
            <w:tcW w:w="2940" w:type="dxa"/>
            <w:vAlign w:val="bottom"/>
            <w:shd w:val="clear" w:color="auto" w:fill="D5DCE4"/>
          </w:tcPr>
          <w:p>
            <w:pPr>
              <w:spacing w:after="0"/>
              <w:rPr>
                <w:sz w:val="17"/>
                <w:szCs w:val="17"/>
                <w:color w:val="auto"/>
              </w:rPr>
            </w:pPr>
          </w:p>
        </w:tc>
        <w:tc>
          <w:tcPr>
            <w:tcW w:w="100" w:type="dxa"/>
            <w:vAlign w:val="bottom"/>
            <w:tcBorders>
              <w:right w:val="single" w:sz="8" w:color="auto"/>
            </w:tcBorders>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020" w:type="dxa"/>
            <w:vAlign w:val="bottom"/>
            <w:tcBorders>
              <w:right w:val="single" w:sz="8" w:color="auto"/>
            </w:tcBorders>
            <w:shd w:val="clear" w:color="auto" w:fill="D5DCE4"/>
          </w:tcPr>
          <w:p>
            <w:pPr>
              <w:spacing w:after="0"/>
              <w:rPr>
                <w:sz w:val="17"/>
                <w:szCs w:val="17"/>
                <w:color w:val="auto"/>
              </w:rPr>
            </w:pPr>
          </w:p>
        </w:tc>
        <w:tc>
          <w:tcPr>
            <w:tcW w:w="140" w:type="dxa"/>
            <w:vAlign w:val="bottom"/>
            <w:shd w:val="clear" w:color="auto" w:fill="D5DCE4"/>
          </w:tcPr>
          <w:p>
            <w:pPr>
              <w:spacing w:after="0"/>
              <w:rPr>
                <w:sz w:val="17"/>
                <w:szCs w:val="17"/>
                <w:color w:val="auto"/>
              </w:rPr>
            </w:pPr>
          </w:p>
        </w:tc>
        <w:tc>
          <w:tcPr>
            <w:tcW w:w="1260" w:type="dxa"/>
            <w:vAlign w:val="bottom"/>
            <w:shd w:val="clear" w:color="auto" w:fill="D5DCE4"/>
          </w:tcPr>
          <w:p>
            <w:pPr>
              <w:jc w:val="center"/>
              <w:ind w:right="79"/>
              <w:spacing w:after="0"/>
              <w:rPr>
                <w:sz w:val="20"/>
                <w:szCs w:val="20"/>
                <w:color w:val="auto"/>
              </w:rPr>
            </w:pPr>
            <w:r>
              <w:rPr>
                <w:rFonts w:ascii="Arial" w:cs="Arial" w:eastAsia="Arial" w:hAnsi="Arial"/>
                <w:sz w:val="16"/>
                <w:szCs w:val="16"/>
                <w:b w:val="1"/>
                <w:bCs w:val="1"/>
                <w:color w:val="auto"/>
              </w:rPr>
              <w:t>Volume (USD</w:t>
            </w:r>
          </w:p>
        </w:tc>
        <w:tc>
          <w:tcPr>
            <w:tcW w:w="100" w:type="dxa"/>
            <w:vAlign w:val="bottom"/>
            <w:tcBorders>
              <w:right w:val="single" w:sz="8" w:color="auto"/>
            </w:tcBorders>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020" w:type="dxa"/>
            <w:vAlign w:val="bottom"/>
            <w:tcBorders>
              <w:right w:val="single" w:sz="8" w:color="auto"/>
            </w:tcBorders>
            <w:shd w:val="clear" w:color="auto" w:fill="D5DCE4"/>
          </w:tcPr>
          <w:p>
            <w:pPr>
              <w:spacing w:after="0"/>
              <w:rPr>
                <w:sz w:val="17"/>
                <w:szCs w:val="17"/>
                <w:color w:val="auto"/>
              </w:rPr>
            </w:pPr>
          </w:p>
        </w:tc>
        <w:tc>
          <w:tcPr>
            <w:tcW w:w="140" w:type="dxa"/>
            <w:vAlign w:val="bottom"/>
            <w:shd w:val="clear" w:color="auto" w:fill="D5DCE4"/>
          </w:tcPr>
          <w:p>
            <w:pPr>
              <w:spacing w:after="0"/>
              <w:rPr>
                <w:sz w:val="17"/>
                <w:szCs w:val="17"/>
                <w:color w:val="auto"/>
              </w:rPr>
            </w:pPr>
          </w:p>
        </w:tc>
        <w:tc>
          <w:tcPr>
            <w:tcW w:w="1260" w:type="dxa"/>
            <w:vAlign w:val="bottom"/>
            <w:shd w:val="clear" w:color="auto" w:fill="D5DCE4"/>
          </w:tcPr>
          <w:p>
            <w:pPr>
              <w:jc w:val="center"/>
              <w:ind w:right="59"/>
              <w:spacing w:after="0"/>
              <w:rPr>
                <w:sz w:val="20"/>
                <w:szCs w:val="20"/>
                <w:color w:val="auto"/>
              </w:rPr>
            </w:pPr>
            <w:r>
              <w:rPr>
                <w:rFonts w:ascii="Arial" w:cs="Arial" w:eastAsia="Arial" w:hAnsi="Arial"/>
                <w:sz w:val="16"/>
                <w:szCs w:val="16"/>
                <w:b w:val="1"/>
                <w:bCs w:val="1"/>
                <w:color w:val="auto"/>
                <w:w w:val="98"/>
              </w:rPr>
              <w:t>Volume (USD</w:t>
            </w:r>
          </w:p>
        </w:tc>
        <w:tc>
          <w:tcPr>
            <w:tcW w:w="120" w:type="dxa"/>
            <w:vAlign w:val="bottom"/>
            <w:tcBorders>
              <w:right w:val="single" w:sz="8" w:color="auto"/>
            </w:tcBorders>
            <w:shd w:val="clear" w:color="auto" w:fill="D5DCE4"/>
          </w:tcPr>
          <w:p>
            <w:pPr>
              <w:spacing w:after="0"/>
              <w:rPr>
                <w:sz w:val="17"/>
                <w:szCs w:val="17"/>
                <w:color w:val="auto"/>
              </w:rPr>
            </w:pPr>
          </w:p>
        </w:tc>
        <w:tc>
          <w:tcPr>
            <w:tcW w:w="1220" w:type="dxa"/>
            <w:vAlign w:val="bottom"/>
            <w:shd w:val="clear" w:color="auto" w:fill="D5DCE4"/>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D5DCE4"/>
          </w:tcPr>
          <w:p>
            <w:pPr>
              <w:spacing w:after="0"/>
              <w:rPr>
                <w:sz w:val="20"/>
                <w:szCs w:val="20"/>
                <w:color w:val="auto"/>
              </w:rPr>
            </w:pPr>
          </w:p>
        </w:tc>
        <w:tc>
          <w:tcPr>
            <w:tcW w:w="220" w:type="dxa"/>
            <w:vAlign w:val="bottom"/>
            <w:tcBorders>
              <w:right w:val="single" w:sz="8" w:color="D5DCE4"/>
            </w:tcBorders>
            <w:shd w:val="clear" w:color="auto" w:fill="D5DCE4"/>
          </w:tcPr>
          <w:p>
            <w:pPr>
              <w:spacing w:after="0"/>
              <w:rPr>
                <w:sz w:val="20"/>
                <w:szCs w:val="20"/>
                <w:color w:val="auto"/>
              </w:rPr>
            </w:pPr>
          </w:p>
        </w:tc>
        <w:tc>
          <w:tcPr>
            <w:tcW w:w="294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0" w:type="dxa"/>
            <w:vAlign w:val="bottom"/>
            <w:tcBorders>
              <w:bottom w:val="single" w:sz="8" w:color="auto"/>
            </w:tcBorders>
            <w:shd w:val="clear" w:color="auto" w:fill="D5DCE4"/>
          </w:tcPr>
          <w:p>
            <w:pPr>
              <w:spacing w:after="0"/>
              <w:rPr>
                <w:sz w:val="20"/>
                <w:szCs w:val="20"/>
                <w:color w:val="auto"/>
              </w:rPr>
            </w:pPr>
          </w:p>
        </w:tc>
        <w:tc>
          <w:tcPr>
            <w:tcW w:w="1260" w:type="dxa"/>
            <w:vAlign w:val="bottom"/>
            <w:tcBorders>
              <w:bottom w:val="single" w:sz="8" w:color="auto"/>
            </w:tcBorders>
            <w:shd w:val="clear" w:color="auto" w:fill="D5DCE4"/>
          </w:tcPr>
          <w:p>
            <w:pPr>
              <w:jc w:val="center"/>
              <w:ind w:right="79"/>
              <w:spacing w:after="0"/>
              <w:rPr>
                <w:sz w:val="20"/>
                <w:szCs w:val="20"/>
                <w:color w:val="auto"/>
              </w:rPr>
            </w:pPr>
            <w:r>
              <w:rPr>
                <w:rFonts w:ascii="Arial" w:cs="Arial" w:eastAsia="Arial" w:hAnsi="Arial"/>
                <w:sz w:val="16"/>
                <w:szCs w:val="16"/>
                <w:b w:val="1"/>
                <w:bCs w:val="1"/>
                <w:color w:val="auto"/>
              </w:rPr>
              <w:t>mm)</w:t>
            </w: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0" w:type="dxa"/>
            <w:vAlign w:val="bottom"/>
            <w:tcBorders>
              <w:bottom w:val="single" w:sz="8" w:color="auto"/>
            </w:tcBorders>
            <w:shd w:val="clear" w:color="auto" w:fill="D5DCE4"/>
          </w:tcPr>
          <w:p>
            <w:pPr>
              <w:spacing w:after="0"/>
              <w:rPr>
                <w:sz w:val="20"/>
                <w:szCs w:val="20"/>
                <w:color w:val="auto"/>
              </w:rPr>
            </w:pPr>
          </w:p>
        </w:tc>
        <w:tc>
          <w:tcPr>
            <w:tcW w:w="1260" w:type="dxa"/>
            <w:vAlign w:val="bottom"/>
            <w:tcBorders>
              <w:bottom w:val="single" w:sz="8" w:color="auto"/>
            </w:tcBorders>
            <w:shd w:val="clear" w:color="auto" w:fill="D5DCE4"/>
          </w:tcPr>
          <w:p>
            <w:pPr>
              <w:jc w:val="center"/>
              <w:ind w:right="39"/>
              <w:spacing w:after="0"/>
              <w:rPr>
                <w:sz w:val="20"/>
                <w:szCs w:val="20"/>
                <w:color w:val="auto"/>
              </w:rPr>
            </w:pPr>
            <w:r>
              <w:rPr>
                <w:rFonts w:ascii="Arial" w:cs="Arial" w:eastAsia="Arial" w:hAnsi="Arial"/>
                <w:sz w:val="16"/>
                <w:szCs w:val="16"/>
                <w:b w:val="1"/>
                <w:bCs w:val="1"/>
                <w:color w:val="auto"/>
              </w:rPr>
              <w:t>mm)</w:t>
            </w: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1,296,611</w:t>
            </w: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80,980,743</w:t>
            </w: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1,176,333</w:t>
            </w: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72,620,618</w:t>
            </w: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10.20 %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BASIS OF PRESENTATION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99"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84"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43" w:lineRule="exact"/>
        <w:rPr>
          <w:sz w:val="20"/>
          <w:szCs w:val="20"/>
          <w:color w:val="auto"/>
        </w:rPr>
      </w:pPr>
    </w:p>
    <w:p>
      <w:pPr>
        <w:ind w:right="540"/>
        <w:spacing w:after="0" w:line="276" w:lineRule="auto"/>
        <w:rPr>
          <w:sz w:val="20"/>
          <w:szCs w:val="20"/>
          <w:color w:val="auto"/>
        </w:rPr>
      </w:pPr>
      <w:r>
        <w:rPr>
          <w:rFonts w:ascii="Arial" w:cs="Arial" w:eastAsia="Arial" w:hAnsi="Arial"/>
          <w:sz w:val="16"/>
          <w:szCs w:val="16"/>
          <w:color w:val="auto"/>
        </w:rPr>
        <w:t>The interim financial results presented herein for the three and six months ended June 30, 2023 and 2022 are unaudited. Operating results for interim periods are not necessarily indicative of the results that may be expected for the full year.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43"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2023 guidance, future performance, the industry and markets in which we operate, our expectations, beliefs, plans, strategies, objectives, prospects and assumptions and future events are forward-looking statements.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7"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9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3" w:name="page14"/>
    <w:bookmarkEnd w:id="13"/>
    <w:p>
      <w:pPr>
        <w:ind w:right="160"/>
        <w:spacing w:after="0" w:line="27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20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87"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2023-07-27T06:09:34Z</dcterms:created>
  <dcterms:modified xsi:type="dcterms:W3CDTF">2023-07-27T06:09:34Z</dcterms:modified>
</cp:coreProperties>
</file>