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Friedman Douglas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09/01/2020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8"/>
        <w:spacing w:after="0"/>
        <w:rPr>
          <w:sz w:val="20"/>
          <w:szCs w:val="20"/>
          <w:color w:val="auto"/>
        </w:rPr>
      </w:pPr>
      <w:r>
        <w:rPr>
          <w:rFonts w:ascii="Arial" w:cs="Arial" w:eastAsia="Arial" w:hAnsi="Arial"/>
          <w:sz w:val="16"/>
          <w:szCs w:val="16"/>
          <w:color w:val="0000FF"/>
        </w:rPr>
        <w:t>General Counsel and Secretary</w:t>
      </w:r>
    </w:p>
    <w:p>
      <w:pPr>
        <w:spacing w:after="0" w:line="400"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09/01/2020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77,875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09/01/2020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4,629</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57.4296</w:t>
            </w:r>
            <w:r>
              <w:rPr>
                <w:rFonts w:ascii="Arial" w:cs="Arial" w:eastAsia="Arial" w:hAnsi="Arial"/>
                <w:sz w:val="21"/>
                <w:szCs w:val="21"/>
                <w:color w:val="008000"/>
                <w:w w:val="88"/>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73,246</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09/01/2020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5,371</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57.9609</w:t>
            </w:r>
            <w:r>
              <w:rPr>
                <w:rFonts w:ascii="Arial" w:cs="Arial" w:eastAsia="Arial" w:hAnsi="Arial"/>
                <w:sz w:val="21"/>
                <w:szCs w:val="21"/>
                <w:color w:val="008000"/>
                <w:w w:val="88"/>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67,875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10,000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09/01/2020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52,464</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-3581400</wp:posOffset>
            </wp:positionV>
            <wp:extent cx="7033260" cy="3623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62331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ind w:left="40" w:right="24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22,867 unvested restricted stock units ("RSUs") in respect of the issuer's Class A common stock ("Class A Common Stock") which are scheduled to vest on January 1, 2021, (ii) 33,004 unvested RSUs in respect of Class A Common Stock which are scheduled to vest on January 1, 2022, and (iii) 9,004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jc w:val="both"/>
        <w:ind w:left="40" w:right="28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$56.74 to $57.71,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$57.74 to $58.33,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09/02/2020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Douglas Friedman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3"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2020-09-02T15:29:24Z</dcterms:created>
  <dcterms:modified xsi:type="dcterms:W3CDTF">2020-09-02T15:29:24Z</dcterms:modified>
</cp:coreProperties>
</file>