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Friedman Douglas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02/05/2021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General Counsel and Secretary</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02/05/2021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18,008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63,016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reflects the acquisition of performance-based restricted stock units ("RSUs") in respect of the issuer's Class A common stock ("Class A Common Stock") that were granted to the reporting person on March 17, 2020, subject to the achievement of certain performance goals in respect of calendar year 2020. Those performance goals were deemed achieved at the maximum performance level on February 5, 2021. These RSUs remain unvested and are scheduled to vest on January 1, 2023, subject to the reporting person's continued employment through such date.</w:t>
      </w:r>
    </w:p>
    <w:p>
      <w:pPr>
        <w:spacing w:after="0" w:line="20" w:lineRule="exact"/>
        <w:rPr>
          <w:rFonts w:ascii="Times New Roman" w:cs="Times New Roman" w:eastAsia="Times New Roman" w:hAnsi="Times New Roman"/>
          <w:sz w:val="13"/>
          <w:szCs w:val="13"/>
          <w:color w:val="008000"/>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33,004 unvested RSUs in respect of Class A Common Stock which are scheduled to vest on January 1, 2022, (ii) 9,004 unvested RSUs in respect of Class A Common Stock which are scheduled to vest in equal installments on each of the first, second and third anniversaries of March 17, 2020, and (iii) 18,008 unvested RSUs in respect of Class A Common Stock which are scheduled to vest on January 1, 2023, in each case subject to the reporting person's continued employment through the applicable vesting date.</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02/09/2021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3"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2021-02-09T19:47:19Z</dcterms:created>
  <dcterms:modified xsi:type="dcterms:W3CDTF">2021-02-09T19:47:19Z</dcterms:modified>
</cp:coreProperties>
</file>