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466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46608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Peterson Justin</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TRADEWEB MARKETS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1177 AVENUE OF THE AMERICAS</w:t>
      </w:r>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10036</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Tradeweb Markets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TW</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3"/>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40" w:type="dxa"/>
            <w:vAlign w:val="bottom"/>
          </w:tcPr>
          <w:p>
            <w:pPr>
              <w:spacing w:after="0"/>
              <w:rPr>
                <w:sz w:val="3"/>
                <w:szCs w:val="3"/>
                <w:color w:val="auto"/>
              </w:rPr>
            </w:pPr>
          </w:p>
        </w:tc>
        <w:tc>
          <w:tcPr>
            <w:tcW w:w="1780" w:type="dxa"/>
            <w:vAlign w:val="bottom"/>
          </w:tcPr>
          <w:p>
            <w:pPr>
              <w:spacing w:after="0"/>
              <w:rPr>
                <w:sz w:val="3"/>
                <w:szCs w:val="3"/>
                <w:color w:val="auto"/>
              </w:rPr>
            </w:pPr>
          </w:p>
        </w:tc>
        <w:tc>
          <w:tcPr>
            <w:tcW w:w="1860" w:type="dxa"/>
            <w:vAlign w:val="bottom"/>
            <w:gridSpan w:val="3"/>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840" w:type="dxa"/>
            <w:vAlign w:val="bottom"/>
            <w:tcBorders>
              <w:bottom w:val="single" w:sz="8" w:color="0000EE"/>
            </w:tcBorders>
          </w:tcPr>
          <w:p>
            <w:pPr>
              <w:spacing w:after="0"/>
              <w:rPr>
                <w:sz w:val="3"/>
                <w:szCs w:val="3"/>
                <w:color w:val="auto"/>
              </w:rPr>
            </w:pPr>
          </w:p>
        </w:tc>
        <w:tc>
          <w:tcPr>
            <w:tcW w:w="1780" w:type="dxa"/>
            <w:vAlign w:val="bottom"/>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840" w:type="dxa"/>
            <w:vAlign w:val="bottom"/>
            <w:tcBorders>
              <w:bottom w:val="single" w:sz="8" w:color="2C2C2C"/>
            </w:tcBorders>
          </w:tcPr>
          <w:p>
            <w:pPr>
              <w:spacing w:after="0"/>
              <w:rPr>
                <w:sz w:val="6"/>
                <w:szCs w:val="6"/>
                <w:color w:val="auto"/>
              </w:rPr>
            </w:pPr>
          </w:p>
        </w:tc>
        <w:tc>
          <w:tcPr>
            <w:tcW w:w="178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1"/>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7"/>
                <w:szCs w:val="7"/>
                <w:color w:val="auto"/>
              </w:rPr>
            </w:pPr>
          </w:p>
        </w:tc>
        <w:tc>
          <w:tcPr>
            <w:tcW w:w="300" w:type="dxa"/>
            <w:vAlign w:val="bottom"/>
            <w:vMerge w:val="continue"/>
          </w:tcPr>
          <w:p>
            <w:pPr>
              <w:spacing w:after="0"/>
              <w:rPr>
                <w:sz w:val="7"/>
                <w:szCs w:val="7"/>
                <w:color w:val="auto"/>
              </w:rPr>
            </w:pPr>
          </w:p>
        </w:tc>
        <w:tc>
          <w:tcPr>
            <w:tcW w:w="136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200" w:type="dxa"/>
            <w:vAlign w:val="bottom"/>
            <w:gridSpan w:val="2"/>
            <w:vMerge w:val="continue"/>
          </w:tcPr>
          <w:p>
            <w:pPr>
              <w:spacing w:after="0"/>
              <w:rPr>
                <w:sz w:val="10"/>
                <w:szCs w:val="10"/>
                <w:color w:val="auto"/>
              </w:rPr>
            </w:pPr>
          </w:p>
        </w:tc>
        <w:tc>
          <w:tcPr>
            <w:tcW w:w="36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1360" w:type="dxa"/>
            <w:vAlign w:val="bottom"/>
          </w:tcPr>
          <w:p>
            <w:pPr>
              <w:ind w:left="100"/>
              <w:spacing w:after="0" w:line="125"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5"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204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03/15/2024</w:t>
            </w:r>
          </w:p>
        </w:tc>
        <w:tc>
          <w:tcPr>
            <w:tcW w:w="1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0" w:type="dxa"/>
            <w:vAlign w:val="bottom"/>
            <w:gridSpan w:val="2"/>
            <w:vMerge w:val="restart"/>
          </w:tcPr>
          <w:p>
            <w:pPr>
              <w:ind w:left="260"/>
              <w:spacing w:after="0"/>
              <w:rPr>
                <w:sz w:val="20"/>
                <w:szCs w:val="20"/>
                <w:color w:val="auto"/>
              </w:rPr>
            </w:pPr>
            <w:r>
              <w:rPr>
                <w:rFonts w:ascii="Times New Roman" w:cs="Times New Roman" w:eastAsia="Times New Roman" w:hAnsi="Times New Roman"/>
                <w:sz w:val="17"/>
                <w:szCs w:val="17"/>
                <w:color w:val="0000FF"/>
              </w:rPr>
              <w:t>Chief Technology Officer</w:t>
            </w:r>
          </w:p>
        </w:tc>
        <w:tc>
          <w:tcPr>
            <w:tcW w:w="0" w:type="dxa"/>
            <w:vAlign w:val="bottom"/>
          </w:tcPr>
          <w:p>
            <w:pPr>
              <w:spacing w:after="0"/>
              <w:rPr>
                <w:sz w:val="1"/>
                <w:szCs w:val="1"/>
                <w:color w:val="auto"/>
              </w:rPr>
            </w:pPr>
          </w:p>
        </w:tc>
      </w:tr>
      <w:tr>
        <w:trPr>
          <w:trHeight w:val="73"/>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40" w:type="dxa"/>
            <w:vAlign w:val="bottom"/>
          </w:tcPr>
          <w:p>
            <w:pPr>
              <w:spacing w:after="0"/>
              <w:rPr>
                <w:sz w:val="6"/>
                <w:szCs w:val="6"/>
                <w:color w:val="auto"/>
              </w:rPr>
            </w:pPr>
          </w:p>
        </w:tc>
        <w:tc>
          <w:tcPr>
            <w:tcW w:w="1780" w:type="dxa"/>
            <w:vAlign w:val="bottom"/>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840" w:type="dxa"/>
            <w:vAlign w:val="bottom"/>
            <w:tcBorders>
              <w:bottom w:val="single" w:sz="8" w:color="2C2C2C"/>
            </w:tcBorders>
          </w:tcPr>
          <w:p>
            <w:pPr>
              <w:spacing w:after="0"/>
              <w:rPr>
                <w:sz w:val="8"/>
                <w:szCs w:val="8"/>
                <w:color w:val="auto"/>
              </w:rPr>
            </w:pPr>
          </w:p>
        </w:tc>
        <w:tc>
          <w:tcPr>
            <w:tcW w:w="178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2"/>
          </w:tcPr>
          <w:p>
            <w:pPr>
              <w:ind w:left="5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0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00"/>
              <w:spacing w:after="0" w:line="133"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60" w:type="dxa"/>
            <w:vAlign w:val="bottom"/>
            <w:gridSpan w:val="2"/>
          </w:tcPr>
          <w:p>
            <w:pPr>
              <w:ind w:left="5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3"/>
              </w:rPr>
              <w:t>(A) or</w:t>
            </w:r>
          </w:p>
        </w:tc>
        <w:tc>
          <w:tcPr>
            <w:tcW w:w="62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4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tcBorders>
              <w:bottom w:val="single" w:sz="8" w:color="2C2C2C"/>
            </w:tcBorders>
            <w:gridSpan w:val="2"/>
          </w:tcPr>
          <w:p>
            <w:pPr>
              <w:ind w:left="600"/>
              <w:spacing w:after="0"/>
              <w:rPr>
                <w:sz w:val="20"/>
                <w:szCs w:val="20"/>
                <w:color w:val="auto"/>
              </w:rPr>
            </w:pPr>
            <w:r>
              <w:rPr>
                <w:rFonts w:ascii="Times New Roman" w:cs="Times New Roman" w:eastAsia="Times New Roman" w:hAnsi="Times New Roman"/>
                <w:sz w:val="17"/>
                <w:szCs w:val="17"/>
                <w:color w:val="0000FF"/>
              </w:rPr>
              <w:t>03/15/2024</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81"/>
              <w:spacing w:after="0"/>
              <w:rPr>
                <w:sz w:val="20"/>
                <w:szCs w:val="20"/>
                <w:color w:val="auto"/>
              </w:rPr>
            </w:pPr>
            <w:r>
              <w:rPr>
                <w:rFonts w:ascii="Times New Roman" w:cs="Times New Roman" w:eastAsia="Times New Roman" w:hAnsi="Times New Roman"/>
                <w:sz w:val="26"/>
                <w:szCs w:val="26"/>
                <w:color w:val="0000FF"/>
                <w:w w:val="86"/>
                <w:vertAlign w:val="subscript"/>
              </w:rPr>
              <w:t>A</w:t>
            </w:r>
            <w:r>
              <w:rPr>
                <w:rFonts w:ascii="Times New Roman" w:cs="Times New Roman" w:eastAsia="Times New Roman" w:hAnsi="Times New Roman"/>
                <w:sz w:val="11"/>
                <w:szCs w:val="11"/>
                <w:color w:val="008000"/>
                <w:w w:val="86"/>
              </w:rPr>
              <w:t>(1)</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7,643</w:t>
            </w:r>
          </w:p>
        </w:tc>
        <w:tc>
          <w:tcPr>
            <w:tcW w:w="4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A</w:t>
            </w:r>
          </w:p>
        </w:tc>
        <w:tc>
          <w:tcPr>
            <w:tcW w:w="620" w:type="dxa"/>
            <w:vAlign w:val="bottom"/>
            <w:tcBorders>
              <w:bottom w:val="single" w:sz="8" w:color="2C2C2C"/>
            </w:tcBorders>
            <w:gridSpan w:val="2"/>
          </w:tcPr>
          <w:p>
            <w:pPr>
              <w:jc w:val="center"/>
              <w:ind w:left="251"/>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20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260"/>
              <w:spacing w:after="0"/>
              <w:rPr>
                <w:sz w:val="20"/>
                <w:szCs w:val="20"/>
                <w:color w:val="auto"/>
              </w:rPr>
            </w:pPr>
            <w:r>
              <w:rPr>
                <w:rFonts w:ascii="Times New Roman" w:cs="Times New Roman" w:eastAsia="Times New Roman" w:hAnsi="Times New Roman"/>
                <w:sz w:val="17"/>
                <w:szCs w:val="17"/>
                <w:color w:val="0000FF"/>
              </w:rPr>
              <w:t>68,461</w:t>
            </w:r>
            <w:r>
              <w:rPr>
                <w:rFonts w:ascii="Times New Roman" w:cs="Times New Roman" w:eastAsia="Times New Roman" w:hAnsi="Times New Roman"/>
                <w:sz w:val="22"/>
                <w:szCs w:val="22"/>
                <w:color w:val="008000"/>
                <w:vertAlign w:val="superscript"/>
              </w:rPr>
              <w:t>(2)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tcBorders>
              <w:bottom w:val="single" w:sz="8" w:color="2C2C2C"/>
            </w:tcBorders>
            <w:gridSpan w:val="2"/>
          </w:tcPr>
          <w:p>
            <w:pPr>
              <w:ind w:left="600"/>
              <w:spacing w:after="0"/>
              <w:rPr>
                <w:sz w:val="20"/>
                <w:szCs w:val="20"/>
                <w:color w:val="auto"/>
              </w:rPr>
            </w:pPr>
            <w:r>
              <w:rPr>
                <w:rFonts w:ascii="Times New Roman" w:cs="Times New Roman" w:eastAsia="Times New Roman" w:hAnsi="Times New Roman"/>
                <w:sz w:val="17"/>
                <w:szCs w:val="17"/>
                <w:color w:val="0000FF"/>
              </w:rPr>
              <w:t>03/18/2024</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301"/>
              <w:spacing w:after="0"/>
              <w:rPr>
                <w:sz w:val="20"/>
                <w:szCs w:val="20"/>
                <w:color w:val="auto"/>
              </w:rPr>
            </w:pPr>
            <w:r>
              <w:rPr>
                <w:rFonts w:ascii="Times New Roman" w:cs="Times New Roman" w:eastAsia="Times New Roman" w:hAnsi="Times New Roman"/>
                <w:sz w:val="26"/>
                <w:szCs w:val="26"/>
                <w:color w:val="0000FF"/>
                <w:w w:val="88"/>
                <w:vertAlign w:val="subscript"/>
              </w:rPr>
              <w:t>F</w:t>
            </w:r>
            <w:r>
              <w:rPr>
                <w:rFonts w:ascii="Times New Roman" w:cs="Times New Roman" w:eastAsia="Times New Roman" w:hAnsi="Times New Roman"/>
                <w:sz w:val="11"/>
                <w:szCs w:val="11"/>
                <w:color w:val="008000"/>
                <w:w w:val="88"/>
              </w:rPr>
              <w:t>(3)</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6,169</w:t>
            </w:r>
          </w:p>
        </w:tc>
        <w:tc>
          <w:tcPr>
            <w:tcW w:w="4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jc w:val="center"/>
              <w:ind w:left="31"/>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103.82</w:t>
            </w:r>
          </w:p>
        </w:tc>
        <w:tc>
          <w:tcPr>
            <w:tcW w:w="1200" w:type="dxa"/>
            <w:vAlign w:val="bottom"/>
            <w:tcBorders>
              <w:bottom w:val="single" w:sz="8" w:color="2C2C2C"/>
            </w:tcBorders>
            <w:gridSpan w:val="2"/>
          </w:tcPr>
          <w:p>
            <w:pPr>
              <w:ind w:left="260"/>
              <w:spacing w:after="0"/>
              <w:rPr>
                <w:sz w:val="20"/>
                <w:szCs w:val="20"/>
                <w:color w:val="auto"/>
              </w:rPr>
            </w:pPr>
            <w:r>
              <w:rPr>
                <w:rFonts w:ascii="Times New Roman" w:cs="Times New Roman" w:eastAsia="Times New Roman" w:hAnsi="Times New Roman"/>
                <w:sz w:val="17"/>
                <w:szCs w:val="17"/>
                <w:color w:val="0000FF"/>
              </w:rPr>
              <w:t>62,292</w:t>
            </w:r>
            <w:r>
              <w:rPr>
                <w:rFonts w:ascii="Times New Roman" w:cs="Times New Roman" w:eastAsia="Times New Roman" w:hAnsi="Times New Roman"/>
                <w:sz w:val="22"/>
                <w:szCs w:val="22"/>
                <w:color w:val="008000"/>
                <w:vertAlign w:val="superscript"/>
              </w:rPr>
              <w:t>(2)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tcBorders>
              <w:bottom w:val="single" w:sz="8" w:color="2C2C2C"/>
            </w:tcBorders>
            <w:gridSpan w:val="2"/>
          </w:tcPr>
          <w:p>
            <w:pPr>
              <w:ind w:left="600"/>
              <w:spacing w:after="0"/>
              <w:rPr>
                <w:sz w:val="20"/>
                <w:szCs w:val="20"/>
                <w:color w:val="auto"/>
              </w:rPr>
            </w:pPr>
            <w:r>
              <w:rPr>
                <w:rFonts w:ascii="Times New Roman" w:cs="Times New Roman" w:eastAsia="Times New Roman" w:hAnsi="Times New Roman"/>
                <w:sz w:val="17"/>
                <w:szCs w:val="17"/>
                <w:color w:val="0000FF"/>
              </w:rPr>
              <w:t>03/18/2024</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81"/>
              <w:spacing w:after="0"/>
              <w:rPr>
                <w:sz w:val="20"/>
                <w:szCs w:val="20"/>
                <w:color w:val="auto"/>
              </w:rPr>
            </w:pPr>
            <w:r>
              <w:rPr>
                <w:rFonts w:ascii="Times New Roman" w:cs="Times New Roman" w:eastAsia="Times New Roman" w:hAnsi="Times New Roman"/>
                <w:sz w:val="26"/>
                <w:szCs w:val="26"/>
                <w:color w:val="0000FF"/>
                <w:w w:val="86"/>
                <w:vertAlign w:val="subscript"/>
              </w:rPr>
              <w:t>A</w:t>
            </w:r>
            <w:r>
              <w:rPr>
                <w:rFonts w:ascii="Times New Roman" w:cs="Times New Roman" w:eastAsia="Times New Roman" w:hAnsi="Times New Roman"/>
                <w:sz w:val="11"/>
                <w:szCs w:val="11"/>
                <w:color w:val="008000"/>
                <w:w w:val="86"/>
              </w:rPr>
              <w:t>(4)</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70</w:t>
            </w:r>
          </w:p>
        </w:tc>
        <w:tc>
          <w:tcPr>
            <w:tcW w:w="4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A</w:t>
            </w:r>
          </w:p>
        </w:tc>
        <w:tc>
          <w:tcPr>
            <w:tcW w:w="620" w:type="dxa"/>
            <w:vAlign w:val="bottom"/>
            <w:tcBorders>
              <w:bottom w:val="single" w:sz="8" w:color="2C2C2C"/>
            </w:tcBorders>
            <w:gridSpan w:val="2"/>
          </w:tcPr>
          <w:p>
            <w:pPr>
              <w:jc w:val="center"/>
              <w:ind w:left="251"/>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20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260"/>
              <w:spacing w:after="0"/>
              <w:rPr>
                <w:sz w:val="20"/>
                <w:szCs w:val="20"/>
                <w:color w:val="auto"/>
              </w:rPr>
            </w:pPr>
            <w:r>
              <w:rPr>
                <w:rFonts w:ascii="Times New Roman" w:cs="Times New Roman" w:eastAsia="Times New Roman" w:hAnsi="Times New Roman"/>
                <w:sz w:val="17"/>
                <w:szCs w:val="17"/>
                <w:color w:val="0000FF"/>
              </w:rPr>
              <w:t>62,362</w:t>
            </w:r>
            <w:r>
              <w:rPr>
                <w:rFonts w:ascii="Times New Roman" w:cs="Times New Roman" w:eastAsia="Times New Roman" w:hAnsi="Times New Roman"/>
                <w:sz w:val="22"/>
                <w:szCs w:val="22"/>
                <w:color w:val="008000"/>
                <w:vertAlign w:val="superscript"/>
              </w:rPr>
              <w:t>(2)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jc w:val="center"/>
              <w:ind w:left="133"/>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jc w:val="center"/>
              <w:ind w:left="43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70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transaction is an award of restricted stock units ("RSUs") in respect of the issuer's Class A common stock ("Class A Common Stock"). Subject to the reporting person's continued employment through the applicable vesting date, these RSUs are scheduled to vest in equal installments on each of the first, second and third anniversaries of March 15, 2024.</w:t>
      </w:r>
    </w:p>
    <w:p>
      <w:pPr>
        <w:spacing w:after="0" w:line="7" w:lineRule="exact"/>
        <w:rPr>
          <w:rFonts w:ascii="Times New Roman" w:cs="Times New Roman" w:eastAsia="Times New Roman" w:hAnsi="Times New Roman"/>
          <w:sz w:val="13"/>
          <w:szCs w:val="13"/>
          <w:color w:val="008000"/>
        </w:rPr>
      </w:pPr>
    </w:p>
    <w:p>
      <w:pPr>
        <w:ind w:left="40" w:right="160" w:firstLine="7"/>
        <w:spacing w:after="0" w:line="247"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amount includes (i)3,204 RSUs in respect of Class A Common Stock which are scheduled to vest on March 15, 2025, (ii) 12,419 unvested RSUs in respect of Class A Common Stock that are scheduled to vest on January 1, 2025, (iii) 9,153 unvested RSUs in respect of Class A Common Stock which are scheduled to vest in equal installments on March 15, 2025 and March 15, 2026, (iv) 24,890 unvested RSUs in respect of Class A Common Stock, which are scheduled to vest on January 1, 2026, and (v) 7,643 unvested RSUs in respect of Class A Common Stock, which are scheduled to vest in equal installments on March 15, 2025, March 15, 2026 and March 15, 2027, in each case subject to the reporting person's continued employment through the applicable vesting date.</w:t>
      </w:r>
    </w:p>
    <w:p>
      <w:pPr>
        <w:spacing w:after="0" w:line="24"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withheld by the issuer to satisfy the tax withholding obligation associated with the settlement of RSUs in respect of of Class A Common Stock held by the reporting person.</w:t>
      </w:r>
    </w:p>
    <w:p>
      <w:pPr>
        <w:spacing w:after="0" w:line="50" w:lineRule="exact"/>
        <w:rPr>
          <w:rFonts w:ascii="Times New Roman" w:cs="Times New Roman" w:eastAsia="Times New Roman" w:hAnsi="Times New Roman"/>
          <w:sz w:val="13"/>
          <w:szCs w:val="13"/>
          <w:color w:val="008000"/>
        </w:rPr>
      </w:pPr>
    </w:p>
    <w:p>
      <w:pPr>
        <w:ind w:left="40" w:right="50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of Class A Common Stock acquired in connection with the settlement of certain dividend equivalent rights (the "DERs"). The DERs were granted in connection with previously awarded RSUs, and settled in shares of Class A Common Stock in connection with the settlement of the RSUs to which they relate.</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Douglas Friedman,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97472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974725"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Attorney-in-Fact for Justin</w:t>
      </w:r>
      <w:r>
        <w:rPr>
          <w:sz w:val="20"/>
          <w:szCs w:val="20"/>
          <w:color w:val="auto"/>
        </w:rPr>
        <w:tab/>
      </w:r>
      <w:r>
        <w:rPr>
          <w:rFonts w:ascii="Times New Roman" w:cs="Times New Roman" w:eastAsia="Times New Roman" w:hAnsi="Times New Roman"/>
          <w:sz w:val="17"/>
          <w:szCs w:val="17"/>
          <w:color w:val="0000FF"/>
        </w:rPr>
        <w:t>03/19/2024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Peterson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37909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79095"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807231" TargetMode="External"/><Relationship Id="rId13" Type="http://schemas.openxmlformats.org/officeDocument/2006/relationships/hyperlink" Target="http://www.sec.gov/cgi-bin/browse-edgar?action=getcompany&amp;CIK=000175873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2024-03-19T17:55:38Z</dcterms:created>
  <dcterms:modified xsi:type="dcterms:W3CDTF">2024-03-19T17:55:38Z</dcterms:modified>
</cp:coreProperties>
</file>