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4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35,034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246,425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17,317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103.82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229,108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229,298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2024.</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8,654 unvested RSUs in respect of Class A Common Stock that are scheduled to vest on March 15, 2025, (ii) 31,268 unvested RSUs in respect of Class A Common Stock that are scheduled to vest on January 1, 2025, (iii) 28,752 unvested RSUs in respect of Class A Common Stock which are scheduled to vest in equal installments on March 15, 2025 and March 15, 2026, (iv) 78,191 unvested RSUs in respect of Class A Common Stock which are scheduled to vest on January 1, 2026, and (v) 35,034 unvested RSUs in respect of Class A Common Stock that are scheduled to vest in equal installments on March 15, 2025, March 15, 2026 and March 15, 2027,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of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2024-03-19T17:55:44Z</dcterms:created>
  <dcterms:modified xsi:type="dcterms:W3CDTF">2024-03-19T17:55:44Z</dcterms:modified>
</cp:coreProperties>
</file>