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6297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9793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03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Friedman Douglas</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01/16/2020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4"/>
        <w:spacing w:after="0"/>
        <w:rPr>
          <w:sz w:val="20"/>
          <w:szCs w:val="20"/>
          <w:color w:val="auto"/>
        </w:rPr>
      </w:pPr>
      <w:r>
        <w:rPr>
          <w:rFonts w:ascii="Arial" w:cs="Arial" w:eastAsia="Arial" w:hAnsi="Arial"/>
          <w:sz w:val="17"/>
          <w:szCs w:val="17"/>
          <w:color w:val="0000FF"/>
        </w:rPr>
        <w:t>General Counsel and Secretary</w:t>
      </w:r>
    </w:p>
    <w:p>
      <w:pPr>
        <w:spacing w:after="0" w:line="410" w:lineRule="exact"/>
        <w:rPr>
          <w:sz w:val="24"/>
          <w:szCs w:val="24"/>
          <w:color w:val="auto"/>
        </w:rPr>
      </w:pPr>
    </w:p>
    <w:p>
      <w:pPr>
        <w:sectPr>
          <w:pgSz w:w="11900" w:h="16838" w:orient="portrait"/>
          <w:cols w:equalWidth="0" w:num="3">
            <w:col w:w="3360" w:space="720"/>
            <w:col w:w="3256" w:space="720"/>
            <w:col w:w="3464"/>
          </w:cols>
          <w:pgMar w:left="240" w:top="226" w:right="139" w:bottom="1035"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88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gridSpan w:val="3"/>
          </w:tcPr>
          <w:p>
            <w:pPr>
              <w:jc w:val="center"/>
              <w:ind w:left="46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01/16/2020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12,635</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58,145</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01/16/2020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12,635</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45.4112</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45,510</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01/17/2020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2,292</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47,802</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01/17/2020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2,292</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45.8008</w:t>
            </w:r>
            <w:r>
              <w:rPr>
                <w:rFonts w:ascii="Arial" w:cs="Arial" w:eastAsia="Arial" w:hAnsi="Arial"/>
                <w:sz w:val="22"/>
                <w:szCs w:val="22"/>
                <w:color w:val="008000"/>
                <w:w w:val="90"/>
                <w:vertAlign w:val="superscript"/>
              </w:rPr>
              <w:t>(4)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45,510</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40" w:type="dxa"/>
            <w:vAlign w:val="bottom"/>
            <w:gridSpan w:val="10"/>
          </w:tcPr>
          <w:p>
            <w:pPr>
              <w:jc w:val="center"/>
              <w:ind w:left="58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0000FF"/>
              </w:rPr>
              <w:t>12,635</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jc w:val="right"/>
              <w:ind w:right="133"/>
              <w:spacing w:after="0" w:line="148" w:lineRule="exact"/>
              <w:rPr>
                <w:sz w:val="20"/>
                <w:szCs w:val="20"/>
                <w:color w:val="auto"/>
              </w:rPr>
            </w:pPr>
            <w:r>
              <w:rPr>
                <w:rFonts w:ascii="Arial" w:cs="Arial" w:eastAsia="Arial" w:hAnsi="Arial"/>
                <w:sz w:val="13"/>
                <w:szCs w:val="13"/>
                <w:color w:val="0000FF"/>
              </w:rPr>
              <w:t>01/16/2020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restart"/>
          </w:tcPr>
          <w:p>
            <w:pPr>
              <w:jc w:val="right"/>
              <w:ind w:right="20"/>
              <w:spacing w:after="0" w:line="148" w:lineRule="exact"/>
              <w:rPr>
                <w:sz w:val="20"/>
                <w:szCs w:val="20"/>
                <w:color w:val="auto"/>
              </w:rPr>
            </w:pPr>
            <w:r>
              <w:rPr>
                <w:rFonts w:ascii="Arial" w:cs="Arial" w:eastAsia="Arial" w:hAnsi="Arial"/>
                <w:sz w:val="13"/>
                <w:szCs w:val="13"/>
                <w:color w:val="0000FF"/>
              </w:rPr>
              <w:t>12,635</w:t>
            </w: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line="148" w:lineRule="exact"/>
              <w:rPr>
                <w:sz w:val="20"/>
                <w:szCs w:val="20"/>
                <w:color w:val="auto"/>
              </w:rPr>
            </w:pPr>
            <w:r>
              <w:rPr>
                <w:rFonts w:ascii="Arial" w:cs="Arial" w:eastAsia="Arial" w:hAnsi="Arial"/>
                <w:sz w:val="13"/>
                <w:szCs w:val="13"/>
                <w:color w:val="0000FF"/>
                <w:w w:val="89"/>
              </w:rPr>
              <w:t>148,524</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jc w:val="right"/>
              <w:ind w:right="7"/>
              <w:spacing w:after="0"/>
              <w:rPr>
                <w:sz w:val="20"/>
                <w:szCs w:val="20"/>
                <w:color w:val="auto"/>
              </w:rPr>
            </w:pPr>
            <w:r>
              <w:rPr>
                <w:rFonts w:ascii="Arial" w:cs="Arial" w:eastAsia="Arial" w:hAnsi="Arial"/>
                <w:sz w:val="17"/>
                <w:szCs w:val="17"/>
                <w:color w:val="0000FF"/>
              </w:rPr>
              <w:t>2,292</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jc w:val="right"/>
              <w:ind w:right="133"/>
              <w:spacing w:after="0" w:line="148" w:lineRule="exact"/>
              <w:rPr>
                <w:sz w:val="20"/>
                <w:szCs w:val="20"/>
                <w:color w:val="auto"/>
              </w:rPr>
            </w:pPr>
            <w:r>
              <w:rPr>
                <w:rFonts w:ascii="Arial" w:cs="Arial" w:eastAsia="Arial" w:hAnsi="Arial"/>
                <w:sz w:val="13"/>
                <w:szCs w:val="13"/>
                <w:color w:val="0000FF"/>
              </w:rPr>
              <w:t>01/17/2020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restart"/>
          </w:tcPr>
          <w:p>
            <w:pPr>
              <w:jc w:val="right"/>
              <w:spacing w:after="0" w:line="148" w:lineRule="exact"/>
              <w:rPr>
                <w:sz w:val="20"/>
                <w:szCs w:val="20"/>
                <w:color w:val="auto"/>
              </w:rPr>
            </w:pPr>
            <w:r>
              <w:rPr>
                <w:rFonts w:ascii="Arial" w:cs="Arial" w:eastAsia="Arial" w:hAnsi="Arial"/>
                <w:sz w:val="13"/>
                <w:szCs w:val="13"/>
                <w:color w:val="0000FF"/>
              </w:rPr>
              <w:t>2,292</w:t>
            </w:r>
          </w:p>
        </w:tc>
        <w:tc>
          <w:tcPr>
            <w:tcW w:w="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line="148" w:lineRule="exact"/>
              <w:rPr>
                <w:sz w:val="20"/>
                <w:szCs w:val="20"/>
                <w:color w:val="auto"/>
              </w:rPr>
            </w:pPr>
            <w:r>
              <w:rPr>
                <w:rFonts w:ascii="Arial" w:cs="Arial" w:eastAsia="Arial" w:hAnsi="Arial"/>
                <w:sz w:val="13"/>
                <w:szCs w:val="13"/>
                <w:color w:val="0000FF"/>
                <w:w w:val="89"/>
              </w:rPr>
              <w:t>146,232</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2" w:lineRule="exact"/>
        <w:rPr>
          <w:rFonts w:ascii="Arial" w:cs="Arial" w:eastAsia="Arial" w:hAnsi="Arial"/>
          <w:sz w:val="13"/>
          <w:szCs w:val="13"/>
          <w:color w:val="008000"/>
        </w:rPr>
      </w:pPr>
    </w:p>
    <w:p>
      <w:pPr>
        <w:ind w:left="40" w:right="60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22,868 unvested restricted stock units in respect of the issuer's Class A common stock ("RSUs") which are scheduled to vest on January 1, 2021, subject to the reporting person's continued employment through the vesting date. This amount also includes 19,642 vested RSUs which will be settled on February 3, 2020.</w:t>
      </w:r>
    </w:p>
    <w:p>
      <w:pPr>
        <w:spacing w:after="0" w:line="9" w:lineRule="exact"/>
        <w:rPr>
          <w:rFonts w:ascii="Arial" w:cs="Arial" w:eastAsia="Arial" w:hAnsi="Arial"/>
          <w:sz w:val="13"/>
          <w:szCs w:val="13"/>
          <w:color w:val="008000"/>
        </w:rPr>
      </w:pPr>
    </w:p>
    <w:p>
      <w:pPr>
        <w:ind w:left="40" w:right="20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$45.12 to $45.90,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$45.47 to $46.29,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01/21/2020</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Douglas Friedman</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2020-01-21T19:37:15Z</dcterms:created>
  <dcterms:modified xsi:type="dcterms:W3CDTF">2020-01-21T19:37:15Z</dcterms:modified>
</cp:coreProperties>
</file>