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w:t>
      </w:r>
    </w:p>
    <w:p>
      <w:pPr>
        <w:spacing w:after="0" w:line="1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82"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3, 2022</w:t>
      </w:r>
    </w:p>
    <w:p>
      <w:pPr>
        <w:spacing w:after="0" w:line="30"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Tradeweb Markets Inc.</w:t>
      </w:r>
    </w:p>
    <w:p>
      <w:pPr>
        <w:spacing w:after="0" w:line="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6"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325" w:lineRule="exact"/>
        <w:rPr>
          <w:sz w:val="24"/>
          <w:szCs w:val="24"/>
          <w:color w:val="auto"/>
        </w:rPr>
      </w:pPr>
    </w:p>
    <w:tbl>
      <w:tblPr>
        <w:tblLayout w:type="fixed"/>
        <w:tblInd w:w="900" w:type="dxa"/>
        <w:tblCellMar>
          <w:top w:w="0" w:type="dxa"/>
          <w:left w:w="0" w:type="dxa"/>
          <w:bottom w:w="0" w:type="dxa"/>
          <w:right w:w="0" w:type="dxa"/>
        </w:tblCellMar>
      </w:tblPr>
      <w:tr>
        <w:trPr>
          <w:trHeight w:val="261"/>
        </w:trPr>
        <w:tc>
          <w:tcPr>
            <w:tcW w:w="4080" w:type="dxa"/>
            <w:vAlign w:val="bottom"/>
          </w:tcPr>
          <w:p>
            <w:pPr>
              <w:jc w:val="center"/>
              <w:ind w:right="2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420" w:type="dxa"/>
            <w:vAlign w:val="bottom"/>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9"/>
              </w:rPr>
              <w:t>001-38860</w:t>
            </w:r>
          </w:p>
        </w:tc>
        <w:tc>
          <w:tcPr>
            <w:tcW w:w="2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83-2456358</w:t>
            </w:r>
          </w:p>
        </w:tc>
        <w:tc>
          <w:tcPr>
            <w:tcW w:w="0" w:type="dxa"/>
            <w:vAlign w:val="bottom"/>
          </w:tcPr>
          <w:p>
            <w:pPr>
              <w:spacing w:after="0"/>
              <w:rPr>
                <w:sz w:val="1"/>
                <w:szCs w:val="1"/>
                <w:color w:val="auto"/>
              </w:rPr>
            </w:pPr>
          </w:p>
        </w:tc>
      </w:tr>
      <w:tr>
        <w:trPr>
          <w:trHeight w:val="203"/>
        </w:trPr>
        <w:tc>
          <w:tcPr>
            <w:tcW w:w="4080" w:type="dxa"/>
            <w:vAlign w:val="bottom"/>
          </w:tcPr>
          <w:p>
            <w:pPr>
              <w:jc w:val="center"/>
              <w:ind w:right="205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420" w:type="dxa"/>
            <w:vAlign w:val="bottom"/>
          </w:tcPr>
          <w:p>
            <w:pPr>
              <w:jc w:val="center"/>
              <w:ind w:right="1070"/>
              <w:spacing w:after="0" w:line="202" w:lineRule="exact"/>
              <w:rPr>
                <w:sz w:val="20"/>
                <w:szCs w:val="20"/>
                <w:color w:val="auto"/>
              </w:rPr>
            </w:pPr>
            <w:r>
              <w:rPr>
                <w:rFonts w:ascii="Times New Roman" w:cs="Times New Roman" w:eastAsia="Times New Roman" w:hAnsi="Times New Roman"/>
                <w:sz w:val="18"/>
                <w:szCs w:val="18"/>
                <w:color w:val="auto"/>
              </w:rPr>
              <w:t>(Commission</w:t>
            </w:r>
          </w:p>
        </w:tc>
        <w:tc>
          <w:tcPr>
            <w:tcW w:w="2640" w:type="dxa"/>
            <w:vAlign w:val="bottom"/>
          </w:tcPr>
          <w:p>
            <w:pPr>
              <w:jc w:val="center"/>
              <w:ind w:left="1190"/>
              <w:spacing w:after="0" w:line="202"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48"/>
        </w:trPr>
        <w:tc>
          <w:tcPr>
            <w:tcW w:w="4080" w:type="dxa"/>
            <w:vAlign w:val="bottom"/>
          </w:tcPr>
          <w:p>
            <w:pPr>
              <w:jc w:val="center"/>
              <w:ind w:right="205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242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rPr>
              <w:t>File Number)</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248"/>
        </w:trPr>
        <w:tc>
          <w:tcPr>
            <w:tcW w:w="40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1177 Avenue of the Americas</w:t>
            </w:r>
          </w:p>
        </w:tc>
        <w:tc>
          <w:tcPr>
            <w:tcW w:w="2420" w:type="dxa"/>
            <w:vAlign w:val="bottom"/>
          </w:tcPr>
          <w:p>
            <w:pPr>
              <w:spacing w:after="0"/>
              <w:rPr>
                <w:sz w:val="21"/>
                <w:szCs w:val="21"/>
                <w:color w:val="auto"/>
              </w:rPr>
            </w:pPr>
          </w:p>
        </w:tc>
        <w:tc>
          <w:tcPr>
            <w:tcW w:w="26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10036</w:t>
            </w:r>
          </w:p>
        </w:tc>
        <w:tc>
          <w:tcPr>
            <w:tcW w:w="0" w:type="dxa"/>
            <w:vAlign w:val="bottom"/>
          </w:tcPr>
          <w:p>
            <w:pPr>
              <w:spacing w:after="0"/>
              <w:rPr>
                <w:sz w:val="1"/>
                <w:szCs w:val="1"/>
                <w:color w:val="auto"/>
              </w:rPr>
            </w:pPr>
          </w:p>
        </w:tc>
      </w:tr>
      <w:tr>
        <w:trPr>
          <w:trHeight w:val="238"/>
        </w:trPr>
        <w:tc>
          <w:tcPr>
            <w:tcW w:w="40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420" w:type="dxa"/>
            <w:vAlign w:val="bottom"/>
          </w:tcPr>
          <w:p>
            <w:pPr>
              <w:spacing w:after="0"/>
              <w:rPr>
                <w:sz w:val="20"/>
                <w:szCs w:val="20"/>
                <w:color w:val="auto"/>
              </w:rPr>
            </w:pPr>
          </w:p>
        </w:tc>
        <w:tc>
          <w:tcPr>
            <w:tcW w:w="2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1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(646) 430-6000</w:t>
      </w:r>
    </w:p>
    <w:p>
      <w:pPr>
        <w:spacing w:after="0" w:line="31"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233"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45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2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238"/>
        </w:trPr>
        <w:tc>
          <w:tcPr>
            <w:tcW w:w="4560" w:type="dxa"/>
            <w:vAlign w:val="bottom"/>
            <w:gridSpan w:val="2"/>
            <w:vMerge w:val="continue"/>
          </w:tcPr>
          <w:p>
            <w:pPr>
              <w:spacing w:after="0"/>
              <w:rPr>
                <w:sz w:val="20"/>
                <w:szCs w:val="20"/>
                <w:color w:val="auto"/>
              </w:rPr>
            </w:pPr>
          </w:p>
        </w:tc>
        <w:tc>
          <w:tcPr>
            <w:tcW w:w="3260" w:type="dxa"/>
            <w:vAlign w:val="bottom"/>
            <w:gridSpan w:val="2"/>
            <w:vMerge w:val="continue"/>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c>
          <w:tcPr>
            <w:tcW w:w="0" w:type="dxa"/>
            <w:vAlign w:val="bottom"/>
          </w:tcPr>
          <w:p>
            <w:pPr>
              <w:spacing w:after="0"/>
              <w:rPr>
                <w:sz w:val="1"/>
                <w:szCs w:val="1"/>
                <w:color w:val="auto"/>
              </w:rPr>
            </w:pPr>
          </w:p>
        </w:tc>
      </w:tr>
      <w:tr>
        <w:trPr>
          <w:trHeight w:val="228"/>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$0.00001</w:t>
            </w:r>
          </w:p>
        </w:tc>
        <w:tc>
          <w:tcPr>
            <w:tcW w:w="420" w:type="dxa"/>
            <w:vAlign w:val="bottom"/>
          </w:tcPr>
          <w:p>
            <w:pPr>
              <w:spacing w:after="0"/>
              <w:rPr>
                <w:sz w:val="19"/>
                <w:szCs w:val="19"/>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TW</w:t>
            </w:r>
          </w:p>
        </w:tc>
        <w:tc>
          <w:tcPr>
            <w:tcW w:w="42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287"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652780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On August 3, 2022, Tradeweb Markets Inc. (the “Company”) issued a press release, a copy of which is furnished as Exhibit 99.1 hereto and incorporated herein by reference, announcing financial results for the quarter ended June 30, 2022.</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Item 2.02 of this Current Report on Form 8-K, including Exhibit 99.1 attached hereto,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9380" w:type="dxa"/>
            <w:vAlign w:val="bottom"/>
            <w:gridSpan w:val="2"/>
            <w:vMerge w:val="restart"/>
          </w:tcPr>
          <w:p>
            <w:pPr>
              <w:ind w:left="400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9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1"/>
        </w:trPr>
        <w:tc>
          <w:tcPr>
            <w:tcW w:w="2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rPr>
              <w:t>Press Release of Tradeweb Markets Inc., dated August 3, 2022.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60" w:type="dxa"/>
            <w:vAlign w:val="bottom"/>
            <w:shd w:val="clear" w:color="auto" w:fill="0000FF"/>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465"/>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320" w:firstLine="648"/>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6820" w:type="dxa"/>
            <w:vAlign w:val="bottom"/>
            <w:gridSpan w:val="2"/>
          </w:tcPr>
          <w:p>
            <w:pPr>
              <w:ind w:left="2860"/>
              <w:spacing w:after="0"/>
              <w:rPr>
                <w:sz w:val="20"/>
                <w:szCs w:val="20"/>
                <w:color w:val="auto"/>
              </w:rPr>
            </w:pPr>
            <w:r>
              <w:rPr>
                <w:rFonts w:ascii="Times New Roman" w:cs="Times New Roman" w:eastAsia="Times New Roman" w:hAnsi="Times New Roman"/>
                <w:sz w:val="18"/>
                <w:szCs w:val="18"/>
                <w:color w:val="auto"/>
              </w:rPr>
              <w:t>TRADEWEB MARKETS INC.</w:t>
            </w:r>
          </w:p>
        </w:tc>
      </w:tr>
      <w:tr>
        <w:trPr>
          <w:trHeight w:val="50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3, 2022</w:t>
            </w:r>
          </w:p>
        </w:tc>
        <w:tc>
          <w:tcPr>
            <w:tcW w:w="6820" w:type="dxa"/>
            <w:vAlign w:val="bottom"/>
            <w:gridSpan w:val="2"/>
          </w:tcPr>
          <w:p>
            <w:pPr>
              <w:ind w:left="2860"/>
              <w:spacing w:after="0"/>
              <w:rPr>
                <w:sz w:val="20"/>
                <w:szCs w:val="20"/>
                <w:color w:val="auto"/>
              </w:rPr>
            </w:pPr>
            <w:r>
              <w:rPr>
                <w:rFonts w:ascii="Times New Roman" w:cs="Times New Roman" w:eastAsia="Times New Roman" w:hAnsi="Times New Roman"/>
                <w:sz w:val="18"/>
                <w:szCs w:val="18"/>
                <w:color w:val="auto"/>
              </w:rPr>
              <w:t>By:   /s/ Douglas Friedman</w:t>
            </w:r>
          </w:p>
        </w:tc>
      </w:tr>
      <w:tr>
        <w:trPr>
          <w:trHeight w:val="218"/>
        </w:trPr>
        <w:tc>
          <w:tcPr>
            <w:tcW w:w="44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Douglas Friedman</w:t>
            </w:r>
          </w:p>
        </w:tc>
      </w:tr>
      <w:tr>
        <w:trPr>
          <w:trHeight w:val="234"/>
        </w:trPr>
        <w:tc>
          <w:tcPr>
            <w:tcW w:w="44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General Counsel</w:t>
            </w:r>
          </w:p>
        </w:tc>
      </w:tr>
    </w:tbl>
    <w:p>
      <w:pPr>
        <w:sectPr>
          <w:pgSz w:w="11900" w:h="16838" w:orient="portrait"/>
          <w:cols w:equalWidth="0" w:num="1">
            <w:col w:w="11240"/>
          </w:cols>
          <w:pgMar w:left="320" w:top="1130" w:right="339" w:bottom="1440" w:gutter="0" w:footer="0" w:header="0"/>
        </w:sectPr>
      </w:pPr>
    </w:p>
    <w:bookmarkStart w:id="3" w:name="page4"/>
    <w:bookmarkEnd w:id="3"/>
    <w:p>
      <w:pPr>
        <w:ind w:left="5860"/>
        <w:spacing w:after="0"/>
        <w:tabs>
          <w:tab w:leader="none" w:pos="8180" w:val="left"/>
        </w:tabs>
        <w:rPr>
          <w:sz w:val="20"/>
          <w:szCs w:val="20"/>
          <w:color w:val="auto"/>
        </w:rPr>
      </w:pPr>
      <w:r>
        <w:rPr>
          <w:rFonts w:ascii="Arial" w:cs="Arial" w:eastAsia="Arial" w:hAnsi="Arial"/>
          <w:sz w:val="16"/>
          <w:szCs w:val="16"/>
          <w:b w:val="1"/>
          <w:bCs w:val="1"/>
          <w:color w:val="083566"/>
        </w:rPr>
        <w:drawing>
          <wp:anchor simplePos="0" relativeHeight="251657728" behindDoc="1" locked="0" layoutInCell="0" allowOverlap="1">
            <wp:simplePos x="0" y="0"/>
            <wp:positionH relativeFrom="page">
              <wp:posOffset>216535</wp:posOffset>
            </wp:positionH>
            <wp:positionV relativeFrom="page">
              <wp:posOffset>106045</wp:posOffset>
            </wp:positionV>
            <wp:extent cx="1808480" cy="600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808480" cy="600075"/>
                    </a:xfrm>
                    <a:prstGeom prst="rect">
                      <a:avLst/>
                    </a:prstGeom>
                    <a:noFill/>
                  </pic:spPr>
                </pic:pic>
              </a:graphicData>
            </a:graphic>
          </wp:anchor>
        </w:drawing>
        <w:t>Investor Relations</w:t>
      </w:r>
      <w:r>
        <w:rPr>
          <w:sz w:val="20"/>
          <w:szCs w:val="20"/>
          <w:color w:val="auto"/>
        </w:rPr>
        <w:tab/>
      </w:r>
      <w:r>
        <w:rPr>
          <w:rFonts w:ascii="Arial" w:cs="Arial" w:eastAsia="Arial" w:hAnsi="Arial"/>
          <w:sz w:val="16"/>
          <w:szCs w:val="16"/>
          <w:b w:val="1"/>
          <w:bCs w:val="1"/>
          <w:color w:val="083566"/>
        </w:rPr>
        <w:t>Media Relations</w:t>
      </w:r>
    </w:p>
    <w:p>
      <w:pPr>
        <w:spacing w:after="0" w:line="21" w:lineRule="exact"/>
        <w:rPr>
          <w:sz w:val="20"/>
          <w:szCs w:val="20"/>
          <w:color w:val="auto"/>
        </w:rPr>
      </w:pPr>
    </w:p>
    <w:p>
      <w:pPr>
        <w:ind w:left="5860"/>
        <w:spacing w:after="0"/>
        <w:tabs>
          <w:tab w:leader="none" w:pos="8180" w:val="left"/>
        </w:tabs>
        <w:rPr>
          <w:sz w:val="20"/>
          <w:szCs w:val="20"/>
          <w:color w:val="auto"/>
        </w:rPr>
      </w:pPr>
      <w:r>
        <w:rPr>
          <w:rFonts w:ascii="Arial" w:cs="Arial" w:eastAsia="Arial" w:hAnsi="Arial"/>
          <w:sz w:val="16"/>
          <w:szCs w:val="16"/>
          <w:color w:val="auto"/>
        </w:rPr>
        <w:t>Ashley Serrao + 1 646 430</w:t>
      </w:r>
      <w:r>
        <w:rPr>
          <w:sz w:val="20"/>
          <w:szCs w:val="20"/>
          <w:color w:val="auto"/>
        </w:rPr>
        <w:tab/>
      </w:r>
      <w:r>
        <w:rPr>
          <w:rFonts w:ascii="Arial" w:cs="Arial" w:eastAsia="Arial" w:hAnsi="Arial"/>
          <w:sz w:val="16"/>
          <w:szCs w:val="16"/>
          <w:color w:val="auto"/>
        </w:rPr>
        <w:t>Daniel Noonan + 1 646 767</w:t>
      </w:r>
    </w:p>
    <w:p>
      <w:pPr>
        <w:spacing w:after="0" w:line="15" w:lineRule="exact"/>
        <w:rPr>
          <w:sz w:val="20"/>
          <w:szCs w:val="20"/>
          <w:color w:val="auto"/>
        </w:rPr>
      </w:pPr>
    </w:p>
    <w:p>
      <w:pPr>
        <w:ind w:left="5860"/>
        <w:spacing w:after="0"/>
        <w:tabs>
          <w:tab w:leader="none" w:pos="8180" w:val="left"/>
        </w:tabs>
        <w:rPr>
          <w:sz w:val="20"/>
          <w:szCs w:val="20"/>
          <w:color w:val="auto"/>
        </w:rPr>
      </w:pPr>
      <w:r>
        <w:rPr>
          <w:rFonts w:ascii="Arial" w:cs="Arial" w:eastAsia="Arial" w:hAnsi="Arial"/>
          <w:sz w:val="16"/>
          <w:szCs w:val="16"/>
          <w:color w:val="auto"/>
        </w:rPr>
        <w:t>6027</w:t>
      </w:r>
      <w:r>
        <w:rPr>
          <w:sz w:val="20"/>
          <w:szCs w:val="20"/>
          <w:color w:val="auto"/>
        </w:rPr>
        <w:tab/>
      </w:r>
      <w:r>
        <w:rPr>
          <w:rFonts w:ascii="Arial" w:cs="Arial" w:eastAsia="Arial" w:hAnsi="Arial"/>
          <w:sz w:val="16"/>
          <w:szCs w:val="16"/>
          <w:color w:val="auto"/>
        </w:rPr>
        <w:t>4677</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Ashley.Serrao@Tradeweb.com  Daniel.Noonan@Tradeweb.com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ADCB"/>
        </w:rPr>
        <w:t>TRADEWEB REPORTS SECOND QUARTER 2022 FINANCIAL RESULTS</w:t>
      </w:r>
    </w:p>
    <w:p>
      <w:pPr>
        <w:spacing w:after="0" w:line="222" w:lineRule="exact"/>
        <w:rPr>
          <w:sz w:val="20"/>
          <w:szCs w:val="20"/>
          <w:color w:val="auto"/>
        </w:rPr>
      </w:pPr>
    </w:p>
    <w:p>
      <w:pPr>
        <w:ind w:left="20" w:right="40"/>
        <w:spacing w:after="0" w:line="286" w:lineRule="auto"/>
        <w:rPr>
          <w:sz w:val="20"/>
          <w:szCs w:val="20"/>
          <w:color w:val="auto"/>
        </w:rPr>
      </w:pPr>
      <w:r>
        <w:rPr>
          <w:rFonts w:ascii="Arial" w:cs="Arial" w:eastAsia="Arial" w:hAnsi="Arial"/>
          <w:sz w:val="16"/>
          <w:szCs w:val="16"/>
          <w:b w:val="1"/>
          <w:bCs w:val="1"/>
          <w:color w:val="auto"/>
        </w:rPr>
        <w:t xml:space="preserve">New York, August 3, 2022 </w:t>
      </w:r>
      <w:r>
        <w:rPr>
          <w:rFonts w:ascii="Arial" w:cs="Arial" w:eastAsia="Arial" w:hAnsi="Arial"/>
          <w:sz w:val="16"/>
          <w:szCs w:val="16"/>
          <w:color w:val="auto"/>
        </w:rPr>
        <w:t>– Tradeweb Markets Inc. (Nasdaq: TW), a leading, global operator of electronic marketplaces for rates, credit, equities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money markets, today reported financial results for the quarter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64770</wp:posOffset>
            </wp:positionV>
            <wp:extent cx="3077210" cy="25031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77210" cy="2503170"/>
                    </a:xfrm>
                    <a:prstGeom prst="rect">
                      <a:avLst/>
                    </a:prstGeom>
                    <a:noFill/>
                  </pic:spPr>
                </pic:pic>
              </a:graphicData>
            </a:graphic>
          </wp:anchor>
        </w:drawing>
      </w:r>
    </w:p>
    <w:p>
      <w:pPr>
        <w:sectPr>
          <w:pgSz w:w="11900" w:h="16838" w:orient="portrait"/>
          <w:cols w:equalWidth="0" w:num="1">
            <w:col w:w="10840"/>
          </w:cols>
          <w:pgMar w:left="320" w:top="274" w:right="739" w:bottom="1440" w:gutter="0" w:footer="0" w:header="0"/>
        </w:sectPr>
      </w:pPr>
    </w:p>
    <w:p>
      <w:pPr>
        <w:spacing w:after="0" w:line="115" w:lineRule="exact"/>
        <w:rPr>
          <w:sz w:val="20"/>
          <w:szCs w:val="20"/>
          <w:color w:val="auto"/>
        </w:rPr>
      </w:pPr>
    </w:p>
    <w:p>
      <w:pPr>
        <w:ind w:left="20" w:right="560"/>
        <w:spacing w:after="0" w:line="286" w:lineRule="auto"/>
        <w:rPr>
          <w:sz w:val="20"/>
          <w:szCs w:val="20"/>
          <w:color w:val="auto"/>
        </w:rPr>
      </w:pPr>
      <w:r>
        <w:rPr>
          <w:rFonts w:ascii="Arial" w:cs="Arial" w:eastAsia="Arial" w:hAnsi="Arial"/>
          <w:sz w:val="16"/>
          <w:szCs w:val="16"/>
          <w:b w:val="1"/>
          <w:bCs w:val="1"/>
          <w:color w:val="auto"/>
        </w:rPr>
        <w:t xml:space="preserve">$297.1 million </w:t>
      </w:r>
      <w:r>
        <w:rPr>
          <w:rFonts w:ascii="Arial" w:cs="Arial" w:eastAsia="Arial" w:hAnsi="Arial"/>
          <w:sz w:val="16"/>
          <w:szCs w:val="16"/>
          <w:color w:val="auto"/>
        </w:rPr>
        <w:t>quarterly revenues increased</w:t>
      </w:r>
      <w:r>
        <w:rPr>
          <w:rFonts w:ascii="Arial" w:cs="Arial" w:eastAsia="Arial" w:hAnsi="Arial"/>
          <w:sz w:val="16"/>
          <w:szCs w:val="16"/>
          <w:b w:val="1"/>
          <w:bCs w:val="1"/>
          <w:color w:val="auto"/>
        </w:rPr>
        <w:t xml:space="preserve"> 13.9% </w:t>
      </w:r>
      <w:r>
        <w:rPr>
          <w:rFonts w:ascii="Arial" w:cs="Arial" w:eastAsia="Arial" w:hAnsi="Arial"/>
          <w:sz w:val="16"/>
          <w:szCs w:val="16"/>
          <w:color w:val="auto"/>
        </w:rPr>
        <w:t>(</w:t>
      </w:r>
      <w:r>
        <w:rPr>
          <w:rFonts w:ascii="Arial" w:cs="Arial" w:eastAsia="Arial" w:hAnsi="Arial"/>
          <w:sz w:val="16"/>
          <w:szCs w:val="16"/>
          <w:b w:val="1"/>
          <w:bCs w:val="1"/>
          <w:color w:val="auto"/>
        </w:rPr>
        <w:t xml:space="preserve">17.8% </w:t>
      </w:r>
      <w:r>
        <w:rPr>
          <w:rFonts w:ascii="Arial" w:cs="Arial" w:eastAsia="Arial" w:hAnsi="Arial"/>
          <w:sz w:val="16"/>
          <w:szCs w:val="16"/>
          <w:color w:val="auto"/>
        </w:rPr>
        <w:t>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compared to prior year period</w:t>
      </w:r>
    </w:p>
    <w:p>
      <w:pPr>
        <w:spacing w:after="0" w:line="61" w:lineRule="exact"/>
        <w:rPr>
          <w:sz w:val="20"/>
          <w:szCs w:val="20"/>
          <w:color w:val="auto"/>
        </w:rPr>
      </w:pPr>
    </w:p>
    <w:p>
      <w:pPr>
        <w:ind w:left="20"/>
        <w:spacing w:after="0" w:line="275" w:lineRule="auto"/>
        <w:rPr>
          <w:sz w:val="20"/>
          <w:szCs w:val="20"/>
          <w:color w:val="auto"/>
        </w:rPr>
      </w:pPr>
      <w:r>
        <w:rPr>
          <w:rFonts w:ascii="Arial" w:cs="Arial" w:eastAsia="Arial" w:hAnsi="Arial"/>
          <w:sz w:val="16"/>
          <w:szCs w:val="16"/>
          <w:b w:val="1"/>
          <w:bCs w:val="1"/>
          <w:color w:val="auto"/>
        </w:rPr>
        <w:t xml:space="preserve">$1.2 trillion </w:t>
      </w:r>
      <w:r>
        <w:rPr>
          <w:rFonts w:ascii="Arial" w:cs="Arial" w:eastAsia="Arial" w:hAnsi="Arial"/>
          <w:sz w:val="16"/>
          <w:szCs w:val="16"/>
          <w:color w:val="auto"/>
        </w:rPr>
        <w:t>average daily volume (“ADV”) for the quarter, an increase of</w:t>
      </w:r>
      <w:r>
        <w:rPr>
          <w:rFonts w:ascii="Arial" w:cs="Arial" w:eastAsia="Arial" w:hAnsi="Arial"/>
          <w:sz w:val="16"/>
          <w:szCs w:val="16"/>
          <w:b w:val="1"/>
          <w:bCs w:val="1"/>
          <w:color w:val="auto"/>
        </w:rPr>
        <w:t xml:space="preserve"> 20.4% </w:t>
      </w:r>
      <w:r>
        <w:rPr>
          <w:rFonts w:ascii="Arial" w:cs="Arial" w:eastAsia="Arial" w:hAnsi="Arial"/>
          <w:sz w:val="16"/>
          <w:szCs w:val="16"/>
          <w:color w:val="auto"/>
        </w:rPr>
        <w:t>compared to prior year period, with record ADV in swaps/swaptions ≥ 1-year; fully electronic U.S. High Grade; municipal bonds and repurchase agreements</w:t>
      </w:r>
    </w:p>
    <w:p>
      <w:pPr>
        <w:spacing w:after="0" w:line="56" w:lineRule="exact"/>
        <w:rPr>
          <w:sz w:val="20"/>
          <w:szCs w:val="20"/>
          <w:color w:val="auto"/>
        </w:rPr>
      </w:pPr>
    </w:p>
    <w:p>
      <w:pPr>
        <w:ind w:left="20" w:right="20"/>
        <w:spacing w:after="0" w:line="296" w:lineRule="auto"/>
        <w:rPr>
          <w:sz w:val="20"/>
          <w:szCs w:val="20"/>
          <w:color w:val="auto"/>
        </w:rPr>
      </w:pPr>
      <w:r>
        <w:rPr>
          <w:rFonts w:ascii="Arial" w:cs="Arial" w:eastAsia="Arial" w:hAnsi="Arial"/>
          <w:sz w:val="16"/>
          <w:szCs w:val="16"/>
          <w:b w:val="1"/>
          <w:bCs w:val="1"/>
          <w:color w:val="auto"/>
        </w:rPr>
        <w:t xml:space="preserve">$81.6 million </w:t>
      </w:r>
      <w:r>
        <w:rPr>
          <w:rFonts w:ascii="Arial" w:cs="Arial" w:eastAsia="Arial" w:hAnsi="Arial"/>
          <w:sz w:val="16"/>
          <w:szCs w:val="16"/>
          <w:color w:val="auto"/>
        </w:rPr>
        <w:t>net income and</w:t>
      </w:r>
      <w:r>
        <w:rPr>
          <w:rFonts w:ascii="Arial" w:cs="Arial" w:eastAsia="Arial" w:hAnsi="Arial"/>
          <w:sz w:val="16"/>
          <w:szCs w:val="16"/>
          <w:b w:val="1"/>
          <w:bCs w:val="1"/>
          <w:color w:val="auto"/>
        </w:rPr>
        <w:t xml:space="preserve"> $111.7 million </w:t>
      </w:r>
      <w:r>
        <w:rPr>
          <w:rFonts w:ascii="Arial" w:cs="Arial" w:eastAsia="Arial" w:hAnsi="Arial"/>
          <w:sz w:val="16"/>
          <w:szCs w:val="16"/>
          <w:color w:val="auto"/>
        </w:rPr>
        <w:t>adjusted net income for the quarter,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increases of </w:t>
      </w:r>
      <w:r>
        <w:rPr>
          <w:rFonts w:ascii="Arial" w:cs="Arial" w:eastAsia="Arial" w:hAnsi="Arial"/>
          <w:sz w:val="16"/>
          <w:szCs w:val="16"/>
          <w:b w:val="1"/>
          <w:bCs w:val="1"/>
          <w:color w:val="auto"/>
        </w:rPr>
        <w:t>23.2%</w:t>
      </w:r>
      <w:r>
        <w:rPr>
          <w:rFonts w:ascii="Arial" w:cs="Arial" w:eastAsia="Arial" w:hAnsi="Arial"/>
          <w:sz w:val="16"/>
          <w:szCs w:val="16"/>
          <w:color w:val="auto"/>
        </w:rPr>
        <w:t xml:space="preserve"> and </w:t>
      </w:r>
      <w:r>
        <w:rPr>
          <w:rFonts w:ascii="Arial" w:cs="Arial" w:eastAsia="Arial" w:hAnsi="Arial"/>
          <w:sz w:val="16"/>
          <w:szCs w:val="16"/>
          <w:b w:val="1"/>
          <w:bCs w:val="1"/>
          <w:color w:val="auto"/>
        </w:rPr>
        <w:t>19.3%</w:t>
      </w:r>
      <w:r>
        <w:rPr>
          <w:rFonts w:ascii="Arial" w:cs="Arial" w:eastAsia="Arial" w:hAnsi="Arial"/>
          <w:sz w:val="16"/>
          <w:szCs w:val="16"/>
          <w:color w:val="auto"/>
        </w:rPr>
        <w:t xml:space="preserve"> respectively from prior year period</w:t>
      </w:r>
    </w:p>
    <w:p>
      <w:pPr>
        <w:spacing w:after="0" w:line="46" w:lineRule="exact"/>
        <w:rPr>
          <w:sz w:val="20"/>
          <w:szCs w:val="20"/>
          <w:color w:val="auto"/>
        </w:rPr>
      </w:pPr>
    </w:p>
    <w:p>
      <w:pPr>
        <w:ind w:left="20" w:right="120"/>
        <w:spacing w:after="0" w:line="286" w:lineRule="auto"/>
        <w:rPr>
          <w:sz w:val="20"/>
          <w:szCs w:val="20"/>
          <w:color w:val="auto"/>
        </w:rPr>
      </w:pPr>
      <w:r>
        <w:rPr>
          <w:rFonts w:ascii="Arial" w:cs="Arial" w:eastAsia="Arial" w:hAnsi="Arial"/>
          <w:sz w:val="16"/>
          <w:szCs w:val="16"/>
          <w:b w:val="1"/>
          <w:bCs w:val="1"/>
          <w:color w:val="auto"/>
        </w:rPr>
        <w:t xml:space="preserve">52.4% </w:t>
      </w:r>
      <w:r>
        <w:rPr>
          <w:rFonts w:ascii="Arial" w:cs="Arial" w:eastAsia="Arial" w:hAnsi="Arial"/>
          <w:sz w:val="16"/>
          <w:szCs w:val="16"/>
          <w:color w:val="auto"/>
        </w:rPr>
        <w:t>adjusted EBITDA margin and</w:t>
      </w:r>
      <w:r>
        <w:rPr>
          <w:rFonts w:ascii="Arial" w:cs="Arial" w:eastAsia="Arial" w:hAnsi="Arial"/>
          <w:sz w:val="16"/>
          <w:szCs w:val="16"/>
          <w:b w:val="1"/>
          <w:bCs w:val="1"/>
          <w:color w:val="auto"/>
        </w:rPr>
        <w:t xml:space="preserve"> $155.6 million </w:t>
      </w:r>
      <w:r>
        <w:rPr>
          <w:rFonts w:ascii="Arial" w:cs="Arial" w:eastAsia="Arial" w:hAnsi="Arial"/>
          <w:sz w:val="16"/>
          <w:szCs w:val="16"/>
          <w:color w:val="auto"/>
        </w:rPr>
        <w:t>adjusted EBITDA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compared to 50.6% and $131.9 million respectively for prior year period</w:t>
      </w:r>
    </w:p>
    <w:p>
      <w:pPr>
        <w:spacing w:after="0" w:line="61" w:lineRule="exact"/>
        <w:rPr>
          <w:sz w:val="20"/>
          <w:szCs w:val="20"/>
          <w:color w:val="auto"/>
        </w:rPr>
      </w:pPr>
    </w:p>
    <w:p>
      <w:pPr>
        <w:ind w:left="20" w:right="540"/>
        <w:spacing w:after="0" w:line="286" w:lineRule="auto"/>
        <w:rPr>
          <w:sz w:val="20"/>
          <w:szCs w:val="20"/>
          <w:color w:val="auto"/>
        </w:rPr>
      </w:pPr>
      <w:r>
        <w:rPr>
          <w:rFonts w:ascii="Arial" w:cs="Arial" w:eastAsia="Arial" w:hAnsi="Arial"/>
          <w:sz w:val="16"/>
          <w:szCs w:val="16"/>
          <w:b w:val="1"/>
          <w:bCs w:val="1"/>
          <w:color w:val="auto"/>
        </w:rPr>
        <w:t xml:space="preserve">$0.33 </w:t>
      </w:r>
      <w:r>
        <w:rPr>
          <w:rFonts w:ascii="Arial" w:cs="Arial" w:eastAsia="Arial" w:hAnsi="Arial"/>
          <w:sz w:val="16"/>
          <w:szCs w:val="16"/>
          <w:color w:val="auto"/>
        </w:rPr>
        <w:t>diluted earnings per share (“Diluted EPS”) for the quarter and</w:t>
      </w:r>
      <w:r>
        <w:rPr>
          <w:rFonts w:ascii="Arial" w:cs="Arial" w:eastAsia="Arial" w:hAnsi="Arial"/>
          <w:sz w:val="16"/>
          <w:szCs w:val="16"/>
          <w:b w:val="1"/>
          <w:bCs w:val="1"/>
          <w:color w:val="auto"/>
        </w:rPr>
        <w:t xml:space="preserve"> $0.47 </w:t>
      </w:r>
      <w:r>
        <w:rPr>
          <w:rFonts w:ascii="Arial" w:cs="Arial" w:eastAsia="Arial" w:hAnsi="Arial"/>
          <w:sz w:val="16"/>
          <w:szCs w:val="16"/>
          <w:color w:val="auto"/>
        </w:rPr>
        <w:t>adjusted diluted earnings per share</w:t>
      </w:r>
    </w:p>
    <w:p>
      <w:pPr>
        <w:spacing w:after="0" w:line="48" w:lineRule="exact"/>
        <w:rPr>
          <w:sz w:val="20"/>
          <w:szCs w:val="20"/>
          <w:color w:val="auto"/>
        </w:rPr>
      </w:pPr>
    </w:p>
    <w:p>
      <w:pPr>
        <w:ind w:left="20" w:right="640"/>
        <w:spacing w:after="0" w:line="304" w:lineRule="auto"/>
        <w:rPr>
          <w:sz w:val="20"/>
          <w:szCs w:val="20"/>
          <w:color w:val="auto"/>
        </w:rPr>
      </w:pPr>
      <w:r>
        <w:rPr>
          <w:rFonts w:ascii="Arial" w:cs="Arial" w:eastAsia="Arial" w:hAnsi="Arial"/>
          <w:sz w:val="16"/>
          <w:szCs w:val="16"/>
          <w:b w:val="1"/>
          <w:bCs w:val="1"/>
          <w:color w:val="auto"/>
        </w:rPr>
        <w:t xml:space="preserve">$0.08 </w:t>
      </w:r>
      <w:r>
        <w:rPr>
          <w:rFonts w:ascii="Arial" w:cs="Arial" w:eastAsia="Arial" w:hAnsi="Arial"/>
          <w:sz w:val="16"/>
          <w:szCs w:val="16"/>
          <w:color w:val="auto"/>
        </w:rPr>
        <w:t>per share quarterly cash dividend declared;</w:t>
      </w:r>
      <w:r>
        <w:rPr>
          <w:rFonts w:ascii="Arial" w:cs="Arial" w:eastAsia="Arial" w:hAnsi="Arial"/>
          <w:sz w:val="16"/>
          <w:szCs w:val="16"/>
          <w:b w:val="1"/>
          <w:bCs w:val="1"/>
          <w:color w:val="auto"/>
        </w:rPr>
        <w:t xml:space="preserve"> $9.0 million </w:t>
      </w:r>
      <w:r>
        <w:rPr>
          <w:rFonts w:ascii="Arial" w:cs="Arial" w:eastAsia="Arial" w:hAnsi="Arial"/>
          <w:sz w:val="16"/>
          <w:szCs w:val="16"/>
          <w:color w:val="auto"/>
        </w:rPr>
        <w:t>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repurchased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Lee Olesky, Chairman and CEO, Tradeweb Markets: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"Tradeweb delivered another quarter of robust year-over-year</w:t>
      </w:r>
    </w:p>
    <w:p>
      <w:pPr>
        <w:spacing w:after="0" w:line="8" w:lineRule="exact"/>
        <w:rPr>
          <w:sz w:val="20"/>
          <w:szCs w:val="20"/>
          <w:color w:val="auto"/>
        </w:rPr>
      </w:pPr>
    </w:p>
    <w:p>
      <w:pPr>
        <w:ind w:right="480"/>
        <w:spacing w:after="0" w:line="220" w:lineRule="auto"/>
        <w:rPr>
          <w:sz w:val="20"/>
          <w:szCs w:val="20"/>
          <w:color w:val="auto"/>
        </w:rPr>
      </w:pPr>
      <w:r>
        <w:rPr>
          <w:rFonts w:ascii="Arial" w:cs="Arial" w:eastAsia="Arial" w:hAnsi="Arial"/>
          <w:sz w:val="16"/>
          <w:szCs w:val="16"/>
          <w:color w:val="auto"/>
        </w:rPr>
        <w:t>revenue growth thanks to strong contributions from multiple asset classes, showcasing our differentiated and diversified</w:t>
      </w:r>
    </w:p>
    <w:p>
      <w:pPr>
        <w:ind w:right="120"/>
        <w:spacing w:after="0" w:line="228" w:lineRule="auto"/>
        <w:rPr>
          <w:sz w:val="20"/>
          <w:szCs w:val="20"/>
          <w:color w:val="auto"/>
        </w:rPr>
      </w:pPr>
      <w:r>
        <w:rPr>
          <w:rFonts w:ascii="Arial" w:cs="Arial" w:eastAsia="Arial" w:hAnsi="Arial"/>
          <w:sz w:val="16"/>
          <w:szCs w:val="16"/>
          <w:color w:val="auto"/>
        </w:rPr>
        <w:t>business model. While complex macroeconomic conditions and continued rates volatility made for challenging global markets, we saw increased adoption and engagement with a range of trading protocols. Institutional and wholesale clients continued to</w:t>
      </w:r>
    </w:p>
    <w:p>
      <w:pPr>
        <w:spacing w:after="0" w:line="3" w:lineRule="exact"/>
        <w:rPr>
          <w:sz w:val="20"/>
          <w:szCs w:val="20"/>
          <w:color w:val="auto"/>
        </w:rPr>
      </w:pPr>
    </w:p>
    <w:p>
      <w:pPr>
        <w:ind w:right="200"/>
        <w:spacing w:after="0" w:line="235" w:lineRule="auto"/>
        <w:rPr>
          <w:sz w:val="20"/>
          <w:szCs w:val="20"/>
          <w:color w:val="auto"/>
        </w:rPr>
      </w:pPr>
      <w:r>
        <w:rPr>
          <w:rFonts w:ascii="Arial" w:cs="Arial" w:eastAsia="Arial" w:hAnsi="Arial"/>
          <w:sz w:val="16"/>
          <w:szCs w:val="16"/>
          <w:color w:val="auto"/>
        </w:rPr>
        <w:t>be active this quarter, and a surge in retail trading volumes was led by municipal bonds and U.S. Treasuries.</w:t>
      </w:r>
    </w:p>
    <w:p>
      <w:pPr>
        <w:spacing w:after="0" w:line="15" w:lineRule="exact"/>
        <w:rPr>
          <w:sz w:val="20"/>
          <w:szCs w:val="20"/>
          <w:color w:val="auto"/>
        </w:rPr>
      </w:pPr>
    </w:p>
    <w:p>
      <w:pPr>
        <w:ind w:right="200"/>
        <w:spacing w:after="0" w:line="234" w:lineRule="auto"/>
        <w:rPr>
          <w:sz w:val="20"/>
          <w:szCs w:val="20"/>
          <w:color w:val="auto"/>
        </w:rPr>
      </w:pPr>
      <w:r>
        <w:rPr>
          <w:rFonts w:ascii="Arial" w:cs="Arial" w:eastAsia="Arial" w:hAnsi="Arial"/>
          <w:sz w:val="16"/>
          <w:szCs w:val="16"/>
          <w:color w:val="auto"/>
        </w:rPr>
        <w:t>In June we launched the Spotlight Dealer Diversity Program, developed with input from the dealer and buy-side communities to promote diverse dealers on the Tradeweb platform. More recently, we were delighted to announce that Thomas Pluta will</w:t>
      </w:r>
    </w:p>
    <w:p>
      <w:pPr>
        <w:ind w:right="300"/>
        <w:spacing w:after="0" w:line="220" w:lineRule="auto"/>
        <w:rPr>
          <w:sz w:val="20"/>
          <w:szCs w:val="20"/>
          <w:color w:val="auto"/>
        </w:rPr>
      </w:pPr>
      <w:r>
        <w:rPr>
          <w:rFonts w:ascii="Arial" w:cs="Arial" w:eastAsia="Arial" w:hAnsi="Arial"/>
          <w:sz w:val="16"/>
          <w:szCs w:val="16"/>
          <w:color w:val="auto"/>
        </w:rPr>
        <w:t>succeed Billy Hult as President of Tradeweb when Billy succeeds me as CEO on January 1, 2023. We remain sharply</w:t>
      </w:r>
    </w:p>
    <w:p>
      <w:pPr>
        <w:jc w:val="both"/>
        <w:ind w:right="660"/>
        <w:spacing w:after="0" w:line="248" w:lineRule="auto"/>
        <w:rPr>
          <w:sz w:val="20"/>
          <w:szCs w:val="20"/>
          <w:color w:val="auto"/>
        </w:rPr>
      </w:pPr>
      <w:r>
        <w:rPr>
          <w:rFonts w:ascii="Arial" w:cs="Arial" w:eastAsia="Arial" w:hAnsi="Arial"/>
          <w:sz w:val="16"/>
          <w:szCs w:val="16"/>
          <w:color w:val="auto"/>
        </w:rPr>
        <w:t>focused on collaborating with clients through challenging markets and positioning Tradeweb for continued growth.”</w:t>
      </w:r>
    </w:p>
    <w:p>
      <w:pPr>
        <w:spacing w:after="0" w:line="200" w:lineRule="exact"/>
        <w:rPr>
          <w:sz w:val="20"/>
          <w:szCs w:val="20"/>
          <w:color w:val="auto"/>
        </w:rPr>
      </w:pPr>
    </w:p>
    <w:p>
      <w:pPr>
        <w:sectPr>
          <w:pgSz w:w="11900" w:h="16838" w:orient="portrait"/>
          <w:cols w:equalWidth="0" w:num="2">
            <w:col w:w="5860" w:space="240"/>
            <w:col w:w="4740"/>
          </w:cols>
          <w:pgMar w:left="320" w:top="274" w:right="7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760" w:type="dxa"/>
            <w:vAlign w:val="bottom"/>
            <w:shd w:val="clear" w:color="auto" w:fill="083566"/>
          </w:tcPr>
          <w:p>
            <w:pPr>
              <w:spacing w:after="0"/>
              <w:rPr>
                <w:sz w:val="17"/>
                <w:szCs w:val="17"/>
                <w:color w:val="auto"/>
              </w:rPr>
            </w:pPr>
          </w:p>
        </w:tc>
        <w:tc>
          <w:tcPr>
            <w:tcW w:w="260" w:type="dxa"/>
            <w:vAlign w:val="bottom"/>
            <w:shd w:val="clear" w:color="auto" w:fill="083566"/>
          </w:tcPr>
          <w:p>
            <w:pPr>
              <w:spacing w:after="0"/>
              <w:rPr>
                <w:sz w:val="17"/>
                <w:szCs w:val="17"/>
                <w:color w:val="auto"/>
              </w:rPr>
            </w:pPr>
          </w:p>
        </w:tc>
        <w:tc>
          <w:tcPr>
            <w:tcW w:w="780" w:type="dxa"/>
            <w:vAlign w:val="bottom"/>
            <w:shd w:val="clear" w:color="auto" w:fill="083566"/>
          </w:tcPr>
          <w:p>
            <w:pPr>
              <w:spacing w:after="0"/>
              <w:rPr>
                <w:sz w:val="17"/>
                <w:szCs w:val="17"/>
                <w:color w:val="auto"/>
              </w:rPr>
            </w:pPr>
          </w:p>
        </w:tc>
        <w:tc>
          <w:tcPr>
            <w:tcW w:w="300" w:type="dxa"/>
            <w:vAlign w:val="bottom"/>
            <w:shd w:val="clear" w:color="auto" w:fill="083566"/>
          </w:tcPr>
          <w:p>
            <w:pPr>
              <w:spacing w:after="0"/>
              <w:rPr>
                <w:sz w:val="17"/>
                <w:szCs w:val="17"/>
                <w:color w:val="auto"/>
              </w:rPr>
            </w:pPr>
          </w:p>
        </w:tc>
        <w:tc>
          <w:tcPr>
            <w:tcW w:w="880" w:type="dxa"/>
            <w:vAlign w:val="bottom"/>
            <w:shd w:val="clear" w:color="auto" w:fill="083566"/>
          </w:tcPr>
          <w:p>
            <w:pPr>
              <w:spacing w:after="0"/>
              <w:rPr>
                <w:sz w:val="17"/>
                <w:szCs w:val="17"/>
                <w:color w:val="auto"/>
              </w:rPr>
            </w:pPr>
          </w:p>
        </w:tc>
        <w:tc>
          <w:tcPr>
            <w:tcW w:w="940" w:type="dxa"/>
            <w:vAlign w:val="bottom"/>
            <w:shd w:val="clear" w:color="auto" w:fill="083566"/>
          </w:tcPr>
          <w:p>
            <w:pPr>
              <w:spacing w:after="0"/>
              <w:rPr>
                <w:sz w:val="17"/>
                <w:szCs w:val="17"/>
                <w:color w:val="auto"/>
              </w:rPr>
            </w:pPr>
          </w:p>
        </w:tc>
        <w:tc>
          <w:tcPr>
            <w:tcW w:w="1000" w:type="dxa"/>
            <w:vAlign w:val="bottom"/>
            <w:gridSpan w:val="2"/>
            <w:shd w:val="clear" w:color="auto" w:fill="083566"/>
          </w:tcPr>
          <w:p>
            <w:pPr>
              <w:ind w:left="160"/>
              <w:spacing w:after="0"/>
              <w:rPr>
                <w:sz w:val="20"/>
                <w:szCs w:val="20"/>
                <w:color w:val="auto"/>
              </w:rPr>
            </w:pPr>
            <w:r>
              <w:rPr>
                <w:rFonts w:ascii="Arial" w:cs="Arial" w:eastAsia="Arial" w:hAnsi="Arial"/>
                <w:sz w:val="16"/>
                <w:szCs w:val="16"/>
                <w:b w:val="1"/>
                <w:bCs w:val="1"/>
                <w:color w:val="FFFFFF"/>
              </w:rPr>
              <w:t>Constant</w:t>
            </w:r>
          </w:p>
        </w:tc>
        <w:tc>
          <w:tcPr>
            <w:tcW w:w="80" w:type="dxa"/>
            <w:vAlign w:val="bottom"/>
          </w:tcPr>
          <w:p>
            <w:pPr>
              <w:spacing w:after="0"/>
              <w:rPr>
                <w:sz w:val="17"/>
                <w:szCs w:val="17"/>
                <w:color w:val="auto"/>
              </w:rPr>
            </w:pPr>
          </w:p>
        </w:tc>
        <w:tc>
          <w:tcPr>
            <w:tcW w:w="1180" w:type="dxa"/>
            <w:vAlign w:val="bottom"/>
            <w:shd w:val="clear" w:color="auto" w:fill="083566"/>
          </w:tcPr>
          <w:p>
            <w:pPr>
              <w:spacing w:after="0"/>
              <w:rPr>
                <w:sz w:val="17"/>
                <w:szCs w:val="17"/>
                <w:color w:val="auto"/>
              </w:rPr>
            </w:pPr>
          </w:p>
        </w:tc>
        <w:tc>
          <w:tcPr>
            <w:tcW w:w="1000" w:type="dxa"/>
            <w:vAlign w:val="bottom"/>
            <w:shd w:val="clear" w:color="auto" w:fill="083566"/>
          </w:tcPr>
          <w:p>
            <w:pPr>
              <w:spacing w:after="0"/>
              <w:rPr>
                <w:sz w:val="17"/>
                <w:szCs w:val="17"/>
                <w:color w:val="auto"/>
              </w:rPr>
            </w:pPr>
          </w:p>
        </w:tc>
        <w:tc>
          <w:tcPr>
            <w:tcW w:w="220" w:type="dxa"/>
            <w:vAlign w:val="bottom"/>
            <w:shd w:val="clear" w:color="auto" w:fill="083566"/>
          </w:tcPr>
          <w:p>
            <w:pPr>
              <w:spacing w:after="0"/>
              <w:rPr>
                <w:sz w:val="17"/>
                <w:szCs w:val="17"/>
                <w:color w:val="auto"/>
              </w:rPr>
            </w:pPr>
          </w:p>
        </w:tc>
        <w:tc>
          <w:tcPr>
            <w:tcW w:w="580" w:type="dxa"/>
            <w:vAlign w:val="bottom"/>
            <w:shd w:val="clear" w:color="auto" w:fill="083566"/>
          </w:tcPr>
          <w:p>
            <w:pPr>
              <w:spacing w:after="0"/>
              <w:rPr>
                <w:sz w:val="17"/>
                <w:szCs w:val="17"/>
                <w:color w:val="auto"/>
              </w:rPr>
            </w:pPr>
          </w:p>
        </w:tc>
        <w:tc>
          <w:tcPr>
            <w:tcW w:w="240" w:type="dxa"/>
            <w:vAlign w:val="bottom"/>
            <w:shd w:val="clear" w:color="auto" w:fill="083566"/>
          </w:tcPr>
          <w:p>
            <w:pPr>
              <w:spacing w:after="0"/>
              <w:rPr>
                <w:sz w:val="17"/>
                <w:szCs w:val="17"/>
                <w:color w:val="auto"/>
              </w:rPr>
            </w:pPr>
          </w:p>
        </w:tc>
        <w:tc>
          <w:tcPr>
            <w:tcW w:w="740" w:type="dxa"/>
            <w:vAlign w:val="bottom"/>
            <w:shd w:val="clear" w:color="auto" w:fill="083566"/>
          </w:tcPr>
          <w:p>
            <w:pPr>
              <w:spacing w:after="0"/>
              <w:rPr>
                <w:sz w:val="17"/>
                <w:szCs w:val="17"/>
                <w:color w:val="auto"/>
              </w:rPr>
            </w:pPr>
          </w:p>
        </w:tc>
        <w:tc>
          <w:tcPr>
            <w:tcW w:w="880" w:type="dxa"/>
            <w:vAlign w:val="bottom"/>
            <w:shd w:val="clear" w:color="auto" w:fill="08356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SELECT FINANCIAL</w:t>
            </w:r>
          </w:p>
        </w:tc>
        <w:tc>
          <w:tcPr>
            <w:tcW w:w="260" w:type="dxa"/>
            <w:vAlign w:val="bottom"/>
            <w:shd w:val="clear" w:color="auto" w:fill="083566"/>
          </w:tcPr>
          <w:p>
            <w:pPr>
              <w:spacing w:after="0"/>
              <w:rPr>
                <w:sz w:val="16"/>
                <w:szCs w:val="16"/>
                <w:color w:val="auto"/>
              </w:rPr>
            </w:pPr>
          </w:p>
        </w:tc>
        <w:tc>
          <w:tcPr>
            <w:tcW w:w="780" w:type="dxa"/>
            <w:vAlign w:val="bottom"/>
            <w:shd w:val="clear" w:color="auto" w:fill="083566"/>
          </w:tcPr>
          <w:p>
            <w:pPr>
              <w:spacing w:after="0"/>
              <w:rPr>
                <w:sz w:val="16"/>
                <w:szCs w:val="16"/>
                <w:color w:val="auto"/>
              </w:rPr>
            </w:pPr>
          </w:p>
        </w:tc>
        <w:tc>
          <w:tcPr>
            <w:tcW w:w="300" w:type="dxa"/>
            <w:vAlign w:val="bottom"/>
            <w:shd w:val="clear" w:color="auto" w:fill="083566"/>
          </w:tcPr>
          <w:p>
            <w:pPr>
              <w:spacing w:after="0"/>
              <w:rPr>
                <w:sz w:val="16"/>
                <w:szCs w:val="16"/>
                <w:color w:val="auto"/>
              </w:rPr>
            </w:pPr>
          </w:p>
        </w:tc>
        <w:tc>
          <w:tcPr>
            <w:tcW w:w="880" w:type="dxa"/>
            <w:vAlign w:val="bottom"/>
            <w:shd w:val="clear" w:color="auto" w:fill="083566"/>
          </w:tcPr>
          <w:p>
            <w:pPr>
              <w:spacing w:after="0"/>
              <w:rPr>
                <w:sz w:val="16"/>
                <w:szCs w:val="16"/>
                <w:color w:val="auto"/>
              </w:rPr>
            </w:pPr>
          </w:p>
        </w:tc>
        <w:tc>
          <w:tcPr>
            <w:tcW w:w="940" w:type="dxa"/>
            <w:vAlign w:val="bottom"/>
            <w:shd w:val="clear" w:color="auto" w:fill="083566"/>
          </w:tcPr>
          <w:p>
            <w:pPr>
              <w:spacing w:after="0"/>
              <w:rPr>
                <w:sz w:val="16"/>
                <w:szCs w:val="16"/>
                <w:color w:val="auto"/>
              </w:rPr>
            </w:pPr>
          </w:p>
        </w:tc>
        <w:tc>
          <w:tcPr>
            <w:tcW w:w="1000" w:type="dxa"/>
            <w:vAlign w:val="bottom"/>
            <w:gridSpan w:val="2"/>
            <w:shd w:val="clear" w:color="auto" w:fill="083566"/>
          </w:tcPr>
          <w:p>
            <w:pPr>
              <w:ind w:left="160"/>
              <w:spacing w:after="0"/>
              <w:rPr>
                <w:sz w:val="20"/>
                <w:szCs w:val="20"/>
                <w:color w:val="auto"/>
              </w:rPr>
            </w:pPr>
            <w:r>
              <w:rPr>
                <w:rFonts w:ascii="Arial" w:cs="Arial" w:eastAsia="Arial" w:hAnsi="Arial"/>
                <w:sz w:val="16"/>
                <w:szCs w:val="16"/>
                <w:b w:val="1"/>
                <w:bCs w:val="1"/>
                <w:color w:val="FFFFFF"/>
              </w:rPr>
              <w:t>Currency</w:t>
            </w:r>
          </w:p>
        </w:tc>
        <w:tc>
          <w:tcPr>
            <w:tcW w:w="80" w:type="dxa"/>
            <w:vAlign w:val="bottom"/>
          </w:tcPr>
          <w:p>
            <w:pPr>
              <w:spacing w:after="0"/>
              <w:rPr>
                <w:sz w:val="16"/>
                <w:szCs w:val="16"/>
                <w:color w:val="auto"/>
              </w:rPr>
            </w:pPr>
          </w:p>
        </w:tc>
        <w:tc>
          <w:tcPr>
            <w:tcW w:w="118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 xml:space="preserve">ADV </w:t>
            </w:r>
            <w:r>
              <w:rPr>
                <w:rFonts w:ascii="Arial" w:cs="Arial" w:eastAsia="Arial" w:hAnsi="Arial"/>
                <w:sz w:val="16"/>
                <w:szCs w:val="16"/>
                <w:color w:val="FFFFFF"/>
              </w:rPr>
              <w:t>(US $bn)</w:t>
            </w:r>
          </w:p>
        </w:tc>
        <w:tc>
          <w:tcPr>
            <w:tcW w:w="1000" w:type="dxa"/>
            <w:vAlign w:val="bottom"/>
            <w:shd w:val="clear" w:color="auto" w:fill="083566"/>
          </w:tcPr>
          <w:p>
            <w:pPr>
              <w:spacing w:after="0"/>
              <w:rPr>
                <w:sz w:val="16"/>
                <w:szCs w:val="16"/>
                <w:color w:val="auto"/>
              </w:rPr>
            </w:pPr>
          </w:p>
        </w:tc>
        <w:tc>
          <w:tcPr>
            <w:tcW w:w="220" w:type="dxa"/>
            <w:vAlign w:val="bottom"/>
            <w:shd w:val="clear" w:color="auto" w:fill="083566"/>
          </w:tcPr>
          <w:p>
            <w:pPr>
              <w:spacing w:after="0"/>
              <w:rPr>
                <w:sz w:val="16"/>
                <w:szCs w:val="16"/>
                <w:color w:val="auto"/>
              </w:rPr>
            </w:pPr>
          </w:p>
        </w:tc>
        <w:tc>
          <w:tcPr>
            <w:tcW w:w="580" w:type="dxa"/>
            <w:vAlign w:val="bottom"/>
            <w:shd w:val="clear" w:color="auto" w:fill="083566"/>
          </w:tcPr>
          <w:p>
            <w:pPr>
              <w:spacing w:after="0"/>
              <w:rPr>
                <w:sz w:val="16"/>
                <w:szCs w:val="16"/>
                <w:color w:val="auto"/>
              </w:rPr>
            </w:pPr>
          </w:p>
        </w:tc>
        <w:tc>
          <w:tcPr>
            <w:tcW w:w="240" w:type="dxa"/>
            <w:vAlign w:val="bottom"/>
            <w:shd w:val="clear" w:color="auto" w:fill="083566"/>
          </w:tcPr>
          <w:p>
            <w:pPr>
              <w:spacing w:after="0"/>
              <w:rPr>
                <w:sz w:val="16"/>
                <w:szCs w:val="16"/>
                <w:color w:val="auto"/>
              </w:rPr>
            </w:pPr>
          </w:p>
        </w:tc>
        <w:tc>
          <w:tcPr>
            <w:tcW w:w="740" w:type="dxa"/>
            <w:vAlign w:val="bottom"/>
            <w:shd w:val="clear" w:color="auto" w:fill="083566"/>
          </w:tcPr>
          <w:p>
            <w:pPr>
              <w:spacing w:after="0"/>
              <w:rPr>
                <w:sz w:val="16"/>
                <w:szCs w:val="16"/>
                <w:color w:val="auto"/>
              </w:rPr>
            </w:pPr>
          </w:p>
        </w:tc>
        <w:tc>
          <w:tcPr>
            <w:tcW w:w="880" w:type="dxa"/>
            <w:vAlign w:val="bottom"/>
            <w:shd w:val="clear" w:color="auto" w:fill="083566"/>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76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RESULTS</w:t>
            </w:r>
          </w:p>
        </w:tc>
        <w:tc>
          <w:tcPr>
            <w:tcW w:w="260" w:type="dxa"/>
            <w:vAlign w:val="bottom"/>
            <w:shd w:val="clear" w:color="auto" w:fill="083566"/>
          </w:tcPr>
          <w:p>
            <w:pPr>
              <w:spacing w:after="0"/>
              <w:rPr>
                <w:sz w:val="22"/>
                <w:szCs w:val="22"/>
                <w:color w:val="auto"/>
              </w:rPr>
            </w:pPr>
          </w:p>
        </w:tc>
        <w:tc>
          <w:tcPr>
            <w:tcW w:w="780" w:type="dxa"/>
            <w:vAlign w:val="bottom"/>
            <w:shd w:val="clear" w:color="auto" w:fill="083566"/>
          </w:tcPr>
          <w:p>
            <w:pPr>
              <w:jc w:val="right"/>
              <w:ind w:right="179"/>
              <w:spacing w:after="0"/>
              <w:rPr>
                <w:sz w:val="20"/>
                <w:szCs w:val="20"/>
                <w:color w:val="auto"/>
              </w:rPr>
            </w:pPr>
            <w:r>
              <w:rPr>
                <w:rFonts w:ascii="Arial" w:cs="Arial" w:eastAsia="Arial" w:hAnsi="Arial"/>
                <w:sz w:val="16"/>
                <w:szCs w:val="16"/>
                <w:b w:val="1"/>
                <w:bCs w:val="1"/>
                <w:color w:val="FFFFFF"/>
              </w:rPr>
              <w:t>2Q22</w:t>
            </w:r>
          </w:p>
        </w:tc>
        <w:tc>
          <w:tcPr>
            <w:tcW w:w="300" w:type="dxa"/>
            <w:vAlign w:val="bottom"/>
            <w:shd w:val="clear" w:color="auto" w:fill="083566"/>
          </w:tcPr>
          <w:p>
            <w:pPr>
              <w:spacing w:after="0"/>
              <w:rPr>
                <w:sz w:val="22"/>
                <w:szCs w:val="22"/>
                <w:color w:val="auto"/>
              </w:rPr>
            </w:pPr>
          </w:p>
        </w:tc>
        <w:tc>
          <w:tcPr>
            <w:tcW w:w="880" w:type="dxa"/>
            <w:vAlign w:val="bottom"/>
            <w:shd w:val="clear" w:color="auto" w:fill="083566"/>
          </w:tcPr>
          <w:p>
            <w:pPr>
              <w:jc w:val="right"/>
              <w:ind w:right="259"/>
              <w:spacing w:after="0"/>
              <w:rPr>
                <w:sz w:val="20"/>
                <w:szCs w:val="20"/>
                <w:color w:val="auto"/>
              </w:rPr>
            </w:pPr>
            <w:r>
              <w:rPr>
                <w:rFonts w:ascii="Arial" w:cs="Arial" w:eastAsia="Arial" w:hAnsi="Arial"/>
                <w:sz w:val="16"/>
                <w:szCs w:val="16"/>
                <w:b w:val="1"/>
                <w:bCs w:val="1"/>
                <w:color w:val="FFFFFF"/>
              </w:rPr>
              <w:t>2Q21</w:t>
            </w:r>
          </w:p>
        </w:tc>
        <w:tc>
          <w:tcPr>
            <w:tcW w:w="940" w:type="dxa"/>
            <w:vAlign w:val="bottom"/>
            <w:shd w:val="clear" w:color="auto" w:fill="083566"/>
          </w:tcPr>
          <w:p>
            <w:pPr>
              <w:jc w:val="right"/>
              <w:ind w:right="79"/>
              <w:spacing w:after="0"/>
              <w:rPr>
                <w:sz w:val="20"/>
                <w:szCs w:val="20"/>
                <w:color w:val="auto"/>
              </w:rPr>
            </w:pPr>
            <w:r>
              <w:rPr>
                <w:rFonts w:ascii="Arial" w:cs="Arial" w:eastAsia="Arial" w:hAnsi="Arial"/>
                <w:sz w:val="16"/>
                <w:szCs w:val="16"/>
                <w:b w:val="1"/>
                <w:bCs w:val="1"/>
                <w:color w:val="FFFFFF"/>
              </w:rPr>
              <w:t>Change</w:t>
            </w:r>
          </w:p>
        </w:tc>
        <w:tc>
          <w:tcPr>
            <w:tcW w:w="1000" w:type="dxa"/>
            <w:vAlign w:val="bottom"/>
            <w:gridSpan w:val="2"/>
            <w:shd w:val="clear" w:color="auto" w:fill="083566"/>
          </w:tcPr>
          <w:p>
            <w:pPr>
              <w:ind w:left="140"/>
              <w:spacing w:after="0"/>
              <w:rPr>
                <w:sz w:val="20"/>
                <w:szCs w:val="20"/>
                <w:color w:val="auto"/>
              </w:rPr>
            </w:pPr>
            <w:r>
              <w:rPr>
                <w:rFonts w:ascii="Arial" w:cs="Arial" w:eastAsia="Arial" w:hAnsi="Arial"/>
                <w:sz w:val="16"/>
                <w:szCs w:val="16"/>
                <w:b w:val="1"/>
                <w:bCs w:val="1"/>
                <w:color w:val="FFFFFF"/>
              </w:rPr>
              <w:t xml:space="preserve">Growth </w:t>
            </w:r>
            <w:r>
              <w:rPr>
                <w:rFonts w:ascii="Arial" w:cs="Arial" w:eastAsia="Arial" w:hAnsi="Arial"/>
                <w:sz w:val="21"/>
                <w:szCs w:val="21"/>
                <w:b w:val="1"/>
                <w:bCs w:val="1"/>
                <w:color w:val="FFFFFF"/>
                <w:vertAlign w:val="superscript"/>
              </w:rPr>
              <w:t>(1)</w:t>
            </w:r>
          </w:p>
        </w:tc>
        <w:tc>
          <w:tcPr>
            <w:tcW w:w="80" w:type="dxa"/>
            <w:vAlign w:val="bottom"/>
          </w:tcPr>
          <w:p>
            <w:pPr>
              <w:spacing w:after="0"/>
              <w:rPr>
                <w:sz w:val="22"/>
                <w:szCs w:val="22"/>
                <w:color w:val="auto"/>
              </w:rPr>
            </w:pPr>
          </w:p>
        </w:tc>
        <w:tc>
          <w:tcPr>
            <w:tcW w:w="1180" w:type="dxa"/>
            <w:vAlign w:val="bottom"/>
            <w:shd w:val="clear" w:color="auto" w:fill="083566"/>
          </w:tcPr>
          <w:p>
            <w:pPr>
              <w:ind w:left="20"/>
              <w:spacing w:after="0"/>
              <w:rPr>
                <w:sz w:val="20"/>
                <w:szCs w:val="20"/>
                <w:color w:val="auto"/>
              </w:rPr>
            </w:pPr>
            <w:r>
              <w:rPr>
                <w:rFonts w:ascii="Arial" w:cs="Arial" w:eastAsia="Arial" w:hAnsi="Arial"/>
                <w:sz w:val="16"/>
                <w:szCs w:val="16"/>
                <w:color w:val="FFFFFF"/>
              </w:rPr>
              <w:t>(Unaudited)</w:t>
            </w:r>
          </w:p>
        </w:tc>
        <w:tc>
          <w:tcPr>
            <w:tcW w:w="1000" w:type="dxa"/>
            <w:vAlign w:val="bottom"/>
            <w:shd w:val="clear" w:color="auto" w:fill="083566"/>
          </w:tcPr>
          <w:p>
            <w:pPr>
              <w:spacing w:after="0"/>
              <w:rPr>
                <w:sz w:val="22"/>
                <w:szCs w:val="22"/>
                <w:color w:val="auto"/>
              </w:rPr>
            </w:pPr>
          </w:p>
        </w:tc>
        <w:tc>
          <w:tcPr>
            <w:tcW w:w="220" w:type="dxa"/>
            <w:vAlign w:val="bottom"/>
            <w:shd w:val="clear" w:color="auto" w:fill="083566"/>
          </w:tcPr>
          <w:p>
            <w:pPr>
              <w:spacing w:after="0"/>
              <w:rPr>
                <w:sz w:val="22"/>
                <w:szCs w:val="22"/>
                <w:color w:val="auto"/>
              </w:rPr>
            </w:pPr>
          </w:p>
        </w:tc>
        <w:tc>
          <w:tcPr>
            <w:tcW w:w="580" w:type="dxa"/>
            <w:vAlign w:val="bottom"/>
            <w:shd w:val="clear" w:color="auto" w:fill="083566"/>
          </w:tcPr>
          <w:p>
            <w:pPr>
              <w:spacing w:after="0"/>
              <w:rPr>
                <w:sz w:val="22"/>
                <w:szCs w:val="22"/>
                <w:color w:val="auto"/>
              </w:rPr>
            </w:pPr>
          </w:p>
        </w:tc>
        <w:tc>
          <w:tcPr>
            <w:tcW w:w="240" w:type="dxa"/>
            <w:vAlign w:val="bottom"/>
            <w:shd w:val="clear" w:color="auto" w:fill="083566"/>
          </w:tcPr>
          <w:p>
            <w:pPr>
              <w:spacing w:after="0"/>
              <w:rPr>
                <w:sz w:val="22"/>
                <w:szCs w:val="22"/>
                <w:color w:val="auto"/>
              </w:rPr>
            </w:pPr>
          </w:p>
        </w:tc>
        <w:tc>
          <w:tcPr>
            <w:tcW w:w="740" w:type="dxa"/>
            <w:vAlign w:val="bottom"/>
            <w:shd w:val="clear" w:color="auto" w:fill="083566"/>
          </w:tcPr>
          <w:p>
            <w:pPr>
              <w:spacing w:after="0"/>
              <w:rPr>
                <w:sz w:val="22"/>
                <w:szCs w:val="22"/>
                <w:color w:val="auto"/>
              </w:rPr>
            </w:pPr>
          </w:p>
        </w:tc>
        <w:tc>
          <w:tcPr>
            <w:tcW w:w="880" w:type="dxa"/>
            <w:vAlign w:val="bottom"/>
            <w:shd w:val="clear" w:color="auto" w:fill="083566"/>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920" w:type="dxa"/>
            <w:vAlign w:val="bottom"/>
            <w:gridSpan w:val="6"/>
            <w:shd w:val="clear" w:color="auto" w:fill="083566"/>
          </w:tcPr>
          <w:p>
            <w:pPr>
              <w:ind w:left="20"/>
              <w:spacing w:after="0"/>
              <w:rPr>
                <w:sz w:val="20"/>
                <w:szCs w:val="20"/>
                <w:color w:val="auto"/>
              </w:rPr>
            </w:pPr>
            <w:r>
              <w:rPr>
                <w:rFonts w:ascii="Arial" w:cs="Arial" w:eastAsia="Arial" w:hAnsi="Arial"/>
                <w:sz w:val="16"/>
                <w:szCs w:val="16"/>
                <w:color w:val="FFFFFF"/>
              </w:rPr>
              <w:t>(dollars in thousands except per share amounts)(Unaudited)</w:t>
            </w:r>
          </w:p>
        </w:tc>
        <w:tc>
          <w:tcPr>
            <w:tcW w:w="600" w:type="dxa"/>
            <w:vAlign w:val="bottom"/>
            <w:shd w:val="clear" w:color="auto" w:fill="083566"/>
          </w:tcPr>
          <w:p>
            <w:pPr>
              <w:spacing w:after="0"/>
              <w:rPr>
                <w:sz w:val="20"/>
                <w:szCs w:val="20"/>
                <w:color w:val="auto"/>
              </w:rPr>
            </w:pPr>
          </w:p>
        </w:tc>
        <w:tc>
          <w:tcPr>
            <w:tcW w:w="400" w:type="dxa"/>
            <w:vAlign w:val="bottom"/>
            <w:shd w:val="clear" w:color="auto" w:fill="083566"/>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Asset Class</w:t>
            </w:r>
          </w:p>
        </w:tc>
        <w:tc>
          <w:tcPr>
            <w:tcW w:w="100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Product</w:t>
            </w:r>
          </w:p>
        </w:tc>
        <w:tc>
          <w:tcPr>
            <w:tcW w:w="220" w:type="dxa"/>
            <w:vAlign w:val="bottom"/>
            <w:shd w:val="clear" w:color="auto" w:fill="083566"/>
          </w:tcPr>
          <w:p>
            <w:pPr>
              <w:spacing w:after="0"/>
              <w:rPr>
                <w:sz w:val="20"/>
                <w:szCs w:val="20"/>
                <w:color w:val="auto"/>
              </w:rPr>
            </w:pPr>
          </w:p>
        </w:tc>
        <w:tc>
          <w:tcPr>
            <w:tcW w:w="580" w:type="dxa"/>
            <w:vAlign w:val="bottom"/>
            <w:shd w:val="clear" w:color="auto" w:fill="083566"/>
          </w:tcPr>
          <w:p>
            <w:pPr>
              <w:jc w:val="right"/>
              <w:spacing w:after="0"/>
              <w:rPr>
                <w:sz w:val="20"/>
                <w:szCs w:val="20"/>
                <w:color w:val="auto"/>
              </w:rPr>
            </w:pPr>
            <w:r>
              <w:rPr>
                <w:rFonts w:ascii="Arial" w:cs="Arial" w:eastAsia="Arial" w:hAnsi="Arial"/>
                <w:sz w:val="16"/>
                <w:szCs w:val="16"/>
                <w:b w:val="1"/>
                <w:bCs w:val="1"/>
                <w:color w:val="FFFFFF"/>
              </w:rPr>
              <w:t>2Q22</w:t>
            </w:r>
          </w:p>
        </w:tc>
        <w:tc>
          <w:tcPr>
            <w:tcW w:w="240" w:type="dxa"/>
            <w:vAlign w:val="bottom"/>
            <w:shd w:val="clear" w:color="auto" w:fill="083566"/>
          </w:tcPr>
          <w:p>
            <w:pPr>
              <w:spacing w:after="0"/>
              <w:rPr>
                <w:sz w:val="20"/>
                <w:szCs w:val="20"/>
                <w:color w:val="auto"/>
              </w:rPr>
            </w:pPr>
          </w:p>
        </w:tc>
        <w:tc>
          <w:tcPr>
            <w:tcW w:w="740" w:type="dxa"/>
            <w:vAlign w:val="bottom"/>
            <w:shd w:val="clear" w:color="auto" w:fill="083566"/>
          </w:tcPr>
          <w:p>
            <w:pPr>
              <w:jc w:val="right"/>
              <w:ind w:right="119"/>
              <w:spacing w:after="0"/>
              <w:rPr>
                <w:sz w:val="20"/>
                <w:szCs w:val="20"/>
                <w:color w:val="auto"/>
              </w:rPr>
            </w:pPr>
            <w:r>
              <w:rPr>
                <w:rFonts w:ascii="Arial" w:cs="Arial" w:eastAsia="Arial" w:hAnsi="Arial"/>
                <w:sz w:val="16"/>
                <w:szCs w:val="16"/>
                <w:b w:val="1"/>
                <w:bCs w:val="1"/>
                <w:color w:val="FFFFFF"/>
              </w:rPr>
              <w:t>2Q21</w:t>
            </w:r>
          </w:p>
        </w:tc>
        <w:tc>
          <w:tcPr>
            <w:tcW w:w="880" w:type="dxa"/>
            <w:vAlign w:val="bottom"/>
            <w:shd w:val="clear" w:color="auto" w:fill="083566"/>
          </w:tcPr>
          <w:p>
            <w:pPr>
              <w:jc w:val="right"/>
              <w:ind w:right="299"/>
              <w:spacing w:after="0"/>
              <w:rPr>
                <w:sz w:val="20"/>
                <w:szCs w:val="20"/>
                <w:color w:val="auto"/>
              </w:rPr>
            </w:pPr>
            <w:r>
              <w:rPr>
                <w:rFonts w:ascii="Arial" w:cs="Arial" w:eastAsia="Arial" w:hAnsi="Arial"/>
                <w:sz w:val="16"/>
                <w:szCs w:val="16"/>
                <w:b w:val="1"/>
                <w:bCs w:val="1"/>
                <w:color w:val="FFFFFF"/>
              </w:rPr>
              <w:t>YoY</w:t>
            </w:r>
          </w:p>
        </w:tc>
        <w:tc>
          <w:tcPr>
            <w:tcW w:w="0" w:type="dxa"/>
            <w:vAlign w:val="bottom"/>
          </w:tcPr>
          <w:p>
            <w:pPr>
              <w:spacing w:after="0"/>
              <w:rPr>
                <w:sz w:val="1"/>
                <w:szCs w:val="1"/>
                <w:color w:val="auto"/>
              </w:rPr>
            </w:pPr>
          </w:p>
        </w:tc>
      </w:tr>
      <w:tr>
        <w:trPr>
          <w:trHeight w:val="243"/>
        </w:trPr>
        <w:tc>
          <w:tcPr>
            <w:tcW w:w="20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GAAP Financial Measures</w:t>
            </w:r>
          </w:p>
        </w:tc>
        <w:tc>
          <w:tcPr>
            <w:tcW w:w="780" w:type="dxa"/>
            <w:vAlign w:val="bottom"/>
            <w:shd w:val="clear" w:color="auto" w:fill="D5DCE4"/>
          </w:tcPr>
          <w:p>
            <w:pPr>
              <w:spacing w:after="0"/>
              <w:rPr>
                <w:sz w:val="21"/>
                <w:szCs w:val="21"/>
                <w:color w:val="auto"/>
              </w:rPr>
            </w:pPr>
          </w:p>
        </w:tc>
        <w:tc>
          <w:tcPr>
            <w:tcW w:w="300" w:type="dxa"/>
            <w:vAlign w:val="bottom"/>
            <w:shd w:val="clear" w:color="auto" w:fill="D5DCE4"/>
          </w:tcPr>
          <w:p>
            <w:pPr>
              <w:spacing w:after="0"/>
              <w:rPr>
                <w:sz w:val="21"/>
                <w:szCs w:val="21"/>
                <w:color w:val="auto"/>
              </w:rPr>
            </w:pPr>
          </w:p>
        </w:tc>
        <w:tc>
          <w:tcPr>
            <w:tcW w:w="880" w:type="dxa"/>
            <w:vAlign w:val="bottom"/>
            <w:shd w:val="clear" w:color="auto" w:fill="D5DCE4"/>
          </w:tcPr>
          <w:p>
            <w:pPr>
              <w:spacing w:after="0"/>
              <w:rPr>
                <w:sz w:val="21"/>
                <w:szCs w:val="21"/>
                <w:color w:val="auto"/>
              </w:rPr>
            </w:pPr>
          </w:p>
        </w:tc>
        <w:tc>
          <w:tcPr>
            <w:tcW w:w="940" w:type="dxa"/>
            <w:vAlign w:val="bottom"/>
            <w:shd w:val="clear" w:color="auto" w:fill="D5DCE4"/>
          </w:tcPr>
          <w:p>
            <w:pPr>
              <w:spacing w:after="0"/>
              <w:rPr>
                <w:sz w:val="21"/>
                <w:szCs w:val="21"/>
                <w:color w:val="auto"/>
              </w:rPr>
            </w:pPr>
          </w:p>
        </w:tc>
        <w:tc>
          <w:tcPr>
            <w:tcW w:w="600" w:type="dxa"/>
            <w:vAlign w:val="bottom"/>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auto"/>
              </w:rPr>
              <w:t>Rates</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341</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319</w:t>
            </w:r>
          </w:p>
        </w:tc>
        <w:tc>
          <w:tcPr>
            <w:tcW w:w="880" w:type="dxa"/>
            <w:vAlign w:val="bottom"/>
          </w:tcPr>
          <w:p>
            <w:pPr>
              <w:jc w:val="right"/>
              <w:spacing w:after="0"/>
              <w:rPr>
                <w:sz w:val="20"/>
                <w:szCs w:val="20"/>
                <w:color w:val="auto"/>
              </w:rPr>
            </w:pPr>
            <w:r>
              <w:rPr>
                <w:rFonts w:ascii="Arial" w:cs="Arial" w:eastAsia="Arial" w:hAnsi="Arial"/>
                <w:sz w:val="16"/>
                <w:szCs w:val="16"/>
                <w:color w:val="auto"/>
              </w:rPr>
              <w:t>7.0 %</w:t>
            </w:r>
          </w:p>
        </w:tc>
        <w:tc>
          <w:tcPr>
            <w:tcW w:w="0" w:type="dxa"/>
            <w:vAlign w:val="bottom"/>
          </w:tcPr>
          <w:p>
            <w:pPr>
              <w:spacing w:after="0"/>
              <w:rPr>
                <w:sz w:val="1"/>
                <w:szCs w:val="1"/>
                <w:color w:val="auto"/>
              </w:rPr>
            </w:pPr>
          </w:p>
        </w:tc>
      </w:tr>
      <w:tr>
        <w:trPr>
          <w:trHeight w:val="235"/>
        </w:trPr>
        <w:tc>
          <w:tcPr>
            <w:tcW w:w="176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297,138</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260,840</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13.9 %</w:t>
            </w:r>
          </w:p>
        </w:tc>
        <w:tc>
          <w:tcPr>
            <w:tcW w:w="600" w:type="dxa"/>
            <w:vAlign w:val="bottom"/>
          </w:tcPr>
          <w:p>
            <w:pPr>
              <w:jc w:val="right"/>
              <w:spacing w:after="0"/>
              <w:rPr>
                <w:sz w:val="20"/>
                <w:szCs w:val="20"/>
                <w:color w:val="auto"/>
              </w:rPr>
            </w:pPr>
            <w:r>
              <w:rPr>
                <w:rFonts w:ascii="Arial" w:cs="Arial" w:eastAsia="Arial" w:hAnsi="Arial"/>
                <w:sz w:val="16"/>
                <w:szCs w:val="16"/>
                <w:color w:val="auto"/>
              </w:rPr>
              <w:t>17.8</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368</w:t>
            </w:r>
          </w:p>
        </w:tc>
        <w:tc>
          <w:tcPr>
            <w:tcW w:w="240" w:type="dxa"/>
            <w:vAlign w:val="bottom"/>
          </w:tcPr>
          <w:p>
            <w:pPr>
              <w:spacing w:after="0"/>
              <w:rPr>
                <w:sz w:val="20"/>
                <w:szCs w:val="20"/>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257</w:t>
            </w:r>
          </w:p>
        </w:tc>
        <w:tc>
          <w:tcPr>
            <w:tcW w:w="880" w:type="dxa"/>
            <w:vAlign w:val="bottom"/>
          </w:tcPr>
          <w:p>
            <w:pPr>
              <w:jc w:val="right"/>
              <w:spacing w:after="0"/>
              <w:rPr>
                <w:sz w:val="20"/>
                <w:szCs w:val="20"/>
                <w:color w:val="auto"/>
              </w:rPr>
            </w:pPr>
            <w:r>
              <w:rPr>
                <w:rFonts w:ascii="Arial" w:cs="Arial" w:eastAsia="Arial" w:hAnsi="Arial"/>
                <w:sz w:val="16"/>
                <w:szCs w:val="16"/>
                <w:color w:val="auto"/>
              </w:rPr>
              <w:t>43.2 %</w:t>
            </w:r>
          </w:p>
        </w:tc>
        <w:tc>
          <w:tcPr>
            <w:tcW w:w="0" w:type="dxa"/>
            <w:vAlign w:val="bottom"/>
          </w:tcPr>
          <w:p>
            <w:pPr>
              <w:spacing w:after="0"/>
              <w:rPr>
                <w:sz w:val="1"/>
                <w:szCs w:val="1"/>
                <w:color w:val="auto"/>
              </w:rPr>
            </w:pPr>
          </w:p>
        </w:tc>
      </w:tr>
      <w:tr>
        <w:trPr>
          <w:trHeight w:val="244"/>
        </w:trPr>
        <w:tc>
          <w:tcPr>
            <w:tcW w:w="1760" w:type="dxa"/>
            <w:vAlign w:val="bottom"/>
          </w:tcPr>
          <w:p>
            <w:pPr>
              <w:ind w:left="140"/>
              <w:spacing w:after="0"/>
              <w:rPr>
                <w:sz w:val="20"/>
                <w:szCs w:val="20"/>
                <w:color w:val="auto"/>
              </w:rPr>
            </w:pPr>
            <w:r>
              <w:rPr>
                <w:rFonts w:ascii="Arial" w:cs="Arial" w:eastAsia="Arial" w:hAnsi="Arial"/>
                <w:sz w:val="16"/>
                <w:szCs w:val="16"/>
                <w:color w:val="auto"/>
              </w:rPr>
              <w:t>Rates</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151,586</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134,003</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13.1 %</w:t>
            </w:r>
          </w:p>
        </w:tc>
        <w:tc>
          <w:tcPr>
            <w:tcW w:w="600" w:type="dxa"/>
            <w:vAlign w:val="bottom"/>
          </w:tcPr>
          <w:p>
            <w:pPr>
              <w:jc w:val="right"/>
              <w:spacing w:after="0"/>
              <w:rPr>
                <w:sz w:val="20"/>
                <w:szCs w:val="20"/>
                <w:color w:val="auto"/>
              </w:rPr>
            </w:pPr>
            <w:r>
              <w:rPr>
                <w:rFonts w:ascii="Arial" w:cs="Arial" w:eastAsia="Arial" w:hAnsi="Arial"/>
                <w:sz w:val="16"/>
                <w:szCs w:val="16"/>
                <w:color w:val="auto"/>
              </w:rPr>
              <w:t>17.6</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18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083566"/>
            </w:tcBorders>
            <w:shd w:val="clear" w:color="auto" w:fill="D5DCE4"/>
          </w:tcPr>
          <w:p>
            <w:pPr>
              <w:spacing w:after="0"/>
              <w:rPr>
                <w:sz w:val="21"/>
                <w:szCs w:val="21"/>
                <w:color w:val="auto"/>
              </w:rPr>
            </w:pPr>
          </w:p>
        </w:tc>
        <w:tc>
          <w:tcPr>
            <w:tcW w:w="5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709</w:t>
            </w:r>
          </w:p>
        </w:tc>
        <w:tc>
          <w:tcPr>
            <w:tcW w:w="240" w:type="dxa"/>
            <w:vAlign w:val="bottom"/>
            <w:tcBorders>
              <w:bottom w:val="single" w:sz="8" w:color="083566"/>
            </w:tcBorders>
            <w:shd w:val="clear" w:color="auto" w:fill="D5DCE4"/>
          </w:tcPr>
          <w:p>
            <w:pPr>
              <w:spacing w:after="0"/>
              <w:rPr>
                <w:sz w:val="21"/>
                <w:szCs w:val="21"/>
                <w:color w:val="auto"/>
              </w:rPr>
            </w:pPr>
          </w:p>
        </w:tc>
        <w:tc>
          <w:tcPr>
            <w:tcW w:w="740" w:type="dxa"/>
            <w:vAlign w:val="bottom"/>
            <w:tcBorders>
              <w:bottom w:val="single" w:sz="8" w:color="083566"/>
            </w:tcBorders>
            <w:shd w:val="clear" w:color="auto" w:fill="D5DCE4"/>
          </w:tcPr>
          <w:p>
            <w:pPr>
              <w:jc w:val="right"/>
              <w:ind w:right="179"/>
              <w:spacing w:after="0"/>
              <w:rPr>
                <w:sz w:val="20"/>
                <w:szCs w:val="20"/>
                <w:color w:val="auto"/>
              </w:rPr>
            </w:pPr>
            <w:r>
              <w:rPr>
                <w:rFonts w:ascii="Arial" w:cs="Arial" w:eastAsia="Arial" w:hAnsi="Arial"/>
                <w:sz w:val="16"/>
                <w:szCs w:val="16"/>
                <w:color w:val="auto"/>
              </w:rPr>
              <w:t>576</w:t>
            </w:r>
          </w:p>
        </w:tc>
        <w:tc>
          <w:tcPr>
            <w:tcW w:w="8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23.2 %</w:t>
            </w:r>
          </w:p>
        </w:tc>
        <w:tc>
          <w:tcPr>
            <w:tcW w:w="0" w:type="dxa"/>
            <w:vAlign w:val="bottom"/>
          </w:tcPr>
          <w:p>
            <w:pPr>
              <w:spacing w:after="0"/>
              <w:rPr>
                <w:sz w:val="1"/>
                <w:szCs w:val="1"/>
                <w:color w:val="auto"/>
              </w:rPr>
            </w:pPr>
          </w:p>
        </w:tc>
      </w:tr>
      <w:tr>
        <w:trPr>
          <w:trHeight w:val="228"/>
        </w:trPr>
        <w:tc>
          <w:tcPr>
            <w:tcW w:w="1760" w:type="dxa"/>
            <w:vAlign w:val="bottom"/>
          </w:tcPr>
          <w:p>
            <w:pPr>
              <w:ind w:left="140"/>
              <w:spacing w:after="0"/>
              <w:rPr>
                <w:sz w:val="20"/>
                <w:szCs w:val="20"/>
                <w:color w:val="auto"/>
              </w:rPr>
            </w:pPr>
            <w:r>
              <w:rPr>
                <w:rFonts w:ascii="Arial" w:cs="Arial" w:eastAsia="Arial" w:hAnsi="Arial"/>
                <w:sz w:val="16"/>
                <w:szCs w:val="16"/>
                <w:color w:val="auto"/>
              </w:rPr>
              <w:t>Credit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83,991</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72,212</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16.3 %</w:t>
            </w:r>
          </w:p>
        </w:tc>
        <w:tc>
          <w:tcPr>
            <w:tcW w:w="600" w:type="dxa"/>
            <w:vAlign w:val="bottom"/>
          </w:tcPr>
          <w:p>
            <w:pPr>
              <w:jc w:val="right"/>
              <w:spacing w:after="0"/>
              <w:rPr>
                <w:sz w:val="20"/>
                <w:szCs w:val="20"/>
                <w:color w:val="auto"/>
              </w:rPr>
            </w:pPr>
            <w:r>
              <w:rPr>
                <w:rFonts w:ascii="Arial" w:cs="Arial" w:eastAsia="Arial" w:hAnsi="Arial"/>
                <w:sz w:val="16"/>
                <w:szCs w:val="16"/>
                <w:color w:val="auto"/>
              </w:rPr>
              <w:t>19.4</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auto"/>
              </w:rPr>
              <w:t>Credit</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9"/>
                <w:szCs w:val="19"/>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10</w:t>
            </w:r>
          </w:p>
        </w:tc>
        <w:tc>
          <w:tcPr>
            <w:tcW w:w="880" w:type="dxa"/>
            <w:vAlign w:val="bottom"/>
          </w:tcPr>
          <w:p>
            <w:pPr>
              <w:jc w:val="right"/>
              <w:spacing w:after="0"/>
              <w:rPr>
                <w:sz w:val="20"/>
                <w:szCs w:val="20"/>
                <w:color w:val="auto"/>
              </w:rPr>
            </w:pPr>
            <w:r>
              <w:rPr>
                <w:rFonts w:ascii="Arial" w:cs="Arial" w:eastAsia="Arial" w:hAnsi="Arial"/>
                <w:sz w:val="16"/>
                <w:szCs w:val="16"/>
                <w:color w:val="auto"/>
              </w:rPr>
              <w:t>6.9 %</w:t>
            </w:r>
          </w:p>
        </w:tc>
        <w:tc>
          <w:tcPr>
            <w:tcW w:w="0" w:type="dxa"/>
            <w:vAlign w:val="bottom"/>
          </w:tcPr>
          <w:p>
            <w:pPr>
              <w:spacing w:after="0"/>
              <w:rPr>
                <w:sz w:val="1"/>
                <w:szCs w:val="1"/>
                <w:color w:val="auto"/>
              </w:rPr>
            </w:pPr>
          </w:p>
        </w:tc>
      </w:tr>
      <w:tr>
        <w:trPr>
          <w:trHeight w:val="251"/>
        </w:trPr>
        <w:tc>
          <w:tcPr>
            <w:tcW w:w="1760" w:type="dxa"/>
            <w:vAlign w:val="bottom"/>
          </w:tcPr>
          <w:p>
            <w:pPr>
              <w:ind w:left="140"/>
              <w:spacing w:after="0"/>
              <w:rPr>
                <w:sz w:val="20"/>
                <w:szCs w:val="20"/>
                <w:color w:val="auto"/>
              </w:rPr>
            </w:pPr>
            <w:r>
              <w:rPr>
                <w:rFonts w:ascii="Arial" w:cs="Arial" w:eastAsia="Arial" w:hAnsi="Arial"/>
                <w:sz w:val="16"/>
                <w:szCs w:val="16"/>
                <w:color w:val="auto"/>
              </w:rPr>
              <w:t>Equities</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22,659</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17,397</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30.2 %</w:t>
            </w:r>
          </w:p>
        </w:tc>
        <w:tc>
          <w:tcPr>
            <w:tcW w:w="600" w:type="dxa"/>
            <w:vAlign w:val="bottom"/>
          </w:tcPr>
          <w:p>
            <w:pPr>
              <w:jc w:val="right"/>
              <w:spacing w:after="0"/>
              <w:rPr>
                <w:sz w:val="20"/>
                <w:szCs w:val="20"/>
                <w:color w:val="auto"/>
              </w:rPr>
            </w:pPr>
            <w:r>
              <w:rPr>
                <w:rFonts w:ascii="Arial" w:cs="Arial" w:eastAsia="Arial" w:hAnsi="Arial"/>
                <w:sz w:val="16"/>
                <w:szCs w:val="16"/>
                <w:color w:val="auto"/>
              </w:rPr>
              <w:t>37.6</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21"/>
                <w:szCs w:val="21"/>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9</w:t>
            </w:r>
          </w:p>
        </w:tc>
        <w:tc>
          <w:tcPr>
            <w:tcW w:w="880" w:type="dxa"/>
            <w:vAlign w:val="bottom"/>
          </w:tcPr>
          <w:p>
            <w:pPr>
              <w:jc w:val="right"/>
              <w:spacing w:after="0"/>
              <w:rPr>
                <w:sz w:val="20"/>
                <w:szCs w:val="20"/>
                <w:color w:val="auto"/>
              </w:rPr>
            </w:pPr>
            <w:r>
              <w:rPr>
                <w:rFonts w:ascii="Arial" w:cs="Arial" w:eastAsia="Arial" w:hAnsi="Arial"/>
                <w:sz w:val="16"/>
                <w:szCs w:val="16"/>
                <w:color w:val="auto"/>
              </w:rPr>
              <w:t>92.3 %</w:t>
            </w:r>
          </w:p>
        </w:tc>
        <w:tc>
          <w:tcPr>
            <w:tcW w:w="0" w:type="dxa"/>
            <w:vAlign w:val="bottom"/>
          </w:tcPr>
          <w:p>
            <w:pPr>
              <w:spacing w:after="0"/>
              <w:rPr>
                <w:sz w:val="1"/>
                <w:szCs w:val="1"/>
                <w:color w:val="auto"/>
              </w:rPr>
            </w:pPr>
          </w:p>
        </w:tc>
      </w:tr>
      <w:tr>
        <w:trPr>
          <w:trHeight w:val="244"/>
        </w:trPr>
        <w:tc>
          <w:tcPr>
            <w:tcW w:w="1760" w:type="dxa"/>
            <w:vAlign w:val="bottom"/>
          </w:tcPr>
          <w:p>
            <w:pPr>
              <w:ind w:left="140"/>
              <w:spacing w:after="0"/>
              <w:rPr>
                <w:sz w:val="20"/>
                <w:szCs w:val="20"/>
                <w:color w:val="auto"/>
              </w:rPr>
            </w:pPr>
            <w:r>
              <w:rPr>
                <w:rFonts w:ascii="Arial" w:cs="Arial" w:eastAsia="Arial" w:hAnsi="Arial"/>
                <w:sz w:val="16"/>
                <w:szCs w:val="16"/>
                <w:color w:val="auto"/>
              </w:rPr>
              <w:t>Money Markets</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12,166</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11,340</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7.3 %</w:t>
            </w:r>
          </w:p>
        </w:tc>
        <w:tc>
          <w:tcPr>
            <w:tcW w:w="600" w:type="dxa"/>
            <w:vAlign w:val="bottom"/>
          </w:tcPr>
          <w:p>
            <w:pPr>
              <w:jc w:val="right"/>
              <w:spacing w:after="0"/>
              <w:rPr>
                <w:sz w:val="20"/>
                <w:szCs w:val="20"/>
                <w:color w:val="auto"/>
              </w:rPr>
            </w:pPr>
            <w:r>
              <w:rPr>
                <w:rFonts w:ascii="Arial" w:cs="Arial" w:eastAsia="Arial" w:hAnsi="Arial"/>
                <w:sz w:val="16"/>
                <w:szCs w:val="16"/>
                <w:color w:val="auto"/>
              </w:rPr>
              <w:t>10.5</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18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083566"/>
            </w:tcBorders>
            <w:shd w:val="clear" w:color="auto" w:fill="D5DCE4"/>
          </w:tcPr>
          <w:p>
            <w:pPr>
              <w:spacing w:after="0"/>
              <w:rPr>
                <w:sz w:val="21"/>
                <w:szCs w:val="21"/>
                <w:color w:val="auto"/>
              </w:rPr>
            </w:pPr>
          </w:p>
        </w:tc>
        <w:tc>
          <w:tcPr>
            <w:tcW w:w="5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27</w:t>
            </w:r>
          </w:p>
        </w:tc>
        <w:tc>
          <w:tcPr>
            <w:tcW w:w="240" w:type="dxa"/>
            <w:vAlign w:val="bottom"/>
            <w:tcBorders>
              <w:bottom w:val="single" w:sz="8" w:color="083566"/>
            </w:tcBorders>
            <w:shd w:val="clear" w:color="auto" w:fill="D5DCE4"/>
          </w:tcPr>
          <w:p>
            <w:pPr>
              <w:spacing w:after="0"/>
              <w:rPr>
                <w:sz w:val="21"/>
                <w:szCs w:val="21"/>
                <w:color w:val="auto"/>
              </w:rPr>
            </w:pPr>
          </w:p>
        </w:tc>
        <w:tc>
          <w:tcPr>
            <w:tcW w:w="740" w:type="dxa"/>
            <w:vAlign w:val="bottom"/>
            <w:tcBorders>
              <w:bottom w:val="single" w:sz="8" w:color="083566"/>
            </w:tcBorders>
            <w:shd w:val="clear" w:color="auto" w:fill="D5DCE4"/>
          </w:tcPr>
          <w:p>
            <w:pPr>
              <w:jc w:val="right"/>
              <w:ind w:right="179"/>
              <w:spacing w:after="0"/>
              <w:rPr>
                <w:sz w:val="20"/>
                <w:szCs w:val="20"/>
                <w:color w:val="auto"/>
              </w:rPr>
            </w:pPr>
            <w:r>
              <w:rPr>
                <w:rFonts w:ascii="Arial" w:cs="Arial" w:eastAsia="Arial" w:hAnsi="Arial"/>
                <w:sz w:val="16"/>
                <w:szCs w:val="16"/>
                <w:color w:val="auto"/>
              </w:rPr>
              <w:t>18</w:t>
            </w:r>
          </w:p>
        </w:tc>
        <w:tc>
          <w:tcPr>
            <w:tcW w:w="8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47.4 %</w:t>
            </w:r>
          </w:p>
        </w:tc>
        <w:tc>
          <w:tcPr>
            <w:tcW w:w="0" w:type="dxa"/>
            <w:vAlign w:val="bottom"/>
          </w:tcPr>
          <w:p>
            <w:pPr>
              <w:spacing w:after="0"/>
              <w:rPr>
                <w:sz w:val="1"/>
                <w:szCs w:val="1"/>
                <w:color w:val="auto"/>
              </w:rPr>
            </w:pPr>
          </w:p>
        </w:tc>
      </w:tr>
      <w:tr>
        <w:trPr>
          <w:trHeight w:val="228"/>
        </w:trPr>
        <w:tc>
          <w:tcPr>
            <w:tcW w:w="1760" w:type="dxa"/>
            <w:vAlign w:val="bottom"/>
          </w:tcPr>
          <w:p>
            <w:pPr>
              <w:ind w:left="140"/>
              <w:spacing w:after="0"/>
              <w:rPr>
                <w:sz w:val="20"/>
                <w:szCs w:val="20"/>
                <w:color w:val="auto"/>
              </w:rPr>
            </w:pPr>
            <w:r>
              <w:rPr>
                <w:rFonts w:ascii="Arial" w:cs="Arial" w:eastAsia="Arial" w:hAnsi="Arial"/>
                <w:sz w:val="16"/>
                <w:szCs w:val="16"/>
                <w:color w:val="auto"/>
              </w:rPr>
              <w:t>Market Data</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21,030</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20,007</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5.1 %</w:t>
            </w:r>
          </w:p>
        </w:tc>
        <w:tc>
          <w:tcPr>
            <w:tcW w:w="600" w:type="dxa"/>
            <w:vAlign w:val="bottom"/>
          </w:tcPr>
          <w:p>
            <w:pPr>
              <w:jc w:val="right"/>
              <w:spacing w:after="0"/>
              <w:rPr>
                <w:sz w:val="20"/>
                <w:szCs w:val="20"/>
                <w:color w:val="auto"/>
              </w:rPr>
            </w:pPr>
            <w:r>
              <w:rPr>
                <w:rFonts w:ascii="Arial" w:cs="Arial" w:eastAsia="Arial" w:hAnsi="Arial"/>
                <w:sz w:val="16"/>
                <w:szCs w:val="16"/>
                <w:color w:val="auto"/>
              </w:rPr>
              <w:t>7.0</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auto"/>
              </w:rPr>
              <w:t>Equities</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9"/>
                <w:szCs w:val="19"/>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8</w:t>
            </w:r>
          </w:p>
        </w:tc>
        <w:tc>
          <w:tcPr>
            <w:tcW w:w="880" w:type="dxa"/>
            <w:vAlign w:val="bottom"/>
          </w:tcPr>
          <w:p>
            <w:pPr>
              <w:jc w:val="right"/>
              <w:spacing w:after="0"/>
              <w:rPr>
                <w:sz w:val="20"/>
                <w:szCs w:val="20"/>
                <w:color w:val="auto"/>
              </w:rPr>
            </w:pPr>
            <w:r>
              <w:rPr>
                <w:rFonts w:ascii="Arial" w:cs="Arial" w:eastAsia="Arial" w:hAnsi="Arial"/>
                <w:sz w:val="16"/>
                <w:szCs w:val="16"/>
                <w:color w:val="auto"/>
              </w:rPr>
              <w:t>20.7 %</w:t>
            </w:r>
          </w:p>
        </w:tc>
        <w:tc>
          <w:tcPr>
            <w:tcW w:w="0" w:type="dxa"/>
            <w:vAlign w:val="bottom"/>
          </w:tcPr>
          <w:p>
            <w:pPr>
              <w:spacing w:after="0"/>
              <w:rPr>
                <w:sz w:val="1"/>
                <w:szCs w:val="1"/>
                <w:color w:val="auto"/>
              </w:rPr>
            </w:pPr>
          </w:p>
        </w:tc>
      </w:tr>
      <w:tr>
        <w:trPr>
          <w:trHeight w:val="251"/>
        </w:trPr>
        <w:tc>
          <w:tcPr>
            <w:tcW w:w="1760" w:type="dxa"/>
            <w:vAlign w:val="bottom"/>
          </w:tcPr>
          <w:p>
            <w:pPr>
              <w:ind w:left="140"/>
              <w:spacing w:after="0"/>
              <w:rPr>
                <w:sz w:val="20"/>
                <w:szCs w:val="20"/>
                <w:color w:val="auto"/>
              </w:rPr>
            </w:pPr>
            <w:r>
              <w:rPr>
                <w:rFonts w:ascii="Arial" w:cs="Arial" w:eastAsia="Arial" w:hAnsi="Arial"/>
                <w:sz w:val="16"/>
                <w:szCs w:val="16"/>
                <w:color w:val="auto"/>
              </w:rPr>
              <w:t>Other</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5,706</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5,881</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(3.0) %</w:t>
            </w:r>
          </w:p>
        </w:tc>
        <w:tc>
          <w:tcPr>
            <w:tcW w:w="1000" w:type="dxa"/>
            <w:vAlign w:val="bottom"/>
            <w:gridSpan w:val="2"/>
          </w:tcPr>
          <w:p>
            <w:pPr>
              <w:jc w:val="right"/>
              <w:ind w:right="119"/>
              <w:spacing w:after="0"/>
              <w:rPr>
                <w:sz w:val="20"/>
                <w:szCs w:val="20"/>
                <w:color w:val="auto"/>
              </w:rPr>
            </w:pPr>
            <w:r>
              <w:rPr>
                <w:rFonts w:ascii="Arial" w:cs="Arial" w:eastAsia="Arial" w:hAnsi="Arial"/>
                <w:sz w:val="16"/>
                <w:szCs w:val="16"/>
                <w:color w:val="auto"/>
              </w:rPr>
              <w:t>(2.9) %</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21"/>
                <w:szCs w:val="21"/>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8</w:t>
            </w:r>
          </w:p>
        </w:tc>
        <w:tc>
          <w:tcPr>
            <w:tcW w:w="880" w:type="dxa"/>
            <w:vAlign w:val="bottom"/>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44"/>
        </w:trPr>
        <w:tc>
          <w:tcPr>
            <w:tcW w:w="17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81,600</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66,233</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23.2 %</w:t>
            </w: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083566"/>
            </w:tcBorders>
            <w:shd w:val="clear" w:color="auto" w:fill="D5DCE4"/>
          </w:tcPr>
          <w:p>
            <w:pPr>
              <w:spacing w:after="0"/>
              <w:rPr>
                <w:sz w:val="21"/>
                <w:szCs w:val="21"/>
                <w:color w:val="auto"/>
              </w:rPr>
            </w:pPr>
          </w:p>
        </w:tc>
        <w:tc>
          <w:tcPr>
            <w:tcW w:w="5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17</w:t>
            </w:r>
          </w:p>
        </w:tc>
        <w:tc>
          <w:tcPr>
            <w:tcW w:w="240" w:type="dxa"/>
            <w:vAlign w:val="bottom"/>
            <w:tcBorders>
              <w:bottom w:val="single" w:sz="8" w:color="083566"/>
            </w:tcBorders>
            <w:shd w:val="clear" w:color="auto" w:fill="D5DCE4"/>
          </w:tcPr>
          <w:p>
            <w:pPr>
              <w:spacing w:after="0"/>
              <w:rPr>
                <w:sz w:val="21"/>
                <w:szCs w:val="21"/>
                <w:color w:val="auto"/>
              </w:rPr>
            </w:pPr>
          </w:p>
        </w:tc>
        <w:tc>
          <w:tcPr>
            <w:tcW w:w="740" w:type="dxa"/>
            <w:vAlign w:val="bottom"/>
            <w:tcBorders>
              <w:bottom w:val="single" w:sz="8" w:color="083566"/>
            </w:tcBorders>
            <w:shd w:val="clear" w:color="auto" w:fill="D5DCE4"/>
          </w:tcPr>
          <w:p>
            <w:pPr>
              <w:jc w:val="right"/>
              <w:ind w:right="179"/>
              <w:spacing w:after="0"/>
              <w:rPr>
                <w:sz w:val="20"/>
                <w:szCs w:val="20"/>
                <w:color w:val="auto"/>
              </w:rPr>
            </w:pPr>
            <w:r>
              <w:rPr>
                <w:rFonts w:ascii="Arial" w:cs="Arial" w:eastAsia="Arial" w:hAnsi="Arial"/>
                <w:sz w:val="16"/>
                <w:szCs w:val="16"/>
                <w:color w:val="auto"/>
              </w:rPr>
              <w:t>16</w:t>
            </w:r>
          </w:p>
        </w:tc>
        <w:tc>
          <w:tcPr>
            <w:tcW w:w="8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4.1 %</w:t>
            </w:r>
          </w:p>
        </w:tc>
        <w:tc>
          <w:tcPr>
            <w:tcW w:w="0" w:type="dxa"/>
            <w:vAlign w:val="bottom"/>
          </w:tcPr>
          <w:p>
            <w:pPr>
              <w:spacing w:after="0"/>
              <w:rPr>
                <w:sz w:val="1"/>
                <w:szCs w:val="1"/>
                <w:color w:val="auto"/>
              </w:rPr>
            </w:pPr>
          </w:p>
        </w:tc>
      </w:tr>
      <w:tr>
        <w:trPr>
          <w:trHeight w:val="188"/>
        </w:trPr>
        <w:tc>
          <w:tcPr>
            <w:tcW w:w="1760" w:type="dxa"/>
            <w:vAlign w:val="bottom"/>
          </w:tcPr>
          <w:p>
            <w:pPr>
              <w:ind w:left="20"/>
              <w:spacing w:after="0"/>
              <w:rPr>
                <w:sz w:val="20"/>
                <w:szCs w:val="20"/>
                <w:color w:val="auto"/>
              </w:rPr>
            </w:pPr>
            <w:r>
              <w:rPr>
                <w:rFonts w:ascii="Arial" w:cs="Arial" w:eastAsia="Arial" w:hAnsi="Arial"/>
                <w:sz w:val="16"/>
                <w:szCs w:val="16"/>
                <w:color w:val="auto"/>
              </w:rPr>
              <w:t>Net income attributable</w:t>
            </w: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gridSpan w:val="2"/>
            <w:vMerge w:val="restart"/>
          </w:tcPr>
          <w:p>
            <w:pPr>
              <w:ind w:left="20"/>
              <w:spacing w:after="0"/>
              <w:rPr>
                <w:sz w:val="20"/>
                <w:szCs w:val="20"/>
                <w:color w:val="auto"/>
              </w:rPr>
            </w:pPr>
            <w:r>
              <w:rPr>
                <w:rFonts w:ascii="Arial" w:cs="Arial" w:eastAsia="Arial" w:hAnsi="Arial"/>
                <w:sz w:val="16"/>
                <w:szCs w:val="16"/>
                <w:color w:val="auto"/>
              </w:rPr>
              <w:t>Money Markets Cash</w:t>
            </w:r>
          </w:p>
        </w:tc>
        <w:tc>
          <w:tcPr>
            <w:tcW w:w="22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424</w:t>
            </w:r>
          </w:p>
        </w:tc>
        <w:tc>
          <w:tcPr>
            <w:tcW w:w="240" w:type="dxa"/>
            <w:vAlign w:val="bottom"/>
          </w:tcPr>
          <w:p>
            <w:pPr>
              <w:spacing w:after="0"/>
              <w:rPr>
                <w:sz w:val="16"/>
                <w:szCs w:val="16"/>
                <w:color w:val="auto"/>
              </w:rPr>
            </w:pPr>
          </w:p>
        </w:tc>
        <w:tc>
          <w:tcPr>
            <w:tcW w:w="740" w:type="dxa"/>
            <w:vAlign w:val="bottom"/>
            <w:vMerge w:val="restart"/>
          </w:tcPr>
          <w:p>
            <w:pPr>
              <w:jc w:val="right"/>
              <w:ind w:right="179"/>
              <w:spacing w:after="0"/>
              <w:rPr>
                <w:sz w:val="20"/>
                <w:szCs w:val="20"/>
                <w:color w:val="auto"/>
              </w:rPr>
            </w:pPr>
            <w:r>
              <w:rPr>
                <w:rFonts w:ascii="Arial" w:cs="Arial" w:eastAsia="Arial" w:hAnsi="Arial"/>
                <w:sz w:val="16"/>
                <w:szCs w:val="16"/>
                <w:color w:val="auto"/>
              </w:rPr>
              <w:t>367</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15.5 %</w:t>
            </w:r>
          </w:p>
        </w:tc>
        <w:tc>
          <w:tcPr>
            <w:tcW w:w="0" w:type="dxa"/>
            <w:vAlign w:val="bottom"/>
          </w:tcPr>
          <w:p>
            <w:pPr>
              <w:spacing w:after="0"/>
              <w:rPr>
                <w:sz w:val="1"/>
                <w:szCs w:val="1"/>
                <w:color w:val="auto"/>
              </w:rPr>
            </w:pPr>
          </w:p>
        </w:tc>
      </w:tr>
      <w:tr>
        <w:trPr>
          <w:trHeight w:val="114"/>
        </w:trPr>
        <w:tc>
          <w:tcPr>
            <w:tcW w:w="1760" w:type="dxa"/>
            <w:vAlign w:val="bottom"/>
            <w:vMerge w:val="restart"/>
          </w:tcPr>
          <w:p>
            <w:pPr>
              <w:ind w:left="20"/>
              <w:spacing w:after="0"/>
              <w:rPr>
                <w:sz w:val="20"/>
                <w:szCs w:val="20"/>
                <w:color w:val="auto"/>
              </w:rPr>
            </w:pPr>
            <w:r>
              <w:rPr>
                <w:rFonts w:ascii="Arial" w:cs="Arial" w:eastAsia="Arial" w:hAnsi="Arial"/>
                <w:sz w:val="16"/>
                <w:szCs w:val="16"/>
                <w:color w:val="auto"/>
              </w:rPr>
              <w:t>to Tradeweb Markets</w:t>
            </w: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7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0" w:type="dxa"/>
            <w:vAlign w:val="bottom"/>
            <w:shd w:val="clear" w:color="auto" w:fill="D5DCE4"/>
          </w:tcPr>
          <w:p>
            <w:pPr>
              <w:spacing w:after="0"/>
              <w:rPr>
                <w:sz w:val="7"/>
                <w:szCs w:val="7"/>
                <w:color w:val="auto"/>
              </w:rPr>
            </w:pPr>
          </w:p>
        </w:tc>
        <w:tc>
          <w:tcPr>
            <w:tcW w:w="220" w:type="dxa"/>
            <w:vAlign w:val="bottom"/>
            <w:shd w:val="clear" w:color="auto" w:fill="D5DCE4"/>
          </w:tcPr>
          <w:p>
            <w:pPr>
              <w:spacing w:after="0"/>
              <w:rPr>
                <w:sz w:val="7"/>
                <w:szCs w:val="7"/>
                <w:color w:val="auto"/>
              </w:rPr>
            </w:pPr>
          </w:p>
        </w:tc>
        <w:tc>
          <w:tcPr>
            <w:tcW w:w="580" w:type="dxa"/>
            <w:vAlign w:val="bottom"/>
            <w:shd w:val="clear" w:color="auto" w:fill="D5DCE4"/>
          </w:tcPr>
          <w:p>
            <w:pPr>
              <w:spacing w:after="0"/>
              <w:rPr>
                <w:sz w:val="7"/>
                <w:szCs w:val="7"/>
                <w:color w:val="auto"/>
              </w:rPr>
            </w:pPr>
          </w:p>
        </w:tc>
        <w:tc>
          <w:tcPr>
            <w:tcW w:w="240" w:type="dxa"/>
            <w:vAlign w:val="bottom"/>
            <w:shd w:val="clear" w:color="auto" w:fill="D5DCE4"/>
          </w:tcPr>
          <w:p>
            <w:pPr>
              <w:spacing w:after="0"/>
              <w:rPr>
                <w:sz w:val="7"/>
                <w:szCs w:val="7"/>
                <w:color w:val="auto"/>
              </w:rPr>
            </w:pPr>
          </w:p>
        </w:tc>
        <w:tc>
          <w:tcPr>
            <w:tcW w:w="740" w:type="dxa"/>
            <w:vAlign w:val="bottom"/>
            <w:shd w:val="clear" w:color="auto" w:fill="D5DCE4"/>
          </w:tcPr>
          <w:p>
            <w:pPr>
              <w:spacing w:after="0"/>
              <w:rPr>
                <w:sz w:val="7"/>
                <w:szCs w:val="7"/>
                <w:color w:val="auto"/>
              </w:rPr>
            </w:pPr>
          </w:p>
        </w:tc>
        <w:tc>
          <w:tcPr>
            <w:tcW w:w="880" w:type="dxa"/>
            <w:vAlign w:val="bottom"/>
            <w:shd w:val="clear" w:color="auto" w:fill="D5DCE4"/>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76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Inc. </w:t>
            </w:r>
            <w:r>
              <w:rPr>
                <w:rFonts w:ascii="Arial" w:cs="Arial" w:eastAsia="Arial" w:hAnsi="Arial"/>
                <w:sz w:val="21"/>
                <w:szCs w:val="21"/>
                <w:color w:val="auto"/>
                <w:vertAlign w:val="superscript"/>
              </w:rPr>
              <w:t>(2)</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68,344</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55,316</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23.6 %</w:t>
            </w: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Borders>
              <w:bottom w:val="single" w:sz="8" w:color="083566"/>
            </w:tcBorders>
          </w:tcPr>
          <w:p>
            <w:pPr>
              <w:spacing w:after="0"/>
              <w:rPr>
                <w:sz w:val="20"/>
                <w:szCs w:val="20"/>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083566"/>
            </w:tcBorders>
            <w:shd w:val="clear" w:color="auto" w:fill="D5DCE4"/>
          </w:tcPr>
          <w:p>
            <w:pPr>
              <w:spacing w:after="0"/>
              <w:rPr>
                <w:sz w:val="20"/>
                <w:szCs w:val="20"/>
                <w:color w:val="auto"/>
              </w:rPr>
            </w:pPr>
          </w:p>
        </w:tc>
        <w:tc>
          <w:tcPr>
            <w:tcW w:w="5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424</w:t>
            </w:r>
          </w:p>
        </w:tc>
        <w:tc>
          <w:tcPr>
            <w:tcW w:w="240" w:type="dxa"/>
            <w:vAlign w:val="bottom"/>
            <w:tcBorders>
              <w:bottom w:val="single" w:sz="8" w:color="083566"/>
            </w:tcBorders>
            <w:shd w:val="clear" w:color="auto" w:fill="D5DCE4"/>
          </w:tcPr>
          <w:p>
            <w:pPr>
              <w:spacing w:after="0"/>
              <w:rPr>
                <w:sz w:val="20"/>
                <w:szCs w:val="20"/>
                <w:color w:val="auto"/>
              </w:rPr>
            </w:pPr>
          </w:p>
        </w:tc>
        <w:tc>
          <w:tcPr>
            <w:tcW w:w="740" w:type="dxa"/>
            <w:vAlign w:val="bottom"/>
            <w:tcBorders>
              <w:bottom w:val="single" w:sz="8" w:color="083566"/>
            </w:tcBorders>
            <w:shd w:val="clear" w:color="auto" w:fill="D5DCE4"/>
          </w:tcPr>
          <w:p>
            <w:pPr>
              <w:jc w:val="right"/>
              <w:ind w:right="179"/>
              <w:spacing w:after="0"/>
              <w:rPr>
                <w:sz w:val="20"/>
                <w:szCs w:val="20"/>
                <w:color w:val="auto"/>
              </w:rPr>
            </w:pPr>
            <w:r>
              <w:rPr>
                <w:rFonts w:ascii="Arial" w:cs="Arial" w:eastAsia="Arial" w:hAnsi="Arial"/>
                <w:sz w:val="16"/>
                <w:szCs w:val="16"/>
                <w:color w:val="auto"/>
              </w:rPr>
              <w:t>367</w:t>
            </w:r>
          </w:p>
        </w:tc>
        <w:tc>
          <w:tcPr>
            <w:tcW w:w="8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15.5 %</w:t>
            </w:r>
          </w:p>
        </w:tc>
        <w:tc>
          <w:tcPr>
            <w:tcW w:w="0" w:type="dxa"/>
            <w:vAlign w:val="bottom"/>
          </w:tcPr>
          <w:p>
            <w:pPr>
              <w:spacing w:after="0"/>
              <w:rPr>
                <w:sz w:val="1"/>
                <w:szCs w:val="1"/>
                <w:color w:val="auto"/>
              </w:rPr>
            </w:pPr>
          </w:p>
        </w:tc>
      </w:tr>
      <w:tr>
        <w:trPr>
          <w:trHeight w:val="236"/>
        </w:trPr>
        <w:tc>
          <w:tcPr>
            <w:tcW w:w="1760" w:type="dxa"/>
            <w:vAlign w:val="bottom"/>
          </w:tcPr>
          <w:p>
            <w:pPr>
              <w:ind w:left="20"/>
              <w:spacing w:after="0"/>
              <w:rPr>
                <w:sz w:val="20"/>
                <w:szCs w:val="20"/>
                <w:color w:val="auto"/>
              </w:rPr>
            </w:pPr>
            <w:r>
              <w:rPr>
                <w:rFonts w:ascii="Arial" w:cs="Arial" w:eastAsia="Arial" w:hAnsi="Arial"/>
                <w:sz w:val="16"/>
                <w:szCs w:val="16"/>
                <w:color w:val="auto"/>
              </w:rPr>
              <w:t>Diluted EPS</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0.33</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0.27</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22.2 %</w:t>
            </w: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Total</w:t>
            </w:r>
          </w:p>
        </w:tc>
        <w:tc>
          <w:tcPr>
            <w:tcW w:w="220" w:type="dxa"/>
            <w:vAlign w:val="bottom"/>
            <w:shd w:val="clear" w:color="auto" w:fill="D5DC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5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1,176</w:t>
            </w:r>
          </w:p>
        </w:tc>
        <w:tc>
          <w:tcPr>
            <w:tcW w:w="240" w:type="dxa"/>
            <w:vAlign w:val="bottom"/>
            <w:shd w:val="clear" w:color="auto" w:fill="D5DCE4"/>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D5DCE4"/>
          </w:tcPr>
          <w:p>
            <w:pPr>
              <w:jc w:val="right"/>
              <w:ind w:right="179"/>
              <w:spacing w:after="0"/>
              <w:rPr>
                <w:sz w:val="20"/>
                <w:szCs w:val="20"/>
                <w:color w:val="auto"/>
              </w:rPr>
            </w:pPr>
            <w:r>
              <w:rPr>
                <w:rFonts w:ascii="Arial" w:cs="Arial" w:eastAsia="Arial" w:hAnsi="Arial"/>
                <w:sz w:val="16"/>
                <w:szCs w:val="16"/>
                <w:b w:val="1"/>
                <w:bCs w:val="1"/>
                <w:color w:val="auto"/>
              </w:rPr>
              <w:t>977</w:t>
            </w:r>
          </w:p>
        </w:tc>
        <w:tc>
          <w:tcPr>
            <w:tcW w:w="8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20.4 %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754755"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54755"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Non-GAAP Financial Measures</w:t>
      </w:r>
    </w:p>
    <w:p>
      <w:pPr>
        <w:sectPr>
          <w:pgSz w:w="11900" w:h="16838" w:orient="portrait"/>
          <w:cols w:equalWidth="0" w:num="1">
            <w:col w:w="10840"/>
          </w:cols>
          <w:pgMar w:left="320" w:top="274" w:right="739" w:bottom="1440" w:gutter="0" w:footer="0" w:header="0"/>
          <w:type w:val="continuous"/>
        </w:sectPr>
      </w:pP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1780" w:type="dxa"/>
            <w:vAlign w:val="bottom"/>
          </w:tcPr>
          <w:p>
            <w:pPr>
              <w:spacing w:after="0"/>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155,621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131,898</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18.0 %</w:t>
            </w:r>
          </w:p>
        </w:tc>
        <w:tc>
          <w:tcPr>
            <w:tcW w:w="500" w:type="dxa"/>
            <w:vAlign w:val="bottom"/>
          </w:tcPr>
          <w:p>
            <w:pPr>
              <w:ind w:left="140"/>
              <w:spacing w:after="0"/>
              <w:rPr>
                <w:sz w:val="20"/>
                <w:szCs w:val="20"/>
                <w:color w:val="auto"/>
              </w:rPr>
            </w:pPr>
            <w:r>
              <w:rPr>
                <w:rFonts w:ascii="Arial" w:cs="Arial" w:eastAsia="Arial" w:hAnsi="Arial"/>
                <w:sz w:val="16"/>
                <w:szCs w:val="16"/>
                <w:color w:val="auto"/>
              </w:rPr>
              <w:t>22.9</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780" w:type="dxa"/>
            <w:vAlign w:val="bottom"/>
          </w:tcPr>
          <w:p>
            <w:pPr>
              <w:spacing w:after="0"/>
              <w:rPr>
                <w:sz w:val="20"/>
                <w:szCs w:val="20"/>
                <w:color w:val="auto"/>
              </w:rPr>
            </w:pPr>
            <w:r>
              <w:rPr>
                <w:rFonts w:ascii="Arial" w:cs="Arial" w:eastAsia="Arial" w:hAnsi="Arial"/>
                <w:sz w:val="16"/>
                <w:szCs w:val="16"/>
                <w:color w:val="auto"/>
              </w:rPr>
              <w:t>Adjusted EBITDA</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780" w:type="dxa"/>
            <w:vAlign w:val="bottom"/>
          </w:tcPr>
          <w:p>
            <w:pPr>
              <w:spacing w:after="0"/>
              <w:rPr>
                <w:sz w:val="20"/>
                <w:szCs w:val="20"/>
                <w:color w:val="auto"/>
              </w:rPr>
            </w:pPr>
            <w:r>
              <w:rPr>
                <w:rFonts w:ascii="Arial" w:cs="Arial" w:eastAsia="Arial" w:hAnsi="Arial"/>
                <w:sz w:val="16"/>
                <w:szCs w:val="16"/>
                <w:color w:val="auto"/>
              </w:rPr>
              <w:t xml:space="preserve">margin </w:t>
            </w:r>
            <w:r>
              <w:rPr>
                <w:rFonts w:ascii="Arial" w:cs="Arial" w:eastAsia="Arial" w:hAnsi="Arial"/>
                <w:sz w:val="21"/>
                <w:szCs w:val="21"/>
                <w:color w:val="auto"/>
                <w:vertAlign w:val="superscript"/>
              </w:rPr>
              <w:t>(1)</w:t>
            </w: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52.4 %</w:t>
            </w:r>
          </w:p>
        </w:tc>
        <w:tc>
          <w:tcPr>
            <w:tcW w:w="2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50.6 %</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+181 bps</w:t>
            </w:r>
          </w:p>
        </w:tc>
        <w:tc>
          <w:tcPr>
            <w:tcW w:w="820" w:type="dxa"/>
            <w:vAlign w:val="bottom"/>
            <w:gridSpan w:val="2"/>
          </w:tcPr>
          <w:p>
            <w:pPr>
              <w:ind w:left="160"/>
              <w:spacing w:after="0"/>
              <w:rPr>
                <w:sz w:val="20"/>
                <w:szCs w:val="20"/>
                <w:color w:val="auto"/>
              </w:rPr>
            </w:pPr>
            <w:r>
              <w:rPr>
                <w:rFonts w:ascii="Arial" w:cs="Arial" w:eastAsia="Arial" w:hAnsi="Arial"/>
                <w:sz w:val="16"/>
                <w:szCs w:val="16"/>
                <w:color w:val="auto"/>
                <w:w w:val="96"/>
              </w:rPr>
              <w:t>+220 bps</w:t>
            </w:r>
          </w:p>
        </w:tc>
        <w:tc>
          <w:tcPr>
            <w:tcW w:w="0" w:type="dxa"/>
            <w:vAlign w:val="bottom"/>
          </w:tcPr>
          <w:p>
            <w:pPr>
              <w:spacing w:after="0"/>
              <w:rPr>
                <w:sz w:val="1"/>
                <w:szCs w:val="1"/>
                <w:color w:val="auto"/>
              </w:rPr>
            </w:pPr>
          </w:p>
        </w:tc>
      </w:tr>
      <w:tr>
        <w:trPr>
          <w:trHeight w:val="243"/>
        </w:trPr>
        <w:tc>
          <w:tcPr>
            <w:tcW w:w="1780" w:type="dxa"/>
            <w:vAlign w:val="bottom"/>
          </w:tcPr>
          <w:p>
            <w:pPr>
              <w:spacing w:after="0"/>
              <w:rPr>
                <w:sz w:val="20"/>
                <w:szCs w:val="20"/>
                <w:color w:val="auto"/>
              </w:rPr>
            </w:pPr>
            <w:r>
              <w:rPr>
                <w:rFonts w:ascii="Arial" w:cs="Arial" w:eastAsia="Arial" w:hAnsi="Arial"/>
                <w:sz w:val="16"/>
                <w:szCs w:val="16"/>
                <w:color w:val="auto"/>
              </w:rPr>
              <w:t xml:space="preserve">Adjusted EBIT </w:t>
            </w:r>
            <w:r>
              <w:rPr>
                <w:rFonts w:ascii="Arial" w:cs="Arial" w:eastAsia="Arial" w:hAnsi="Arial"/>
                <w:sz w:val="21"/>
                <w:szCs w:val="21"/>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142,612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120,271</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18.6 %</w:t>
            </w:r>
          </w:p>
        </w:tc>
        <w:tc>
          <w:tcPr>
            <w:tcW w:w="500" w:type="dxa"/>
            <w:vAlign w:val="bottom"/>
          </w:tcPr>
          <w:p>
            <w:pPr>
              <w:ind w:left="140"/>
              <w:spacing w:after="0"/>
              <w:rPr>
                <w:sz w:val="20"/>
                <w:szCs w:val="20"/>
                <w:color w:val="auto"/>
              </w:rPr>
            </w:pPr>
            <w:r>
              <w:rPr>
                <w:rFonts w:ascii="Arial" w:cs="Arial" w:eastAsia="Arial" w:hAnsi="Arial"/>
                <w:sz w:val="16"/>
                <w:szCs w:val="16"/>
                <w:color w:val="auto"/>
              </w:rPr>
              <w:t>23.9</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780" w:type="dxa"/>
            <w:vAlign w:val="bottom"/>
          </w:tcPr>
          <w:p>
            <w:pPr>
              <w:spacing w:after="0"/>
              <w:rPr>
                <w:sz w:val="20"/>
                <w:szCs w:val="20"/>
                <w:color w:val="auto"/>
              </w:rPr>
            </w:pPr>
            <w:r>
              <w:rPr>
                <w:rFonts w:ascii="Arial" w:cs="Arial" w:eastAsia="Arial" w:hAnsi="Arial"/>
                <w:sz w:val="16"/>
                <w:szCs w:val="16"/>
                <w:color w:val="auto"/>
                <w:w w:val="99"/>
              </w:rPr>
              <w:t xml:space="preserve">Adjusted EBIT margin </w:t>
            </w:r>
            <w:r>
              <w:rPr>
                <w:rFonts w:ascii="Arial" w:cs="Arial" w:eastAsia="Arial" w:hAnsi="Arial"/>
                <w:sz w:val="21"/>
                <w:szCs w:val="21"/>
                <w:color w:val="auto"/>
                <w:w w:val="99"/>
                <w:vertAlign w:val="superscript"/>
              </w:rPr>
              <w:t>(1)</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48.0 %</w:t>
            </w:r>
          </w:p>
        </w:tc>
        <w:tc>
          <w:tcPr>
            <w:tcW w:w="2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46.1 %</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+189 bps</w:t>
            </w:r>
          </w:p>
        </w:tc>
        <w:tc>
          <w:tcPr>
            <w:tcW w:w="820" w:type="dxa"/>
            <w:vAlign w:val="bottom"/>
            <w:gridSpan w:val="2"/>
          </w:tcPr>
          <w:p>
            <w:pPr>
              <w:ind w:left="160"/>
              <w:spacing w:after="0"/>
              <w:rPr>
                <w:sz w:val="20"/>
                <w:szCs w:val="20"/>
                <w:color w:val="auto"/>
              </w:rPr>
            </w:pPr>
            <w:r>
              <w:rPr>
                <w:rFonts w:ascii="Arial" w:cs="Arial" w:eastAsia="Arial" w:hAnsi="Arial"/>
                <w:sz w:val="16"/>
                <w:szCs w:val="16"/>
                <w:color w:val="auto"/>
                <w:w w:val="96"/>
              </w:rPr>
              <w:t>+238 bps</w:t>
            </w:r>
          </w:p>
        </w:tc>
        <w:tc>
          <w:tcPr>
            <w:tcW w:w="0" w:type="dxa"/>
            <w:vAlign w:val="bottom"/>
          </w:tcPr>
          <w:p>
            <w:pPr>
              <w:spacing w:after="0"/>
              <w:rPr>
                <w:sz w:val="1"/>
                <w:szCs w:val="1"/>
                <w:color w:val="auto"/>
              </w:rPr>
            </w:pPr>
          </w:p>
        </w:tc>
      </w:tr>
      <w:tr>
        <w:trPr>
          <w:trHeight w:val="243"/>
        </w:trPr>
        <w:tc>
          <w:tcPr>
            <w:tcW w:w="1780" w:type="dxa"/>
            <w:vAlign w:val="bottom"/>
          </w:tcPr>
          <w:p>
            <w:pPr>
              <w:spacing w:after="0"/>
              <w:rPr>
                <w:sz w:val="20"/>
                <w:szCs w:val="20"/>
                <w:color w:val="auto"/>
              </w:rPr>
            </w:pPr>
            <w:r>
              <w:rPr>
                <w:rFonts w:ascii="Arial" w:cs="Arial" w:eastAsia="Arial" w:hAnsi="Arial"/>
                <w:sz w:val="16"/>
                <w:szCs w:val="16"/>
                <w:color w:val="auto"/>
              </w:rPr>
              <w:t xml:space="preserve">Adjusted Net Income </w:t>
            </w:r>
            <w:r>
              <w:rPr>
                <w:rFonts w:ascii="Arial" w:cs="Arial" w:eastAsia="Arial" w:hAnsi="Arial"/>
                <w:sz w:val="21"/>
                <w:szCs w:val="21"/>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111,659</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93,558</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19.3 %</w:t>
            </w:r>
          </w:p>
        </w:tc>
        <w:tc>
          <w:tcPr>
            <w:tcW w:w="500" w:type="dxa"/>
            <w:vAlign w:val="bottom"/>
          </w:tcPr>
          <w:p>
            <w:pPr>
              <w:ind w:left="140"/>
              <w:spacing w:after="0"/>
              <w:rPr>
                <w:sz w:val="20"/>
                <w:szCs w:val="20"/>
                <w:color w:val="auto"/>
              </w:rPr>
            </w:pPr>
            <w:r>
              <w:rPr>
                <w:rFonts w:ascii="Arial" w:cs="Arial" w:eastAsia="Arial" w:hAnsi="Arial"/>
                <w:sz w:val="16"/>
                <w:szCs w:val="16"/>
                <w:color w:val="auto"/>
              </w:rPr>
              <w:t>24.7</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1780" w:type="dxa"/>
            <w:vAlign w:val="bottom"/>
          </w:tcPr>
          <w:p>
            <w:pPr>
              <w:spacing w:after="0" w:line="163" w:lineRule="exact"/>
              <w:rPr>
                <w:sz w:val="20"/>
                <w:szCs w:val="20"/>
                <w:color w:val="auto"/>
              </w:rPr>
            </w:pPr>
            <w:r>
              <w:rPr>
                <w:rFonts w:ascii="Arial" w:cs="Arial" w:eastAsia="Arial" w:hAnsi="Arial"/>
                <w:sz w:val="16"/>
                <w:szCs w:val="16"/>
                <w:color w:val="auto"/>
              </w:rPr>
              <w:t>Adjusted Diluted EPS</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119"/>
              <w:spacing w:after="0"/>
              <w:rPr>
                <w:sz w:val="20"/>
                <w:szCs w:val="20"/>
                <w:color w:val="auto"/>
              </w:rPr>
            </w:pPr>
            <w:r>
              <w:rPr>
                <w:rFonts w:ascii="Arial" w:cs="Arial" w:eastAsia="Arial" w:hAnsi="Arial"/>
                <w:sz w:val="16"/>
                <w:szCs w:val="16"/>
                <w:color w:val="auto"/>
              </w:rPr>
              <w:t>0.47</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ind w:right="219"/>
              <w:spacing w:after="0"/>
              <w:rPr>
                <w:sz w:val="20"/>
                <w:szCs w:val="20"/>
                <w:color w:val="auto"/>
              </w:rPr>
            </w:pPr>
            <w:r>
              <w:rPr>
                <w:rFonts w:ascii="Arial" w:cs="Arial" w:eastAsia="Arial" w:hAnsi="Arial"/>
                <w:sz w:val="16"/>
                <w:szCs w:val="16"/>
                <w:color w:val="auto"/>
              </w:rPr>
              <w:t>0.39</w:t>
            </w:r>
          </w:p>
        </w:tc>
        <w:tc>
          <w:tcPr>
            <w:tcW w:w="940" w:type="dxa"/>
            <w:vAlign w:val="bottom"/>
            <w:vMerge w:val="restart"/>
          </w:tcPr>
          <w:p>
            <w:pPr>
              <w:jc w:val="right"/>
              <w:ind w:right="199"/>
              <w:spacing w:after="0"/>
              <w:rPr>
                <w:sz w:val="20"/>
                <w:szCs w:val="20"/>
                <w:color w:val="auto"/>
              </w:rPr>
            </w:pPr>
            <w:r>
              <w:rPr>
                <w:rFonts w:ascii="Arial" w:cs="Arial" w:eastAsia="Arial" w:hAnsi="Arial"/>
                <w:sz w:val="16"/>
                <w:szCs w:val="16"/>
                <w:color w:val="auto"/>
              </w:rPr>
              <w:t>20.5 %</w:t>
            </w:r>
          </w:p>
        </w:tc>
        <w:tc>
          <w:tcPr>
            <w:tcW w:w="500" w:type="dxa"/>
            <w:vAlign w:val="bottom"/>
            <w:vMerge w:val="restart"/>
          </w:tcPr>
          <w:p>
            <w:pPr>
              <w:ind w:left="140"/>
              <w:spacing w:after="0"/>
              <w:rPr>
                <w:sz w:val="20"/>
                <w:szCs w:val="20"/>
                <w:color w:val="auto"/>
              </w:rPr>
            </w:pPr>
            <w:r>
              <w:rPr>
                <w:rFonts w:ascii="Arial" w:cs="Arial" w:eastAsia="Arial" w:hAnsi="Arial"/>
                <w:sz w:val="16"/>
                <w:szCs w:val="16"/>
                <w:color w:val="auto"/>
              </w:rPr>
              <w:t>25.6</w:t>
            </w:r>
          </w:p>
        </w:tc>
        <w:tc>
          <w:tcPr>
            <w:tcW w:w="32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20"/>
                <w:szCs w:val="20"/>
                <w:color w:val="auto"/>
              </w:rPr>
            </w:pPr>
            <w:r>
              <w:rPr>
                <w:rFonts w:ascii="Arial" w:cs="Arial" w:eastAsia="Arial" w:hAnsi="Arial"/>
                <w:sz w:val="11"/>
                <w:szCs w:val="11"/>
                <w:color w:val="auto"/>
              </w:rPr>
              <w:t>(1)</w:t>
            </w:r>
          </w:p>
        </w:tc>
        <w:tc>
          <w:tcPr>
            <w:tcW w:w="2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178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left="240" w:right="120" w:hanging="240"/>
        <w:spacing w:after="0" w:line="261"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Adjusted EBITDA, Adjusted EBITDA margin, Adjusted EBIT, Adjusted EBIT margin, Adjusted Net Income, Adjusted Diluted EPS and constant currency growth are non-GAAP financial measures. See "Non-GAAP Financial Measures" below and the attached schedules for additional information and reconciliations of such non-GAAP financial measures.</w:t>
      </w:r>
    </w:p>
    <w:p>
      <w:pPr>
        <w:spacing w:after="0" w:line="248" w:lineRule="exact"/>
        <w:rPr>
          <w:rFonts w:ascii="Arial" w:cs="Arial" w:eastAsia="Arial" w:hAnsi="Arial"/>
          <w:sz w:val="12"/>
          <w:szCs w:val="12"/>
          <w:color w:val="auto"/>
        </w:rPr>
      </w:pPr>
    </w:p>
    <w:p>
      <w:pPr>
        <w:ind w:left="180" w:hanging="180"/>
        <w:spacing w:after="0"/>
        <w:tabs>
          <w:tab w:leader="none" w:pos="180" w:val="left"/>
        </w:tabs>
        <w:numPr>
          <w:ilvl w:val="0"/>
          <w:numId w:val="2"/>
        </w:numPr>
        <w:rPr>
          <w:rFonts w:ascii="Arial" w:cs="Arial" w:eastAsia="Arial" w:hAnsi="Arial"/>
          <w:sz w:val="12"/>
          <w:szCs w:val="12"/>
          <w:color w:val="auto"/>
        </w:rPr>
      </w:pPr>
      <w:r>
        <w:rPr>
          <w:rFonts w:ascii="Arial" w:cs="Arial" w:eastAsia="Arial" w:hAnsi="Arial"/>
          <w:sz w:val="12"/>
          <w:szCs w:val="12"/>
          <w:color w:val="auto"/>
        </w:rPr>
        <w:t>Represents net income less net income attributable to non-controlling interests.</w:t>
      </w:r>
    </w:p>
    <w:p>
      <w:pPr>
        <w:sectPr>
          <w:pgSz w:w="11900" w:h="16838" w:orient="portrait"/>
          <w:cols w:equalWidth="0" w:num="2">
            <w:col w:w="5840" w:space="180"/>
            <w:col w:w="4820"/>
          </w:cols>
          <w:pgMar w:left="320" w:top="274" w:right="7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color w:val="083566"/>
        </w:rPr>
        <w:t>DISCUSSION OF RESULTS</w:t>
      </w:r>
    </w:p>
    <w:p>
      <w:pPr>
        <w:spacing w:after="0" w:line="100"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b w:val="1"/>
          <w:bCs w:val="1"/>
          <w:color w:val="auto"/>
        </w:rPr>
        <w:t xml:space="preserve">Rates </w:t>
      </w:r>
      <w:r>
        <w:rPr>
          <w:rFonts w:ascii="Arial" w:cs="Arial" w:eastAsia="Arial" w:hAnsi="Arial"/>
          <w:sz w:val="16"/>
          <w:szCs w:val="16"/>
          <w:color w:val="auto"/>
        </w:rPr>
        <w:t>– Revenues of $151.6 million in the second quarter of 2022 increased 13.1% compared to prior year period (17.6% on a constant currency basis).</w:t>
      </w:r>
      <w:r>
        <w:rPr>
          <w:rFonts w:ascii="Arial" w:cs="Arial" w:eastAsia="Arial" w:hAnsi="Arial"/>
          <w:sz w:val="16"/>
          <w:szCs w:val="16"/>
          <w:b w:val="1"/>
          <w:bCs w:val="1"/>
          <w:color w:val="auto"/>
        </w:rPr>
        <w:t xml:space="preserve"> </w:t>
      </w:r>
      <w:r>
        <w:rPr>
          <w:rFonts w:ascii="Arial" w:cs="Arial" w:eastAsia="Arial" w:hAnsi="Arial"/>
          <w:sz w:val="16"/>
          <w:szCs w:val="16"/>
          <w:color w:val="auto"/>
        </w:rPr>
        <w:t>Rates ADV was up 23.2% with record ADV in swaps/swaptions ≥ 1-year driven by robust client interest in the request-for-market (RFM) protocol, increased engagement from international clients and strong trading activity in emerging markets swaps.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Credit </w:t>
      </w:r>
      <w:r>
        <w:rPr>
          <w:rFonts w:ascii="Arial" w:cs="Arial" w:eastAsia="Arial" w:hAnsi="Arial"/>
          <w:sz w:val="16"/>
          <w:szCs w:val="16"/>
          <w:color w:val="auto"/>
        </w:rPr>
        <w:t>– Revenues of $84.0 million in the second quarter of 2022 increased 16.3% compared to prior year period (19.4% on a constant currency basis).</w:t>
      </w:r>
    </w:p>
    <w:p>
      <w:pPr>
        <w:spacing w:after="0" w:line="8" w:lineRule="exact"/>
        <w:rPr>
          <w:sz w:val="20"/>
          <w:szCs w:val="20"/>
          <w:color w:val="auto"/>
        </w:rPr>
      </w:pPr>
    </w:p>
    <w:p>
      <w:pPr>
        <w:ind w:right="460"/>
        <w:spacing w:after="0" w:line="220" w:lineRule="auto"/>
        <w:rPr>
          <w:sz w:val="20"/>
          <w:szCs w:val="20"/>
          <w:color w:val="auto"/>
        </w:rPr>
      </w:pPr>
      <w:r>
        <w:rPr>
          <w:rFonts w:ascii="Arial" w:cs="Arial" w:eastAsia="Arial" w:hAnsi="Arial"/>
          <w:sz w:val="16"/>
          <w:szCs w:val="16"/>
          <w:color w:val="auto"/>
        </w:rPr>
        <w:t>Credit ADV was up 47.4% with record ADV in fully electronic U.S. High Grade credit and municipal bonds. Tradeweb's share of fully electronic TRACE volume for U.S. High Grade and U.S. High Yield for the quarter increased by +70 bps and +140 bps, respectively, compared to prior year period. Client</w:t>
      </w:r>
    </w:p>
    <w:p>
      <w:pPr>
        <w:spacing w:after="0"/>
        <w:rPr>
          <w:sz w:val="20"/>
          <w:szCs w:val="20"/>
          <w:color w:val="auto"/>
        </w:rPr>
      </w:pPr>
      <w:r>
        <w:rPr>
          <w:rFonts w:ascii="Arial" w:cs="Arial" w:eastAsia="Arial" w:hAnsi="Arial"/>
          <w:sz w:val="16"/>
          <w:szCs w:val="16"/>
          <w:color w:val="auto"/>
        </w:rPr>
        <w:t>adoption was strong across Tradeweb protocols, including request-for-quote (RFQ), Tradeweb AllTrade and portfolio trading.</w:t>
      </w:r>
    </w:p>
    <w:p>
      <w:pPr>
        <w:spacing w:after="0" w:line="219" w:lineRule="exact"/>
        <w:rPr>
          <w:sz w:val="20"/>
          <w:szCs w:val="20"/>
          <w:color w:val="auto"/>
        </w:rPr>
      </w:pPr>
    </w:p>
    <w:p>
      <w:pPr>
        <w:ind w:right="220"/>
        <w:spacing w:after="0" w:line="230" w:lineRule="auto"/>
        <w:rPr>
          <w:sz w:val="20"/>
          <w:szCs w:val="20"/>
          <w:color w:val="auto"/>
        </w:rPr>
      </w:pPr>
      <w:r>
        <w:rPr>
          <w:rFonts w:ascii="Arial" w:cs="Arial" w:eastAsia="Arial" w:hAnsi="Arial"/>
          <w:sz w:val="16"/>
          <w:szCs w:val="16"/>
          <w:b w:val="1"/>
          <w:bCs w:val="1"/>
          <w:color w:val="auto"/>
        </w:rPr>
        <w:t xml:space="preserve">Equities </w:t>
      </w:r>
      <w:r>
        <w:rPr>
          <w:rFonts w:ascii="Arial" w:cs="Arial" w:eastAsia="Arial" w:hAnsi="Arial"/>
          <w:sz w:val="16"/>
          <w:szCs w:val="16"/>
          <w:color w:val="auto"/>
        </w:rPr>
        <w:t>– Revenues of $22.7 million in the second quarter of 2022 increased 30.2% compared to prior year period (37.6% on a constant currency basis).</w:t>
      </w:r>
      <w:r>
        <w:rPr>
          <w:rFonts w:ascii="Arial" w:cs="Arial" w:eastAsia="Arial" w:hAnsi="Arial"/>
          <w:sz w:val="16"/>
          <w:szCs w:val="16"/>
          <w:b w:val="1"/>
          <w:bCs w:val="1"/>
          <w:color w:val="auto"/>
        </w:rPr>
        <w:t xml:space="preserve"> </w:t>
      </w:r>
      <w:r>
        <w:rPr>
          <w:rFonts w:ascii="Arial" w:cs="Arial" w:eastAsia="Arial" w:hAnsi="Arial"/>
          <w:sz w:val="16"/>
          <w:szCs w:val="16"/>
          <w:color w:val="auto"/>
        </w:rPr>
        <w:t>Equities ADV was up 4.1%, with double-digit ADV increases in U.S. and European ETFs offset by double-digit ADV decreases in equity derivatives as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market volatility remained elevated.</w:t>
      </w:r>
    </w:p>
    <w:p>
      <w:pPr>
        <w:spacing w:after="0" w:line="205" w:lineRule="exact"/>
        <w:rPr>
          <w:sz w:val="20"/>
          <w:szCs w:val="20"/>
          <w:color w:val="auto"/>
        </w:rPr>
      </w:pPr>
    </w:p>
    <w:p>
      <w:pPr>
        <w:ind w:right="300"/>
        <w:spacing w:after="0" w:line="268" w:lineRule="auto"/>
        <w:rPr>
          <w:sz w:val="20"/>
          <w:szCs w:val="20"/>
          <w:color w:val="auto"/>
        </w:rPr>
      </w:pPr>
      <w:r>
        <w:rPr>
          <w:rFonts w:ascii="Arial" w:cs="Arial" w:eastAsia="Arial" w:hAnsi="Arial"/>
          <w:sz w:val="16"/>
          <w:szCs w:val="16"/>
          <w:b w:val="1"/>
          <w:bCs w:val="1"/>
          <w:color w:val="auto"/>
        </w:rPr>
        <w:t xml:space="preserve">Money Markets </w:t>
      </w:r>
      <w:r>
        <w:rPr>
          <w:rFonts w:ascii="Arial" w:cs="Arial" w:eastAsia="Arial" w:hAnsi="Arial"/>
          <w:sz w:val="16"/>
          <w:szCs w:val="16"/>
          <w:color w:val="auto"/>
        </w:rPr>
        <w:t>– Revenues of $12.2 million in the second quarter of 2022 increased 7.3% compared to prior year period (10.5%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Money Markets ADV was up 15.5% led by record ADV in Repurchase Agreements.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Market Data </w:t>
      </w:r>
      <w:r>
        <w:rPr>
          <w:rFonts w:ascii="Arial" w:cs="Arial" w:eastAsia="Arial" w:hAnsi="Arial"/>
          <w:sz w:val="16"/>
          <w:szCs w:val="16"/>
          <w:color w:val="auto"/>
        </w:rPr>
        <w:t>– Revenues of $21.0 million in the second quarter of 2022 increased 5.1% compared to prior year period (7.0% on a constant currency basis).</w:t>
      </w:r>
    </w:p>
    <w:p>
      <w:pPr>
        <w:spacing w:after="0"/>
        <w:rPr>
          <w:sz w:val="20"/>
          <w:szCs w:val="20"/>
          <w:color w:val="auto"/>
        </w:rPr>
      </w:pPr>
      <w:r>
        <w:rPr>
          <w:rFonts w:ascii="Arial" w:cs="Arial" w:eastAsia="Arial" w:hAnsi="Arial"/>
          <w:sz w:val="16"/>
          <w:szCs w:val="16"/>
          <w:color w:val="auto"/>
        </w:rPr>
        <w:t>The increase was derived from increased third party market data fees and Refinitiv market data fees.</w:t>
      </w:r>
    </w:p>
    <w:p>
      <w:pPr>
        <w:spacing w:after="0" w:line="219" w:lineRule="exact"/>
        <w:rPr>
          <w:sz w:val="20"/>
          <w:szCs w:val="20"/>
          <w:color w:val="auto"/>
        </w:rPr>
      </w:pPr>
    </w:p>
    <w:p>
      <w:pPr>
        <w:ind w:right="440"/>
        <w:spacing w:after="0" w:line="251"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 Revenues of $5.7 million in the second quarter of 2022 decreased 3.0% compared to prior year period (2.9% decrease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w:t>
      </w:r>
    </w:p>
    <w:p>
      <w:pPr>
        <w:spacing w:after="0" w:line="196" w:lineRule="exact"/>
        <w:rPr>
          <w:sz w:val="20"/>
          <w:szCs w:val="20"/>
          <w:color w:val="auto"/>
        </w:rPr>
      </w:pPr>
    </w:p>
    <w:p>
      <w:pPr>
        <w:ind w:right="340"/>
        <w:spacing w:after="0" w:line="230" w:lineRule="auto"/>
        <w:rPr>
          <w:sz w:val="20"/>
          <w:szCs w:val="20"/>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of $190.5 million in the second quarter of 2022 increased 7.6% compared to $177.0 million in the prior year period due to: higher</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compensation and benefits associated with higher headcount to support growth and higher performance-related compensation, including $5.7</w:t>
      </w:r>
    </w:p>
    <w:p>
      <w:pPr>
        <w:spacing w:after="0" w:line="230" w:lineRule="auto"/>
        <w:rPr>
          <w:sz w:val="20"/>
          <w:szCs w:val="20"/>
          <w:color w:val="auto"/>
        </w:rPr>
      </w:pPr>
      <w:r>
        <w:rPr>
          <w:rFonts w:ascii="Arial" w:cs="Arial" w:eastAsia="Arial" w:hAnsi="Arial"/>
          <w:sz w:val="16"/>
          <w:szCs w:val="16"/>
          <w:color w:val="auto"/>
        </w:rPr>
        <w:t>million in CEO Retirement Accelerated Stock-Based Compensation Expense recognized during the second quarter of 2022; higher depreciation and</w:t>
      </w:r>
    </w:p>
    <w:p>
      <w:pPr>
        <w:ind w:right="340"/>
        <w:spacing w:after="0" w:line="220" w:lineRule="auto"/>
        <w:rPr>
          <w:sz w:val="20"/>
          <w:szCs w:val="20"/>
          <w:color w:val="auto"/>
        </w:rPr>
      </w:pPr>
      <w:r>
        <w:rPr>
          <w:rFonts w:ascii="Arial" w:cs="Arial" w:eastAsia="Arial" w:hAnsi="Arial"/>
          <w:sz w:val="16"/>
          <w:szCs w:val="16"/>
          <w:color w:val="auto"/>
        </w:rPr>
        <w:t>amortization expense; and higher technology and communications expenses primarily due to increased clearing and data fees driven by higher trading volumes; partially offset by lower general and administrative expense, as foreign exchange gains increased more than travel and entertainment expense</w:t>
      </w:r>
    </w:p>
    <w:p>
      <w:pPr>
        <w:spacing w:after="0"/>
        <w:rPr>
          <w:sz w:val="20"/>
          <w:szCs w:val="20"/>
          <w:color w:val="auto"/>
        </w:rPr>
      </w:pPr>
      <w:r>
        <w:rPr>
          <w:rFonts w:ascii="Arial" w:cs="Arial" w:eastAsia="Arial" w:hAnsi="Arial"/>
          <w:sz w:val="16"/>
          <w:szCs w:val="16"/>
          <w:color w:val="auto"/>
        </w:rPr>
        <w:t>increased following the easing of restrictions relating to the pandemic.</w:t>
      </w:r>
    </w:p>
    <w:p>
      <w:pPr>
        <w:spacing w:after="0" w:line="205" w:lineRule="exact"/>
        <w:rPr>
          <w:sz w:val="20"/>
          <w:szCs w:val="20"/>
          <w:color w:val="auto"/>
        </w:rPr>
      </w:pPr>
    </w:p>
    <w:p>
      <w:pPr>
        <w:ind w:right="400"/>
        <w:spacing w:after="0" w:line="239" w:lineRule="auto"/>
        <w:rPr>
          <w:sz w:val="20"/>
          <w:szCs w:val="20"/>
          <w:color w:val="auto"/>
        </w:rPr>
      </w:pPr>
      <w:r>
        <w:rPr>
          <w:rFonts w:ascii="Arial" w:cs="Arial" w:eastAsia="Arial" w:hAnsi="Arial"/>
          <w:sz w:val="16"/>
          <w:szCs w:val="16"/>
          <w:b w:val="1"/>
          <w:bCs w:val="1"/>
          <w:color w:val="auto"/>
        </w:rPr>
        <w:t xml:space="preserve">Adjusted Expenses </w:t>
      </w:r>
      <w:r>
        <w:rPr>
          <w:rFonts w:ascii="Arial" w:cs="Arial" w:eastAsia="Arial" w:hAnsi="Arial"/>
          <w:sz w:val="16"/>
          <w:szCs w:val="16"/>
          <w:color w:val="auto"/>
        </w:rPr>
        <w:t>of $154.5 million increased 9.9% (12.6% on a constant currency basis) compared to the prior year period due to: higher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and benefits associated with higher headcount to support growth and higher performance-related compensation; higher general and</w:t>
      </w:r>
    </w:p>
    <w:p>
      <w:pPr>
        <w:spacing w:after="0" w:line="1" w:lineRule="exact"/>
        <w:rPr>
          <w:sz w:val="20"/>
          <w:szCs w:val="20"/>
          <w:color w:val="auto"/>
        </w:rPr>
      </w:pPr>
    </w:p>
    <w:p>
      <w:pPr>
        <w:ind w:right="300"/>
        <w:spacing w:after="0" w:line="235" w:lineRule="auto"/>
        <w:rPr>
          <w:sz w:val="20"/>
          <w:szCs w:val="20"/>
          <w:color w:val="auto"/>
        </w:rPr>
      </w:pPr>
      <w:r>
        <w:rPr>
          <w:rFonts w:ascii="Arial" w:cs="Arial" w:eastAsia="Arial" w:hAnsi="Arial"/>
          <w:sz w:val="16"/>
          <w:szCs w:val="16"/>
          <w:color w:val="auto"/>
        </w:rPr>
        <w:t>administrative expenses; higher technology and communications expenses; and higher depreciation and amortization expenses. Please see "Non-GAAP Financial Measures" below for additional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RECENT HIGHLIGHTS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Second Quarter 2022</w:t>
      </w:r>
    </w:p>
    <w:p>
      <w:pPr>
        <w:spacing w:after="0" w:line="127"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Launched Spotlight Dealer Diversity Program designed to promote diverse dealers on the Tradeweb platform</w:t>
      </w:r>
    </w:p>
    <w:p>
      <w:pPr>
        <w:spacing w:after="0" w:line="2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Introduced enhanced functionality of electronic portfolio trading tool to increase flexibility and efficiency for institutional clients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Completed the first-ever fully electronic SOFR swaption trade</w:t>
      </w:r>
    </w:p>
    <w:p>
      <w:pPr>
        <w:spacing w:after="0" w:line="14" w:lineRule="exact"/>
        <w:rPr>
          <w:rFonts w:ascii="Arial" w:cs="Arial" w:eastAsia="Arial" w:hAnsi="Arial"/>
          <w:sz w:val="16"/>
          <w:szCs w:val="16"/>
          <w:color w:val="auto"/>
        </w:rPr>
      </w:pPr>
    </w:p>
    <w:p>
      <w:pPr>
        <w:ind w:left="660" w:right="140" w:hanging="328"/>
        <w:spacing w:after="0" w:line="267"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Recognized in numerous awards including: </w:t>
      </w:r>
      <w:r>
        <w:rPr>
          <w:rFonts w:ascii="Arial" w:cs="Arial" w:eastAsia="Arial" w:hAnsi="Arial"/>
          <w:sz w:val="16"/>
          <w:szCs w:val="16"/>
          <w:i w:val="1"/>
          <w:iCs w:val="1"/>
          <w:color w:val="auto"/>
        </w:rPr>
        <w:t>Trading &amp; Tech Awards — Best Fixed Income Trading Platform (Financial News); Trading &amp; Tech</w:t>
      </w:r>
      <w:r>
        <w:rPr>
          <w:rFonts w:ascii="Arial" w:cs="Arial" w:eastAsia="Arial" w:hAnsi="Arial"/>
          <w:sz w:val="16"/>
          <w:szCs w:val="16"/>
          <w:color w:val="auto"/>
        </w:rPr>
        <w:t xml:space="preserve"> </w:t>
      </w:r>
      <w:r>
        <w:rPr>
          <w:rFonts w:ascii="Arial" w:cs="Arial" w:eastAsia="Arial" w:hAnsi="Arial"/>
          <w:sz w:val="16"/>
          <w:szCs w:val="16"/>
          <w:i w:val="1"/>
          <w:iCs w:val="1"/>
          <w:color w:val="auto"/>
        </w:rPr>
        <w:t>Awards, Trading Initiative of the Year — AiEX (Financial News); 40 Top Innovators in Financial Markets — Lee Olesky (TabbForum); Person of the Decade — Lee Olesky (Markets Media); Women in Finance Asia Awards, Excellence in Trading — YiLin Lee (Markets Media</w:t>
      </w:r>
      <w:r>
        <w:rPr>
          <w:rFonts w:ascii="Arial" w:cs="Arial" w:eastAsia="Arial" w:hAnsi="Arial"/>
          <w:sz w:val="16"/>
          <w:szCs w:val="16"/>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July 2022</w:t>
      </w:r>
    </w:p>
    <w:p>
      <w:pPr>
        <w:spacing w:after="0" w:line="113"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Announced Thomas Pluta will join Tradeweb in October as President-elect</w:t>
      </w:r>
    </w:p>
    <w:p>
      <w:pPr>
        <w:spacing w:after="0" w:line="30"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Appointed Jacques Aigrain and Rana Yared as Independent Directors to Tradeweb’s board</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Celebrated the opening of Tradeweb’s new Paris office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CAPITAL MANAGEMENT</w:t>
      </w:r>
    </w:p>
    <w:p>
      <w:pPr>
        <w:spacing w:after="0" w:line="113"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$959.7 million in cash and cash equivalents and an undrawn $500 million credit facility at June 30, 2022</w:t>
      </w:r>
    </w:p>
    <w:p>
      <w:pPr>
        <w:spacing w:after="0" w:line="21"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Non-acquisition related capital expenditures and capitalization of software development in second quarter 2022: $15.0 million</w:t>
      </w:r>
    </w:p>
    <w:p>
      <w:pPr>
        <w:spacing w:after="0" w:line="14" w:lineRule="exact"/>
        <w:rPr>
          <w:rFonts w:ascii="Arial" w:cs="Arial" w:eastAsia="Arial" w:hAnsi="Arial"/>
          <w:sz w:val="16"/>
          <w:szCs w:val="16"/>
          <w:color w:val="auto"/>
        </w:rPr>
      </w:pPr>
    </w:p>
    <w:p>
      <w:pPr>
        <w:ind w:left="660" w:right="140" w:hanging="328"/>
        <w:spacing w:after="0" w:line="249"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Free cash flow for the trailing twelve months ended June 30, 2022 of $538.4 million, up 24.1% compared to the prior year period. See “Non-GAAP Financial Measures” for additional information</w:t>
      </w:r>
    </w:p>
    <w:p>
      <w:pPr>
        <w:jc w:val="both"/>
        <w:ind w:left="660" w:right="20" w:hanging="328"/>
        <w:spacing w:after="0" w:line="256"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During the second quarter of 2022, as part of its Share Repurchase Program, Tradeweb purchased 103,458 shares of Class A common stock, at an average price of $86.99, for purchases totaling $9.0 million. As of June 30, 2022, a total of $18.0 million remained available for repurchase pursuant to the Share Repurchase Program</w:t>
      </w:r>
    </w:p>
    <w:p>
      <w:pPr>
        <w:spacing w:after="0" w:line="1" w:lineRule="exact"/>
        <w:rPr>
          <w:rFonts w:ascii="Arial" w:cs="Arial" w:eastAsia="Arial" w:hAnsi="Arial"/>
          <w:sz w:val="16"/>
          <w:szCs w:val="16"/>
          <w:color w:val="auto"/>
        </w:rPr>
      </w:pPr>
    </w:p>
    <w:p>
      <w:pPr>
        <w:ind w:left="660" w:right="260" w:hanging="328"/>
        <w:spacing w:after="0" w:line="249"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$2.2 million in shares were withheld in the second quarter of 2022 to satisfy tax obligations related to the exercise of stock options and vesting of restricted stock units and performance-based restricted stock units</w:t>
      </w:r>
    </w:p>
    <w:p>
      <w:pPr>
        <w:ind w:left="660" w:right="440" w:hanging="328"/>
        <w:spacing w:after="0" w:line="283"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Board of Directors of Tradeweb Markets Inc. declared a quarterly cash dividend of $0.08 per share of Class A common stock and Class B common stock. The dividend will be payable on September 15, 2022 to stockholders of record as of September 1, 2022</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2</w:t>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083566"/>
        </w:rPr>
        <w:t>OTHER MATTERS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Full-Year 2022 Guidance*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Full-Year 2022 guidance is unchanged from previous confirmation on July 13, 2022.</w:t>
      </w:r>
    </w:p>
    <w:p>
      <w:pPr>
        <w:spacing w:after="0" w:line="21"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Adjusted Expenses: $620 - $655 million</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Acquisition and Refinitiv Transaction related depreciation and amortization expense: $127 million</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Assumed non-GAAP tax rate: ~22.0%</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Capital expenditures and capitalization of software development: $62 - $68 million</w:t>
      </w:r>
    </w:p>
    <w:p>
      <w:pPr>
        <w:spacing w:after="0" w:line="252" w:lineRule="exact"/>
        <w:rPr>
          <w:sz w:val="20"/>
          <w:szCs w:val="20"/>
          <w:color w:val="auto"/>
        </w:rPr>
      </w:pPr>
    </w:p>
    <w:p>
      <w:pPr>
        <w:ind w:left="340" w:right="400"/>
        <w:spacing w:after="0" w:line="302" w:lineRule="auto"/>
        <w:rPr>
          <w:sz w:val="20"/>
          <w:szCs w:val="20"/>
          <w:color w:val="auto"/>
        </w:rPr>
      </w:pPr>
      <w:r>
        <w:rPr>
          <w:rFonts w:ascii="Arial" w:cs="Arial" w:eastAsia="Arial" w:hAnsi="Arial"/>
          <w:sz w:val="14"/>
          <w:szCs w:val="14"/>
          <w:i w:val="1"/>
          <w:iCs w:val="1"/>
          <w:color w:val="auto"/>
        </w:rPr>
        <w:t>*GAAP operating expenses and tax rate guidance are not provided due to the inherent difficulty in quantifying certain amounts due to a variety of factors including the unpredictability in the movement of foreign currency rates.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CONFERENCE CALL</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Tradeweb Markets will hold a conference call to discuss second quarter 2022 results starting at 9:30 AM EDT today, August 3, 2022. A live, audio webcast of the conference call along with related materials will be available at </w:t>
      </w:r>
      <w:r>
        <w:rPr>
          <w:rFonts w:ascii="Arial" w:cs="Arial" w:eastAsia="Arial" w:hAnsi="Arial"/>
          <w:sz w:val="16"/>
          <w:szCs w:val="16"/>
          <w:u w:val="single" w:color="auto"/>
          <w:color w:val="0E32E1"/>
        </w:rPr>
        <w:t>http://investors.tradeweb.com</w:t>
      </w:r>
      <w:r>
        <w:rPr>
          <w:rFonts w:ascii="Arial" w:cs="Arial" w:eastAsia="Arial" w:hAnsi="Arial"/>
          <w:sz w:val="16"/>
          <w:szCs w:val="16"/>
          <w:color w:val="auto"/>
        </w:rPr>
        <w:t>. Alternatively, interested parties can register to participate in the call by visiting:</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u w:val="single" w:color="auto"/>
          <w:color w:val="0E32E1"/>
        </w:rPr>
        <w:t>https://register.vevent.com/register/BI98ccb1882ae84eeaac3d661d30a62957</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After the conference call, an archived recording will be available at </w:t>
      </w:r>
      <w:r>
        <w:rPr>
          <w:rFonts w:ascii="Arial" w:cs="Arial" w:eastAsia="Arial" w:hAnsi="Arial"/>
          <w:sz w:val="16"/>
          <w:szCs w:val="16"/>
          <w:u w:val="single" w:color="auto"/>
          <w:color w:val="0E32E1"/>
        </w:rPr>
        <w:t>http://investors.tradeweb.com</w:t>
      </w:r>
      <w:r>
        <w:rPr>
          <w:rFonts w:ascii="Arial" w:cs="Arial" w:eastAsia="Arial" w:hAnsi="Arial"/>
          <w:sz w:val="16"/>
          <w:szCs w:val="16"/>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ABOUT TRADEWEB MARKETS</w:t>
      </w:r>
    </w:p>
    <w:p>
      <w:pPr>
        <w:spacing w:after="0" w:line="127"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Tradeweb Markets Inc. (Nasdaq: TW) is a leading, global operator of electronic marketplaces for rates, credit, equities and money markets. Founded in 1996, Tradeweb provides access to markets, data and analytics, electronic trading, straight-through-processing and reporting for more than 40 products to clients in the institutional, wholesale and retail markets. Advanced technologies developed by Tradeweb enhance price discovery, order execution and trade workflows while allowing for greater scale and helping to reduce risks in client trading operations. Tradeweb serves approximately 2,500 clients in more than 65 countries. On average, Tradeweb facilitated more than $1 trillion in notional value traded per day over the past four fiscal quarters. For more information,</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please go to </w:t>
      </w:r>
      <w:r>
        <w:rPr>
          <w:rFonts w:ascii="Arial" w:cs="Arial" w:eastAsia="Arial" w:hAnsi="Arial"/>
          <w:sz w:val="16"/>
          <w:szCs w:val="16"/>
          <w:u w:val="single" w:color="auto"/>
          <w:color w:val="0E32E1"/>
        </w:rPr>
        <w:t>www.tradeweb.com</w:t>
      </w:r>
      <w:r>
        <w:rPr>
          <w:rFonts w:ascii="Arial" w:cs="Arial" w:eastAsia="Arial" w:hAnsi="Arial"/>
          <w:sz w:val="16"/>
          <w:szCs w:val="16"/>
          <w:color w:val="0E32E1"/>
        </w:rPr>
        <w:t>.</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3</w:t>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INCOME STATEMENT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Dollars in Thousands, Except Per Share Data</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40" w:type="dxa"/>
            <w:vAlign w:val="bottom"/>
            <w:gridSpan w:val="5"/>
          </w:tcPr>
          <w:p>
            <w:pPr>
              <w:ind w:left="52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9"/>
                <w:szCs w:val="19"/>
                <w:color w:val="auto"/>
              </w:rPr>
            </w:pPr>
          </w:p>
        </w:tc>
        <w:tc>
          <w:tcPr>
            <w:tcW w:w="288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Six Months Ended</w:t>
            </w:r>
          </w:p>
        </w:tc>
      </w:tr>
      <w:tr>
        <w:trPr>
          <w:trHeight w:val="247"/>
        </w:trPr>
        <w:tc>
          <w:tcPr>
            <w:tcW w:w="49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12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1200" w:type="dxa"/>
            <w:vAlign w:val="bottom"/>
            <w:tcBorders>
              <w:bottom w:val="single" w:sz="8" w:color="auto"/>
            </w:tcBorders>
          </w:tcPr>
          <w:p>
            <w:pPr>
              <w:spacing w:after="0"/>
              <w:rPr>
                <w:sz w:val="21"/>
                <w:szCs w:val="21"/>
                <w:color w:val="auto"/>
              </w:rPr>
            </w:pPr>
          </w:p>
        </w:tc>
      </w:tr>
      <w:tr>
        <w:trPr>
          <w:trHeight w:val="237"/>
        </w:trPr>
        <w:tc>
          <w:tcPr>
            <w:tcW w:w="49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D5DCE4"/>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240"/>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Revenues</w:t>
            </w:r>
          </w:p>
        </w:tc>
        <w:tc>
          <w:tcPr>
            <w:tcW w:w="220" w:type="dxa"/>
            <w:vAlign w:val="bottom"/>
            <w:shd w:val="clear" w:color="auto" w:fill="D5DCE4"/>
          </w:tcPr>
          <w:p>
            <w:pPr>
              <w:spacing w:after="0"/>
              <w:rPr>
                <w:sz w:val="20"/>
                <w:szCs w:val="20"/>
                <w:color w:val="auto"/>
              </w:rPr>
            </w:pPr>
          </w:p>
        </w:tc>
        <w:tc>
          <w:tcPr>
            <w:tcW w:w="1360" w:type="dxa"/>
            <w:vAlign w:val="bottom"/>
            <w:gridSpan w:val="2"/>
            <w:shd w:val="clear" w:color="auto" w:fill="D5DCE4"/>
          </w:tcPr>
          <w:p>
            <w:pPr>
              <w:ind w:left="120"/>
              <w:spacing w:after="0"/>
              <w:rPr>
                <w:sz w:val="20"/>
                <w:szCs w:val="20"/>
                <w:color w:val="auto"/>
              </w:rPr>
            </w:pPr>
            <w:r>
              <w:rPr>
                <w:rFonts w:ascii="Arial" w:cs="Arial" w:eastAsia="Arial" w:hAnsi="Arial"/>
                <w:sz w:val="16"/>
                <w:szCs w:val="16"/>
                <w:color w:val="auto"/>
              </w:rPr>
              <w:t>(unaudited)</w:t>
            </w:r>
          </w:p>
        </w:tc>
        <w:tc>
          <w:tcPr>
            <w:tcW w:w="300" w:type="dxa"/>
            <w:vAlign w:val="bottom"/>
            <w:shd w:val="clear" w:color="auto" w:fill="D5DCE4"/>
          </w:tcPr>
          <w:p>
            <w:pPr>
              <w:spacing w:after="0"/>
              <w:rPr>
                <w:sz w:val="20"/>
                <w:szCs w:val="20"/>
                <w:color w:val="auto"/>
              </w:rPr>
            </w:pPr>
          </w:p>
        </w:tc>
        <w:tc>
          <w:tcPr>
            <w:tcW w:w="1280" w:type="dxa"/>
            <w:vAlign w:val="bottom"/>
            <w:gridSpan w:val="2"/>
            <w:shd w:val="clear" w:color="auto" w:fill="D5DCE4"/>
          </w:tcPr>
          <w:p>
            <w:pPr>
              <w:ind w:left="40"/>
              <w:spacing w:after="0"/>
              <w:rPr>
                <w:sz w:val="20"/>
                <w:szCs w:val="20"/>
                <w:color w:val="auto"/>
              </w:rPr>
            </w:pPr>
            <w:r>
              <w:rPr>
                <w:rFonts w:ascii="Arial" w:cs="Arial" w:eastAsia="Arial" w:hAnsi="Arial"/>
                <w:sz w:val="16"/>
                <w:szCs w:val="16"/>
                <w:color w:val="auto"/>
              </w:rPr>
              <w:t>(unaudited)</w:t>
            </w:r>
          </w:p>
        </w:tc>
        <w:tc>
          <w:tcPr>
            <w:tcW w:w="220" w:type="dxa"/>
            <w:vAlign w:val="bottom"/>
            <w:shd w:val="clear" w:color="auto" w:fill="D5DCE4"/>
          </w:tcPr>
          <w:p>
            <w:pPr>
              <w:spacing w:after="0"/>
              <w:rPr>
                <w:sz w:val="20"/>
                <w:szCs w:val="20"/>
                <w:color w:val="auto"/>
              </w:rPr>
            </w:pPr>
          </w:p>
        </w:tc>
        <w:tc>
          <w:tcPr>
            <w:tcW w:w="1360" w:type="dxa"/>
            <w:vAlign w:val="bottom"/>
            <w:gridSpan w:val="2"/>
            <w:shd w:val="clear" w:color="auto" w:fill="D5DCE4"/>
          </w:tcPr>
          <w:p>
            <w:pPr>
              <w:ind w:left="120"/>
              <w:spacing w:after="0"/>
              <w:rPr>
                <w:sz w:val="20"/>
                <w:szCs w:val="20"/>
                <w:color w:val="auto"/>
              </w:rPr>
            </w:pPr>
            <w:r>
              <w:rPr>
                <w:rFonts w:ascii="Arial" w:cs="Arial" w:eastAsia="Arial" w:hAnsi="Arial"/>
                <w:sz w:val="16"/>
                <w:szCs w:val="16"/>
                <w:color w:val="auto"/>
              </w:rPr>
              <w:t>(unaudited)</w:t>
            </w:r>
          </w:p>
        </w:tc>
        <w:tc>
          <w:tcPr>
            <w:tcW w:w="320" w:type="dxa"/>
            <w:vAlign w:val="bottom"/>
            <w:shd w:val="clear" w:color="auto" w:fill="D5DCE4"/>
          </w:tcPr>
          <w:p>
            <w:pPr>
              <w:spacing w:after="0"/>
              <w:rPr>
                <w:sz w:val="20"/>
                <w:szCs w:val="20"/>
                <w:color w:val="auto"/>
              </w:rPr>
            </w:pPr>
          </w:p>
        </w:tc>
        <w:tc>
          <w:tcPr>
            <w:tcW w:w="1200" w:type="dxa"/>
            <w:vAlign w:val="bottom"/>
            <w:shd w:val="clear" w:color="auto" w:fill="D5DCE4"/>
          </w:tcPr>
          <w:p>
            <w:pPr>
              <w:jc w:val="right"/>
              <w:ind w:right="259"/>
              <w:spacing w:after="0"/>
              <w:rPr>
                <w:sz w:val="20"/>
                <w:szCs w:val="20"/>
                <w:color w:val="auto"/>
              </w:rPr>
            </w:pPr>
            <w:r>
              <w:rPr>
                <w:rFonts w:ascii="Arial" w:cs="Arial" w:eastAsia="Arial" w:hAnsi="Arial"/>
                <w:sz w:val="16"/>
                <w:szCs w:val="16"/>
                <w:color w:val="auto"/>
              </w:rPr>
              <w:t>(unaudited)</w:t>
            </w:r>
          </w:p>
        </w:tc>
      </w:tr>
      <w:tr>
        <w:trPr>
          <w:trHeight w:val="235"/>
        </w:trPr>
        <w:tc>
          <w:tcPr>
            <w:tcW w:w="4980" w:type="dxa"/>
            <w:vAlign w:val="bottom"/>
          </w:tcPr>
          <w:p>
            <w:pPr>
              <w:ind w:left="140"/>
              <w:spacing w:after="0"/>
              <w:rPr>
                <w:sz w:val="20"/>
                <w:szCs w:val="20"/>
                <w:color w:val="auto"/>
              </w:rPr>
            </w:pPr>
            <w:r>
              <w:rPr>
                <w:rFonts w:ascii="Arial" w:cs="Arial" w:eastAsia="Arial" w:hAnsi="Arial"/>
                <w:sz w:val="16"/>
                <w:szCs w:val="16"/>
                <w:color w:val="auto"/>
              </w:rPr>
              <w:t>Transaction fees and commissions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237,669</w:t>
            </w:r>
          </w:p>
        </w:tc>
        <w:tc>
          <w:tcPr>
            <w:tcW w:w="8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205,381</w:t>
            </w:r>
          </w:p>
        </w:tc>
        <w:tc>
          <w:tcPr>
            <w:tcW w:w="8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489,474</w:t>
            </w:r>
          </w:p>
        </w:tc>
        <w:tc>
          <w:tcPr>
            <w:tcW w:w="8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423,197</w:t>
            </w:r>
          </w:p>
        </w:tc>
      </w:tr>
      <w:tr>
        <w:trPr>
          <w:trHeight w:val="251"/>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Subscription fees</w:t>
            </w: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41,540</w:t>
            </w:r>
          </w:p>
        </w:tc>
        <w:tc>
          <w:tcPr>
            <w:tcW w:w="80" w:type="dxa"/>
            <w:vAlign w:val="bottom"/>
            <w:shd w:val="clear" w:color="auto" w:fill="D5DCE4"/>
          </w:tcPr>
          <w:p>
            <w:pPr>
              <w:spacing w:after="0"/>
              <w:rPr>
                <w:sz w:val="21"/>
                <w:szCs w:val="21"/>
                <w:color w:val="auto"/>
              </w:rPr>
            </w:pPr>
          </w:p>
        </w:tc>
        <w:tc>
          <w:tcPr>
            <w:tcW w:w="300" w:type="dxa"/>
            <w:vAlign w:val="bottom"/>
            <w:shd w:val="clear" w:color="auto" w:fill="D5DCE4"/>
          </w:tcPr>
          <w:p>
            <w:pPr>
              <w:spacing w:after="0"/>
              <w:rPr>
                <w:sz w:val="21"/>
                <w:szCs w:val="21"/>
                <w:color w:val="auto"/>
              </w:rPr>
            </w:pP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37,883</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82,995</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75,751</w:t>
            </w:r>
          </w:p>
        </w:tc>
      </w:tr>
      <w:tr>
        <w:trPr>
          <w:trHeight w:val="235"/>
        </w:trPr>
        <w:tc>
          <w:tcPr>
            <w:tcW w:w="4980" w:type="dxa"/>
            <w:vAlign w:val="bottom"/>
          </w:tcPr>
          <w:p>
            <w:pPr>
              <w:ind w:left="140"/>
              <w:spacing w:after="0"/>
              <w:rPr>
                <w:sz w:val="20"/>
                <w:szCs w:val="20"/>
                <w:color w:val="auto"/>
              </w:rPr>
            </w:pPr>
            <w:r>
              <w:rPr>
                <w:rFonts w:ascii="Arial" w:cs="Arial" w:eastAsia="Arial" w:hAnsi="Arial"/>
                <w:sz w:val="16"/>
                <w:szCs w:val="16"/>
                <w:color w:val="auto"/>
              </w:rPr>
              <w:t>Refinitiv market data fees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15,426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14,926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30,984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30,043</w:t>
            </w:r>
          </w:p>
        </w:tc>
      </w:tr>
      <w:tr>
        <w:trPr>
          <w:trHeight w:val="251"/>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2,503</w:t>
            </w:r>
          </w:p>
        </w:tc>
        <w:tc>
          <w:tcPr>
            <w:tcW w:w="80" w:type="dxa"/>
            <w:vAlign w:val="bottom"/>
            <w:shd w:val="clear" w:color="auto" w:fill="D5DCE4"/>
          </w:tcPr>
          <w:p>
            <w:pPr>
              <w:spacing w:after="0"/>
              <w:rPr>
                <w:sz w:val="21"/>
                <w:szCs w:val="21"/>
                <w:color w:val="auto"/>
              </w:rPr>
            </w:pPr>
          </w:p>
        </w:tc>
        <w:tc>
          <w:tcPr>
            <w:tcW w:w="300" w:type="dxa"/>
            <w:vAlign w:val="bottom"/>
            <w:tcBorders>
              <w:bottom w:val="single" w:sz="8" w:color="auto"/>
            </w:tcBorders>
            <w:shd w:val="clear" w:color="auto" w:fill="D5DCE4"/>
          </w:tcPr>
          <w:p>
            <w:pPr>
              <w:spacing w:after="0"/>
              <w:rPr>
                <w:sz w:val="21"/>
                <w:szCs w:val="21"/>
                <w:color w:val="auto"/>
              </w:rPr>
            </w:pP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2,650</w:t>
            </w:r>
          </w:p>
        </w:tc>
        <w:tc>
          <w:tcPr>
            <w:tcW w:w="80" w:type="dxa"/>
            <w:vAlign w:val="bottom"/>
            <w:shd w:val="clear" w:color="auto" w:fill="D5DCE4"/>
          </w:tcPr>
          <w:p>
            <w:pPr>
              <w:spacing w:after="0"/>
              <w:rPr>
                <w:sz w:val="21"/>
                <w:szCs w:val="21"/>
                <w:color w:val="auto"/>
              </w:rPr>
            </w:pP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5,171</w:t>
            </w:r>
          </w:p>
        </w:tc>
        <w:tc>
          <w:tcPr>
            <w:tcW w:w="80" w:type="dxa"/>
            <w:vAlign w:val="bottom"/>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5,248</w:t>
            </w:r>
          </w:p>
        </w:tc>
      </w:tr>
      <w:tr>
        <w:trPr>
          <w:trHeight w:val="233"/>
        </w:trPr>
        <w:tc>
          <w:tcPr>
            <w:tcW w:w="4980" w:type="dxa"/>
            <w:vAlign w:val="bottom"/>
          </w:tcPr>
          <w:p>
            <w:pPr>
              <w:ind w:left="220"/>
              <w:spacing w:after="0"/>
              <w:rPr>
                <w:sz w:val="20"/>
                <w:szCs w:val="20"/>
                <w:color w:val="auto"/>
              </w:rPr>
            </w:pPr>
            <w:r>
              <w:rPr>
                <w:rFonts w:ascii="Arial" w:cs="Arial" w:eastAsia="Arial" w:hAnsi="Arial"/>
                <w:sz w:val="16"/>
                <w:szCs w:val="16"/>
                <w:b w:val="1"/>
                <w:bCs w:val="1"/>
                <w:color w:val="auto"/>
              </w:rPr>
              <w:t>Total revenue</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297,138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260,840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608,624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534,239</w:t>
            </w:r>
          </w:p>
        </w:tc>
      </w:tr>
      <w:tr>
        <w:trPr>
          <w:trHeight w:val="274"/>
        </w:trPr>
        <w:tc>
          <w:tcPr>
            <w:tcW w:w="4980" w:type="dxa"/>
            <w:vAlign w:val="bottom"/>
            <w:shd w:val="clear" w:color="auto" w:fill="D5DCE4"/>
          </w:tcPr>
          <w:p>
            <w:pPr>
              <w:spacing w:after="0"/>
              <w:rPr>
                <w:sz w:val="23"/>
                <w:szCs w:val="23"/>
                <w:color w:val="auto"/>
              </w:rPr>
            </w:pPr>
          </w:p>
        </w:tc>
        <w:tc>
          <w:tcPr>
            <w:tcW w:w="220" w:type="dxa"/>
            <w:vAlign w:val="bottom"/>
            <w:shd w:val="clear" w:color="auto" w:fill="D5DCE4"/>
          </w:tcPr>
          <w:p>
            <w:pPr>
              <w:spacing w:after="0"/>
              <w:rPr>
                <w:sz w:val="23"/>
                <w:szCs w:val="23"/>
                <w:color w:val="auto"/>
              </w:rPr>
            </w:pPr>
          </w:p>
        </w:tc>
        <w:tc>
          <w:tcPr>
            <w:tcW w:w="128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300" w:type="dxa"/>
            <w:vAlign w:val="bottom"/>
            <w:shd w:val="clear" w:color="auto" w:fill="D5DCE4"/>
          </w:tcPr>
          <w:p>
            <w:pPr>
              <w:spacing w:after="0"/>
              <w:rPr>
                <w:sz w:val="23"/>
                <w:szCs w:val="23"/>
                <w:color w:val="auto"/>
              </w:rPr>
            </w:pPr>
          </w:p>
        </w:tc>
        <w:tc>
          <w:tcPr>
            <w:tcW w:w="120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220" w:type="dxa"/>
            <w:vAlign w:val="bottom"/>
            <w:shd w:val="clear" w:color="auto" w:fill="D5DCE4"/>
          </w:tcPr>
          <w:p>
            <w:pPr>
              <w:spacing w:after="0"/>
              <w:rPr>
                <w:sz w:val="23"/>
                <w:szCs w:val="23"/>
                <w:color w:val="auto"/>
              </w:rPr>
            </w:pPr>
          </w:p>
        </w:tc>
        <w:tc>
          <w:tcPr>
            <w:tcW w:w="128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320" w:type="dxa"/>
            <w:vAlign w:val="bottom"/>
            <w:shd w:val="clear" w:color="auto" w:fill="D5DCE4"/>
          </w:tcPr>
          <w:p>
            <w:pPr>
              <w:spacing w:after="0"/>
              <w:rPr>
                <w:sz w:val="23"/>
                <w:szCs w:val="23"/>
                <w:color w:val="auto"/>
              </w:rPr>
            </w:pPr>
          </w:p>
        </w:tc>
        <w:tc>
          <w:tcPr>
            <w:tcW w:w="1200" w:type="dxa"/>
            <w:vAlign w:val="bottom"/>
            <w:shd w:val="clear" w:color="auto" w:fill="D5DCE4"/>
          </w:tcPr>
          <w:p>
            <w:pPr>
              <w:spacing w:after="0"/>
              <w:rPr>
                <w:sz w:val="23"/>
                <w:szCs w:val="23"/>
                <w:color w:val="auto"/>
              </w:rPr>
            </w:pPr>
          </w:p>
        </w:tc>
      </w:tr>
      <w:tr>
        <w:trPr>
          <w:trHeight w:val="239"/>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7"/>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Employee compensation and benefits</w:t>
            </w: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109,890</w:t>
            </w:r>
          </w:p>
        </w:tc>
        <w:tc>
          <w:tcPr>
            <w:tcW w:w="80" w:type="dxa"/>
            <w:vAlign w:val="bottom"/>
            <w:shd w:val="clear" w:color="auto" w:fill="D5DCE4"/>
          </w:tcPr>
          <w:p>
            <w:pPr>
              <w:spacing w:after="0"/>
              <w:rPr>
                <w:sz w:val="21"/>
                <w:szCs w:val="21"/>
                <w:color w:val="auto"/>
              </w:rPr>
            </w:pPr>
          </w:p>
        </w:tc>
        <w:tc>
          <w:tcPr>
            <w:tcW w:w="300" w:type="dxa"/>
            <w:vAlign w:val="bottom"/>
            <w:shd w:val="clear" w:color="auto" w:fill="D5DCE4"/>
          </w:tcPr>
          <w:p>
            <w:pPr>
              <w:spacing w:after="0"/>
              <w:rPr>
                <w:sz w:val="21"/>
                <w:szCs w:val="21"/>
                <w:color w:val="auto"/>
              </w:rPr>
            </w:pP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98,449</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227,881</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202,071</w:t>
            </w:r>
          </w:p>
        </w:tc>
      </w:tr>
      <w:tr>
        <w:trPr>
          <w:trHeight w:val="235"/>
        </w:trPr>
        <w:tc>
          <w:tcPr>
            <w:tcW w:w="498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44,770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41,867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89,220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82,833</w:t>
            </w:r>
          </w:p>
        </w:tc>
      </w:tr>
      <w:tr>
        <w:trPr>
          <w:trHeight w:val="251"/>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Technology and communications</w:t>
            </w: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16,034</w:t>
            </w:r>
          </w:p>
        </w:tc>
        <w:tc>
          <w:tcPr>
            <w:tcW w:w="80" w:type="dxa"/>
            <w:vAlign w:val="bottom"/>
            <w:shd w:val="clear" w:color="auto" w:fill="D5DCE4"/>
          </w:tcPr>
          <w:p>
            <w:pPr>
              <w:spacing w:after="0"/>
              <w:rPr>
                <w:sz w:val="21"/>
                <w:szCs w:val="21"/>
                <w:color w:val="auto"/>
              </w:rPr>
            </w:pPr>
          </w:p>
        </w:tc>
        <w:tc>
          <w:tcPr>
            <w:tcW w:w="300" w:type="dxa"/>
            <w:vAlign w:val="bottom"/>
            <w:shd w:val="clear" w:color="auto" w:fill="D5DCE4"/>
          </w:tcPr>
          <w:p>
            <w:pPr>
              <w:spacing w:after="0"/>
              <w:rPr>
                <w:sz w:val="21"/>
                <w:szCs w:val="21"/>
                <w:color w:val="auto"/>
              </w:rPr>
            </w:pP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13,957</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31,810</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27,501</w:t>
            </w:r>
          </w:p>
        </w:tc>
      </w:tr>
      <w:tr>
        <w:trPr>
          <w:trHeight w:val="235"/>
        </w:trPr>
        <w:tc>
          <w:tcPr>
            <w:tcW w:w="4980" w:type="dxa"/>
            <w:vAlign w:val="bottom"/>
          </w:tcPr>
          <w:p>
            <w:pPr>
              <w:ind w:left="14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7,601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8,789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17,914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12,248</w:t>
            </w:r>
          </w:p>
        </w:tc>
      </w:tr>
      <w:tr>
        <w:trPr>
          <w:trHeight w:val="251"/>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Professional fees</w:t>
            </w: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8,575</w:t>
            </w:r>
          </w:p>
        </w:tc>
        <w:tc>
          <w:tcPr>
            <w:tcW w:w="80" w:type="dxa"/>
            <w:vAlign w:val="bottom"/>
            <w:shd w:val="clear" w:color="auto" w:fill="D5DCE4"/>
          </w:tcPr>
          <w:p>
            <w:pPr>
              <w:spacing w:after="0"/>
              <w:rPr>
                <w:sz w:val="21"/>
                <w:szCs w:val="21"/>
                <w:color w:val="auto"/>
              </w:rPr>
            </w:pPr>
          </w:p>
        </w:tc>
        <w:tc>
          <w:tcPr>
            <w:tcW w:w="300" w:type="dxa"/>
            <w:vAlign w:val="bottom"/>
            <w:shd w:val="clear" w:color="auto" w:fill="D5DCE4"/>
          </w:tcPr>
          <w:p>
            <w:pPr>
              <w:spacing w:after="0"/>
              <w:rPr>
                <w:sz w:val="21"/>
                <w:szCs w:val="21"/>
                <w:color w:val="auto"/>
              </w:rPr>
            </w:pP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10,368</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16,432</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20,096</w:t>
            </w:r>
          </w:p>
        </w:tc>
      </w:tr>
      <w:tr>
        <w:trPr>
          <w:trHeight w:val="237"/>
        </w:trPr>
        <w:tc>
          <w:tcPr>
            <w:tcW w:w="4980" w:type="dxa"/>
            <w:vAlign w:val="bottom"/>
            <w:tcBorders>
              <w:bottom w:val="single" w:sz="8" w:color="D5DCE4"/>
            </w:tcBorders>
          </w:tcPr>
          <w:p>
            <w:pPr>
              <w:ind w:left="140"/>
              <w:spacing w:after="0"/>
              <w:rPr>
                <w:sz w:val="20"/>
                <w:szCs w:val="20"/>
                <w:color w:val="auto"/>
              </w:rPr>
            </w:pPr>
            <w:r>
              <w:rPr>
                <w:rFonts w:ascii="Arial" w:cs="Arial" w:eastAsia="Arial" w:hAnsi="Arial"/>
                <w:sz w:val="16"/>
                <w:szCs w:val="16"/>
                <w:color w:val="auto"/>
              </w:rPr>
              <w:t>Occupancy</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3,661</w:t>
            </w:r>
          </w:p>
        </w:tc>
        <w:tc>
          <w:tcPr>
            <w:tcW w:w="80" w:type="dxa"/>
            <w:vAlign w:val="bottom"/>
            <w:tcBorders>
              <w:bottom w:val="single" w:sz="8" w:color="D5DCE4"/>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3,618</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7,158</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7,371</w:t>
            </w:r>
          </w:p>
        </w:tc>
      </w:tr>
      <w:tr>
        <w:trPr>
          <w:trHeight w:val="243"/>
        </w:trPr>
        <w:tc>
          <w:tcPr>
            <w:tcW w:w="4980" w:type="dxa"/>
            <w:vAlign w:val="bottom"/>
            <w:shd w:val="clear" w:color="auto" w:fill="D5DCE4"/>
          </w:tcPr>
          <w:p>
            <w:pPr>
              <w:ind w:left="220"/>
              <w:spacing w:after="0"/>
              <w:rPr>
                <w:sz w:val="20"/>
                <w:szCs w:val="20"/>
                <w:color w:val="auto"/>
              </w:rPr>
            </w:pPr>
            <w:r>
              <w:rPr>
                <w:rFonts w:ascii="Arial" w:cs="Arial" w:eastAsia="Arial" w:hAnsi="Arial"/>
                <w:sz w:val="16"/>
                <w:szCs w:val="16"/>
                <w:b w:val="1"/>
                <w:bCs w:val="1"/>
                <w:color w:val="auto"/>
              </w:rPr>
              <w:t>Total expenses</w:t>
            </w: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190,531</w:t>
            </w:r>
          </w:p>
        </w:tc>
        <w:tc>
          <w:tcPr>
            <w:tcW w:w="80" w:type="dxa"/>
            <w:vAlign w:val="bottom"/>
            <w:shd w:val="clear" w:color="auto" w:fill="D5DCE4"/>
          </w:tcPr>
          <w:p>
            <w:pPr>
              <w:spacing w:after="0"/>
              <w:rPr>
                <w:sz w:val="21"/>
                <w:szCs w:val="21"/>
                <w:color w:val="auto"/>
              </w:rPr>
            </w:pPr>
          </w:p>
        </w:tc>
        <w:tc>
          <w:tcPr>
            <w:tcW w:w="300" w:type="dxa"/>
            <w:vAlign w:val="bottom"/>
            <w:tcBorders>
              <w:bottom w:val="single" w:sz="8" w:color="auto"/>
            </w:tcBorders>
            <w:shd w:val="clear" w:color="auto" w:fill="D5DCE4"/>
          </w:tcPr>
          <w:p>
            <w:pPr>
              <w:spacing w:after="0"/>
              <w:rPr>
                <w:sz w:val="21"/>
                <w:szCs w:val="21"/>
                <w:color w:val="auto"/>
              </w:rPr>
            </w:pP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177,048</w:t>
            </w:r>
          </w:p>
        </w:tc>
        <w:tc>
          <w:tcPr>
            <w:tcW w:w="80" w:type="dxa"/>
            <w:vAlign w:val="bottom"/>
            <w:shd w:val="clear" w:color="auto" w:fill="D5DCE4"/>
          </w:tcPr>
          <w:p>
            <w:pPr>
              <w:spacing w:after="0"/>
              <w:rPr>
                <w:sz w:val="21"/>
                <w:szCs w:val="21"/>
                <w:color w:val="auto"/>
              </w:rPr>
            </w:pP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390,415</w:t>
            </w:r>
          </w:p>
        </w:tc>
        <w:tc>
          <w:tcPr>
            <w:tcW w:w="80" w:type="dxa"/>
            <w:vAlign w:val="bottom"/>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352,120</w:t>
            </w:r>
          </w:p>
        </w:tc>
      </w:tr>
      <w:tr>
        <w:trPr>
          <w:trHeight w:val="23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106,607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83,792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218,209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182,119</w:t>
            </w:r>
          </w:p>
        </w:tc>
      </w:tr>
      <w:tr>
        <w:trPr>
          <w:trHeight w:val="247"/>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Net interest income (expense)</w:t>
            </w: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541</w:t>
            </w:r>
          </w:p>
        </w:tc>
        <w:tc>
          <w:tcPr>
            <w:tcW w:w="80" w:type="dxa"/>
            <w:vAlign w:val="bottom"/>
            <w:shd w:val="clear" w:color="auto" w:fill="D5DCE4"/>
          </w:tcPr>
          <w:p>
            <w:pPr>
              <w:spacing w:after="0"/>
              <w:rPr>
                <w:sz w:val="21"/>
                <w:szCs w:val="21"/>
                <w:color w:val="auto"/>
              </w:rPr>
            </w:pPr>
          </w:p>
        </w:tc>
        <w:tc>
          <w:tcPr>
            <w:tcW w:w="300" w:type="dxa"/>
            <w:vAlign w:val="bottom"/>
            <w:tcBorders>
              <w:bottom w:val="single" w:sz="8" w:color="auto"/>
            </w:tcBorders>
            <w:shd w:val="clear" w:color="auto" w:fill="D5DCE4"/>
          </w:tcPr>
          <w:p>
            <w:pPr>
              <w:spacing w:after="0"/>
              <w:rPr>
                <w:sz w:val="21"/>
                <w:szCs w:val="21"/>
                <w:color w:val="auto"/>
              </w:rPr>
            </w:pP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(325)</w:t>
            </w:r>
          </w:p>
        </w:tc>
        <w:tc>
          <w:tcPr>
            <w:tcW w:w="80" w:type="dxa"/>
            <w:vAlign w:val="bottom"/>
            <w:shd w:val="clear" w:color="auto" w:fill="D5DCE4"/>
          </w:tcPr>
          <w:p>
            <w:pPr>
              <w:spacing w:after="0"/>
              <w:rPr>
                <w:sz w:val="21"/>
                <w:szCs w:val="21"/>
                <w:color w:val="auto"/>
              </w:rPr>
            </w:pP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94</w:t>
            </w:r>
          </w:p>
        </w:tc>
        <w:tc>
          <w:tcPr>
            <w:tcW w:w="80" w:type="dxa"/>
            <w:vAlign w:val="bottom"/>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(818)</w:t>
            </w:r>
          </w:p>
        </w:tc>
      </w:tr>
      <w:tr>
        <w:trPr>
          <w:trHeight w:val="233"/>
        </w:trPr>
        <w:tc>
          <w:tcPr>
            <w:tcW w:w="4980" w:type="dxa"/>
            <w:vAlign w:val="bottom"/>
            <w:tcBorders>
              <w:bottom w:val="single" w:sz="8" w:color="D5DCE4"/>
            </w:tcBorders>
          </w:tcPr>
          <w:p>
            <w:pPr>
              <w:ind w:left="20"/>
              <w:spacing w:after="0"/>
              <w:rPr>
                <w:sz w:val="20"/>
                <w:szCs w:val="20"/>
                <w:color w:val="auto"/>
              </w:rPr>
            </w:pPr>
            <w:r>
              <w:rPr>
                <w:rFonts w:ascii="Arial" w:cs="Arial" w:eastAsia="Arial" w:hAnsi="Arial"/>
                <w:sz w:val="16"/>
                <w:szCs w:val="16"/>
                <w:b w:val="1"/>
                <w:bCs w:val="1"/>
                <w:color w:val="auto"/>
              </w:rPr>
              <w:t>Income before taxes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107,148</w:t>
            </w:r>
          </w:p>
        </w:tc>
        <w:tc>
          <w:tcPr>
            <w:tcW w:w="80" w:type="dxa"/>
            <w:vAlign w:val="bottom"/>
            <w:tcBorders>
              <w:bottom w:val="single" w:sz="8" w:color="D5DCE4"/>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83,467</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218,303</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181,301</w:t>
            </w:r>
          </w:p>
        </w:tc>
      </w:tr>
      <w:tr>
        <w:trPr>
          <w:trHeight w:val="240"/>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color w:val="auto"/>
              </w:rPr>
              <w:t>Provision for income taxes</w:t>
            </w:r>
          </w:p>
        </w:tc>
        <w:tc>
          <w:tcPr>
            <w:tcW w:w="22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(25,548)</w:t>
            </w:r>
          </w:p>
        </w:tc>
        <w:tc>
          <w:tcPr>
            <w:tcW w:w="80" w:type="dxa"/>
            <w:vAlign w:val="bottom"/>
            <w:shd w:val="clear" w:color="auto" w:fill="D5DCE4"/>
          </w:tcPr>
          <w:p>
            <w:pPr>
              <w:spacing w:after="0"/>
              <w:rPr>
                <w:sz w:val="20"/>
                <w:szCs w:val="20"/>
                <w:color w:val="auto"/>
              </w:rPr>
            </w:pPr>
          </w:p>
        </w:tc>
        <w:tc>
          <w:tcPr>
            <w:tcW w:w="300" w:type="dxa"/>
            <w:vAlign w:val="bottom"/>
            <w:tcBorders>
              <w:bottom w:val="single" w:sz="8" w:color="auto"/>
            </w:tcBorders>
            <w:shd w:val="clear" w:color="auto" w:fill="D5DCE4"/>
          </w:tcPr>
          <w:p>
            <w:pPr>
              <w:spacing w:after="0"/>
              <w:rPr>
                <w:sz w:val="20"/>
                <w:szCs w:val="20"/>
                <w:color w:val="auto"/>
              </w:rPr>
            </w:pP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(17,234)</w:t>
            </w:r>
          </w:p>
        </w:tc>
        <w:tc>
          <w:tcPr>
            <w:tcW w:w="80" w:type="dxa"/>
            <w:vAlign w:val="bottom"/>
            <w:shd w:val="clear" w:color="auto" w:fill="D5DCE4"/>
          </w:tcPr>
          <w:p>
            <w:pPr>
              <w:spacing w:after="0"/>
              <w:rPr>
                <w:sz w:val="20"/>
                <w:szCs w:val="20"/>
                <w:color w:val="auto"/>
              </w:rPr>
            </w:pPr>
          </w:p>
        </w:tc>
        <w:tc>
          <w:tcPr>
            <w:tcW w:w="22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(39,258)</w:t>
            </w:r>
          </w:p>
        </w:tc>
        <w:tc>
          <w:tcPr>
            <w:tcW w:w="80" w:type="dxa"/>
            <w:vAlign w:val="bottom"/>
            <w:shd w:val="clear" w:color="auto" w:fill="D5DCE4"/>
          </w:tcPr>
          <w:p>
            <w:pPr>
              <w:spacing w:after="0"/>
              <w:rPr>
                <w:sz w:val="20"/>
                <w:szCs w:val="20"/>
                <w:color w:val="auto"/>
              </w:rPr>
            </w:pPr>
          </w:p>
        </w:tc>
        <w:tc>
          <w:tcPr>
            <w:tcW w:w="320" w:type="dxa"/>
            <w:vAlign w:val="bottom"/>
            <w:tcBorders>
              <w:bottom w:val="single" w:sz="8" w:color="auto"/>
            </w:tcBorders>
            <w:shd w:val="clear" w:color="auto" w:fill="D5DCE4"/>
          </w:tcPr>
          <w:p>
            <w:pPr>
              <w:spacing w:after="0"/>
              <w:rPr>
                <w:sz w:val="20"/>
                <w:szCs w:val="20"/>
                <w:color w:val="auto"/>
              </w:rPr>
            </w:pP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(33,503)</w:t>
            </w:r>
          </w:p>
        </w:tc>
      </w:tr>
      <w:tr>
        <w:trPr>
          <w:trHeight w:val="23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81,600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66,233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179,045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147,798</w:t>
            </w:r>
          </w:p>
        </w:tc>
      </w:tr>
      <w:tr>
        <w:trPr>
          <w:trHeight w:val="240"/>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22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13,256</w:t>
            </w:r>
          </w:p>
        </w:tc>
        <w:tc>
          <w:tcPr>
            <w:tcW w:w="80" w:type="dxa"/>
            <w:vAlign w:val="bottom"/>
            <w:shd w:val="clear" w:color="auto" w:fill="D5DCE4"/>
          </w:tcPr>
          <w:p>
            <w:pPr>
              <w:spacing w:after="0"/>
              <w:rPr>
                <w:sz w:val="20"/>
                <w:szCs w:val="20"/>
                <w:color w:val="auto"/>
              </w:rPr>
            </w:pPr>
          </w:p>
        </w:tc>
        <w:tc>
          <w:tcPr>
            <w:tcW w:w="300" w:type="dxa"/>
            <w:vAlign w:val="bottom"/>
            <w:tcBorders>
              <w:bottom w:val="single" w:sz="8" w:color="auto"/>
            </w:tcBorders>
            <w:shd w:val="clear" w:color="auto" w:fill="D5DCE4"/>
          </w:tcPr>
          <w:p>
            <w:pPr>
              <w:spacing w:after="0"/>
              <w:rPr>
                <w:sz w:val="20"/>
                <w:szCs w:val="20"/>
                <w:color w:val="auto"/>
              </w:rPr>
            </w:pP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10,917</w:t>
            </w:r>
          </w:p>
        </w:tc>
        <w:tc>
          <w:tcPr>
            <w:tcW w:w="80" w:type="dxa"/>
            <w:vAlign w:val="bottom"/>
            <w:shd w:val="clear" w:color="auto" w:fill="D5DCE4"/>
          </w:tcPr>
          <w:p>
            <w:pPr>
              <w:spacing w:after="0"/>
              <w:rPr>
                <w:sz w:val="20"/>
                <w:szCs w:val="20"/>
                <w:color w:val="auto"/>
              </w:rPr>
            </w:pPr>
          </w:p>
        </w:tc>
        <w:tc>
          <w:tcPr>
            <w:tcW w:w="22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27,736</w:t>
            </w:r>
          </w:p>
        </w:tc>
        <w:tc>
          <w:tcPr>
            <w:tcW w:w="80" w:type="dxa"/>
            <w:vAlign w:val="bottom"/>
            <w:shd w:val="clear" w:color="auto" w:fill="D5DCE4"/>
          </w:tcPr>
          <w:p>
            <w:pPr>
              <w:spacing w:after="0"/>
              <w:rPr>
                <w:sz w:val="20"/>
                <w:szCs w:val="20"/>
                <w:color w:val="auto"/>
              </w:rPr>
            </w:pPr>
          </w:p>
        </w:tc>
        <w:tc>
          <w:tcPr>
            <w:tcW w:w="320" w:type="dxa"/>
            <w:vAlign w:val="bottom"/>
            <w:tcBorders>
              <w:bottom w:val="single" w:sz="8" w:color="auto"/>
            </w:tcBorders>
            <w:shd w:val="clear" w:color="auto" w:fill="D5DCE4"/>
          </w:tcPr>
          <w:p>
            <w:pPr>
              <w:spacing w:after="0"/>
              <w:rPr>
                <w:sz w:val="20"/>
                <w:szCs w:val="20"/>
                <w:color w:val="auto"/>
              </w:rPr>
            </w:pP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24,623</w:t>
            </w:r>
          </w:p>
        </w:tc>
      </w:tr>
      <w:tr>
        <w:trPr>
          <w:trHeight w:val="24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Tradeweb Markets Inc.</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68,344</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55,316</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151,309</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123,175</w:t>
            </w:r>
          </w:p>
        </w:tc>
      </w:tr>
      <w:tr>
        <w:trPr>
          <w:trHeight w:val="20"/>
        </w:trPr>
        <w:tc>
          <w:tcPr>
            <w:tcW w:w="4980" w:type="dxa"/>
            <w:vAlign w:val="bottom"/>
            <w:tcBorders>
              <w:bottom w:val="single" w:sz="8" w:color="D5DCE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4980" w:type="dxa"/>
            <w:vAlign w:val="bottom"/>
            <w:shd w:val="clear" w:color="auto" w:fill="D5DCE4"/>
          </w:tcPr>
          <w:p>
            <w:pPr>
              <w:spacing w:after="0"/>
              <w:rPr>
                <w:sz w:val="19"/>
                <w:szCs w:val="19"/>
                <w:color w:val="auto"/>
              </w:rPr>
            </w:pPr>
          </w:p>
        </w:tc>
        <w:tc>
          <w:tcPr>
            <w:tcW w:w="220" w:type="dxa"/>
            <w:vAlign w:val="bottom"/>
            <w:shd w:val="clear" w:color="auto" w:fill="D5DCE4"/>
          </w:tcPr>
          <w:p>
            <w:pPr>
              <w:spacing w:after="0"/>
              <w:rPr>
                <w:sz w:val="19"/>
                <w:szCs w:val="19"/>
                <w:color w:val="auto"/>
              </w:rPr>
            </w:pPr>
          </w:p>
        </w:tc>
        <w:tc>
          <w:tcPr>
            <w:tcW w:w="12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00" w:type="dxa"/>
            <w:vAlign w:val="bottom"/>
            <w:shd w:val="clear" w:color="auto" w:fill="D5DCE4"/>
          </w:tcPr>
          <w:p>
            <w:pPr>
              <w:spacing w:after="0"/>
              <w:rPr>
                <w:sz w:val="19"/>
                <w:szCs w:val="19"/>
                <w:color w:val="auto"/>
              </w:rPr>
            </w:pPr>
          </w:p>
        </w:tc>
        <w:tc>
          <w:tcPr>
            <w:tcW w:w="120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20" w:type="dxa"/>
            <w:vAlign w:val="bottom"/>
            <w:shd w:val="clear" w:color="auto" w:fill="D5DCE4"/>
          </w:tcPr>
          <w:p>
            <w:pPr>
              <w:spacing w:after="0"/>
              <w:rPr>
                <w:sz w:val="19"/>
                <w:szCs w:val="19"/>
                <w:color w:val="auto"/>
              </w:rPr>
            </w:pPr>
          </w:p>
        </w:tc>
        <w:tc>
          <w:tcPr>
            <w:tcW w:w="12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200" w:type="dxa"/>
            <w:vAlign w:val="bottom"/>
            <w:shd w:val="clear" w:color="auto" w:fill="D5DCE4"/>
          </w:tcPr>
          <w:p>
            <w:pPr>
              <w:spacing w:after="0"/>
              <w:rPr>
                <w:sz w:val="19"/>
                <w:szCs w:val="19"/>
                <w:color w:val="auto"/>
              </w:rPr>
            </w:pPr>
          </w:p>
        </w:tc>
      </w:tr>
      <w:tr>
        <w:trPr>
          <w:trHeight w:val="215"/>
        </w:trPr>
        <w:tc>
          <w:tcPr>
            <w:tcW w:w="4980" w:type="dxa"/>
            <w:vAlign w:val="bottom"/>
          </w:tcPr>
          <w:p>
            <w:pPr>
              <w:ind w:left="20"/>
              <w:spacing w:after="0"/>
              <w:rPr>
                <w:sz w:val="20"/>
                <w:szCs w:val="20"/>
                <w:color w:val="auto"/>
              </w:rPr>
            </w:pPr>
            <w:r>
              <w:rPr>
                <w:rFonts w:ascii="Arial" w:cs="Arial" w:eastAsia="Arial" w:hAnsi="Arial"/>
                <w:sz w:val="16"/>
                <w:szCs w:val="16"/>
                <w:color w:val="auto"/>
              </w:rPr>
              <w:t>Earnings per share attributable to Tradeweb Markets Inc. Class A</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2"/>
        </w:trPr>
        <w:tc>
          <w:tcPr>
            <w:tcW w:w="4980" w:type="dxa"/>
            <w:vAlign w:val="bottom"/>
          </w:tcPr>
          <w:p>
            <w:pPr>
              <w:ind w:left="20"/>
              <w:spacing w:after="0"/>
              <w:rPr>
                <w:sz w:val="20"/>
                <w:szCs w:val="20"/>
                <w:color w:val="auto"/>
              </w:rPr>
            </w:pPr>
            <w:r>
              <w:rPr>
                <w:rFonts w:ascii="Arial" w:cs="Arial" w:eastAsia="Arial" w:hAnsi="Arial"/>
                <w:sz w:val="16"/>
                <w:szCs w:val="16"/>
                <w:color w:val="auto"/>
              </w:rPr>
              <w:t>and B common stockholders: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6"/>
        </w:trPr>
        <w:tc>
          <w:tcPr>
            <w:tcW w:w="4980" w:type="dxa"/>
            <w:vAlign w:val="bottom"/>
            <w:tcBorders>
              <w:bottom w:val="single" w:sz="8" w:color="D5DCE4"/>
            </w:tcBorders>
            <w:shd w:val="clear" w:color="auto" w:fill="D5DCE4"/>
          </w:tcPr>
          <w:p>
            <w:pPr>
              <w:ind w:left="140"/>
              <w:spacing w:after="0"/>
              <w:rPr>
                <w:sz w:val="20"/>
                <w:szCs w:val="20"/>
                <w:color w:val="auto"/>
              </w:rPr>
            </w:pPr>
            <w:r>
              <w:rPr>
                <w:rFonts w:ascii="Arial" w:cs="Arial" w:eastAsia="Arial" w:hAnsi="Arial"/>
                <w:sz w:val="16"/>
                <w:szCs w:val="16"/>
                <w:color w:val="auto"/>
              </w:rPr>
              <w:t>Basic</w:t>
            </w:r>
          </w:p>
        </w:tc>
        <w:tc>
          <w:tcPr>
            <w:tcW w:w="220" w:type="dxa"/>
            <w:vAlign w:val="bottom"/>
            <w:tcBorders>
              <w:bottom w:val="single" w:sz="8" w:color="auto"/>
            </w:tcBorders>
            <w:shd w:val="clear" w:color="auto" w:fill="D5DCE4"/>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0.33</w:t>
            </w:r>
          </w:p>
        </w:tc>
        <w:tc>
          <w:tcPr>
            <w:tcW w:w="80" w:type="dxa"/>
            <w:vAlign w:val="bottom"/>
            <w:tcBorders>
              <w:bottom w:val="single" w:sz="8" w:color="D5DCE4"/>
            </w:tcBorders>
            <w:shd w:val="clear" w:color="auto" w:fill="D5DCE4"/>
          </w:tcPr>
          <w:p>
            <w:pPr>
              <w:spacing w:after="0"/>
              <w:rPr>
                <w:sz w:val="23"/>
                <w:szCs w:val="23"/>
                <w:color w:val="auto"/>
              </w:rPr>
            </w:pPr>
          </w:p>
        </w:tc>
        <w:tc>
          <w:tcPr>
            <w:tcW w:w="30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0.27</w:t>
            </w:r>
          </w:p>
        </w:tc>
        <w:tc>
          <w:tcPr>
            <w:tcW w:w="80" w:type="dxa"/>
            <w:vAlign w:val="bottom"/>
            <w:tcBorders>
              <w:bottom w:val="single" w:sz="8" w:color="D5DCE4"/>
            </w:tcBorders>
            <w:shd w:val="clear" w:color="auto" w:fill="D5DCE4"/>
          </w:tcPr>
          <w:p>
            <w:pPr>
              <w:spacing w:after="0"/>
              <w:rPr>
                <w:sz w:val="23"/>
                <w:szCs w:val="23"/>
                <w:color w:val="auto"/>
              </w:rPr>
            </w:pPr>
          </w:p>
        </w:tc>
        <w:tc>
          <w:tcPr>
            <w:tcW w:w="220" w:type="dxa"/>
            <w:vAlign w:val="bottom"/>
            <w:tcBorders>
              <w:bottom w:val="single" w:sz="8" w:color="auto"/>
            </w:tcBorders>
            <w:shd w:val="clear" w:color="auto" w:fill="D5DCE4"/>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0.74</w:t>
            </w:r>
          </w:p>
        </w:tc>
        <w:tc>
          <w:tcPr>
            <w:tcW w:w="80" w:type="dxa"/>
            <w:vAlign w:val="bottom"/>
            <w:tcBorders>
              <w:bottom w:val="single" w:sz="8" w:color="D5DCE4"/>
            </w:tcBorders>
            <w:shd w:val="clear" w:color="auto" w:fill="D5DCE4"/>
          </w:tcPr>
          <w:p>
            <w:pPr>
              <w:spacing w:after="0"/>
              <w:rPr>
                <w:sz w:val="23"/>
                <w:szCs w:val="23"/>
                <w:color w:val="auto"/>
              </w:rPr>
            </w:pPr>
          </w:p>
        </w:tc>
        <w:tc>
          <w:tcPr>
            <w:tcW w:w="3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0.61</w:t>
            </w:r>
          </w:p>
        </w:tc>
      </w:tr>
      <w:tr>
        <w:trPr>
          <w:trHeight w:val="20"/>
        </w:trPr>
        <w:tc>
          <w:tcPr>
            <w:tcW w:w="4980" w:type="dxa"/>
            <w:vAlign w:val="bottom"/>
            <w:tcBorders>
              <w:top w:val="single" w:sz="8" w:color="D5DCE4"/>
            </w:tcBorders>
          </w:tcPr>
          <w:p>
            <w:pPr>
              <w:spacing w:after="0" w:line="20" w:lineRule="exact"/>
              <w:rPr>
                <w:sz w:val="1"/>
                <w:szCs w:val="1"/>
                <w:color w:val="auto"/>
              </w:rPr>
            </w:pPr>
          </w:p>
        </w:tc>
        <w:tc>
          <w:tcPr>
            <w:tcW w:w="220" w:type="dxa"/>
            <w:vAlign w:val="bottom"/>
            <w:tcBorders>
              <w:top w:val="single" w:sz="8" w:color="D5DCE4"/>
              <w:bottom w:val="single" w:sz="8" w:color="auto"/>
            </w:tcBorders>
          </w:tcPr>
          <w:p>
            <w:pPr>
              <w:spacing w:after="0" w:line="20" w:lineRule="exact"/>
              <w:rPr>
                <w:sz w:val="1"/>
                <w:szCs w:val="1"/>
                <w:color w:val="auto"/>
              </w:rPr>
            </w:pPr>
          </w:p>
        </w:tc>
        <w:tc>
          <w:tcPr>
            <w:tcW w:w="12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00" w:type="dxa"/>
            <w:vAlign w:val="bottom"/>
            <w:tcBorders>
              <w:top w:val="single" w:sz="8" w:color="D5DCE4"/>
              <w:bottom w:val="single" w:sz="8" w:color="auto"/>
            </w:tcBorders>
          </w:tcPr>
          <w:p>
            <w:pPr>
              <w:spacing w:after="0" w:line="20" w:lineRule="exact"/>
              <w:rPr>
                <w:sz w:val="1"/>
                <w:szCs w:val="1"/>
                <w:color w:val="auto"/>
              </w:rPr>
            </w:pPr>
          </w:p>
        </w:tc>
        <w:tc>
          <w:tcPr>
            <w:tcW w:w="120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20" w:type="dxa"/>
            <w:vAlign w:val="bottom"/>
            <w:tcBorders>
              <w:top w:val="single" w:sz="8" w:color="D5DCE4"/>
              <w:bottom w:val="single" w:sz="8" w:color="auto"/>
            </w:tcBorders>
          </w:tcPr>
          <w:p>
            <w:pPr>
              <w:spacing w:after="0" w:line="20" w:lineRule="exact"/>
              <w:rPr>
                <w:sz w:val="1"/>
                <w:szCs w:val="1"/>
                <w:color w:val="auto"/>
              </w:rPr>
            </w:pPr>
          </w:p>
        </w:tc>
        <w:tc>
          <w:tcPr>
            <w:tcW w:w="12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200" w:type="dxa"/>
            <w:vAlign w:val="bottom"/>
            <w:tcBorders>
              <w:top w:val="single" w:sz="8" w:color="D5DCE4"/>
              <w:bottom w:val="single" w:sz="8" w:color="auto"/>
            </w:tcBorders>
          </w:tcPr>
          <w:p>
            <w:pPr>
              <w:spacing w:after="0" w:line="20" w:lineRule="exact"/>
              <w:rPr>
                <w:sz w:val="1"/>
                <w:szCs w:val="1"/>
                <w:color w:val="auto"/>
              </w:rPr>
            </w:pPr>
          </w:p>
        </w:tc>
      </w:tr>
      <w:tr>
        <w:trPr>
          <w:trHeight w:val="217"/>
        </w:trPr>
        <w:tc>
          <w:tcPr>
            <w:tcW w:w="4980" w:type="dxa"/>
            <w:vAlign w:val="bottom"/>
          </w:tcPr>
          <w:p>
            <w:pPr>
              <w:ind w:left="14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0.33</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0.27</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0.73</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0.60</w:t>
            </w:r>
          </w:p>
        </w:tc>
      </w:tr>
      <w:tr>
        <w:trPr>
          <w:trHeight w:val="20"/>
        </w:trPr>
        <w:tc>
          <w:tcPr>
            <w:tcW w:w="4980" w:type="dxa"/>
            <w:vAlign w:val="bottom"/>
            <w:tcBorders>
              <w:bottom w:val="single" w:sz="8" w:color="D5DCE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0"/>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color w:val="auto"/>
              </w:rPr>
              <w:t>Weighted average shares outstanding:</w:t>
            </w:r>
          </w:p>
        </w:tc>
        <w:tc>
          <w:tcPr>
            <w:tcW w:w="220" w:type="dxa"/>
            <w:vAlign w:val="bottom"/>
            <w:shd w:val="clear" w:color="auto" w:fill="D5DCE4"/>
          </w:tcPr>
          <w:p>
            <w:pPr>
              <w:spacing w:after="0"/>
              <w:rPr>
                <w:sz w:val="18"/>
                <w:szCs w:val="18"/>
                <w:color w:val="auto"/>
              </w:rPr>
            </w:pPr>
          </w:p>
        </w:tc>
        <w:tc>
          <w:tcPr>
            <w:tcW w:w="12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00" w:type="dxa"/>
            <w:vAlign w:val="bottom"/>
            <w:shd w:val="clear" w:color="auto" w:fill="D5DCE4"/>
          </w:tcPr>
          <w:p>
            <w:pPr>
              <w:spacing w:after="0"/>
              <w:rPr>
                <w:sz w:val="18"/>
                <w:szCs w:val="18"/>
                <w:color w:val="auto"/>
              </w:rPr>
            </w:pPr>
          </w:p>
        </w:tc>
        <w:tc>
          <w:tcPr>
            <w:tcW w:w="120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220" w:type="dxa"/>
            <w:vAlign w:val="bottom"/>
            <w:shd w:val="clear" w:color="auto" w:fill="D5DCE4"/>
          </w:tcPr>
          <w:p>
            <w:pPr>
              <w:spacing w:after="0"/>
              <w:rPr>
                <w:sz w:val="18"/>
                <w:szCs w:val="18"/>
                <w:color w:val="auto"/>
              </w:rPr>
            </w:pPr>
          </w:p>
        </w:tc>
        <w:tc>
          <w:tcPr>
            <w:tcW w:w="12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200" w:type="dxa"/>
            <w:vAlign w:val="bottom"/>
            <w:shd w:val="clear" w:color="auto" w:fill="D5DCE4"/>
          </w:tcPr>
          <w:p>
            <w:pPr>
              <w:spacing w:after="0"/>
              <w:rPr>
                <w:sz w:val="18"/>
                <w:szCs w:val="18"/>
                <w:color w:val="auto"/>
              </w:rPr>
            </w:pPr>
          </w:p>
        </w:tc>
      </w:tr>
      <w:tr>
        <w:trPr>
          <w:trHeight w:val="235"/>
        </w:trPr>
        <w:tc>
          <w:tcPr>
            <w:tcW w:w="4980" w:type="dxa"/>
            <w:vAlign w:val="bottom"/>
          </w:tcPr>
          <w:p>
            <w:pPr>
              <w:ind w:left="140"/>
              <w:spacing w:after="0"/>
              <w:rPr>
                <w:sz w:val="20"/>
                <w:szCs w:val="20"/>
                <w:color w:val="auto"/>
              </w:rPr>
            </w:pPr>
            <w:r>
              <w:rPr>
                <w:rFonts w:ascii="Arial" w:cs="Arial" w:eastAsia="Arial" w:hAnsi="Arial"/>
                <w:sz w:val="16"/>
                <w:szCs w:val="16"/>
                <w:color w:val="auto"/>
              </w:rPr>
              <w:t>Basic</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204,501,035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201,749,985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204,282,406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200,414,714</w:t>
            </w:r>
          </w:p>
        </w:tc>
      </w:tr>
      <w:tr>
        <w:trPr>
          <w:trHeight w:val="251"/>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Diluted</w:t>
            </w: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207,272,675</w:t>
            </w:r>
          </w:p>
        </w:tc>
        <w:tc>
          <w:tcPr>
            <w:tcW w:w="80" w:type="dxa"/>
            <w:vAlign w:val="bottom"/>
            <w:shd w:val="clear" w:color="auto" w:fill="D5DCE4"/>
          </w:tcPr>
          <w:p>
            <w:pPr>
              <w:spacing w:after="0"/>
              <w:rPr>
                <w:sz w:val="21"/>
                <w:szCs w:val="21"/>
                <w:color w:val="auto"/>
              </w:rPr>
            </w:pPr>
          </w:p>
        </w:tc>
        <w:tc>
          <w:tcPr>
            <w:tcW w:w="300" w:type="dxa"/>
            <w:vAlign w:val="bottom"/>
            <w:shd w:val="clear" w:color="auto" w:fill="D5DCE4"/>
          </w:tcPr>
          <w:p>
            <w:pPr>
              <w:spacing w:after="0"/>
              <w:rPr>
                <w:sz w:val="21"/>
                <w:szCs w:val="21"/>
                <w:color w:val="auto"/>
              </w:rPr>
            </w:pP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207,463,960</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207,371,372</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206,253,756</w:t>
            </w:r>
          </w:p>
        </w:tc>
      </w:tr>
    </w:tbl>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4</w:t>
      </w:r>
    </w:p>
    <w:p>
      <w:pPr>
        <w:sectPr>
          <w:pgSz w:w="11900" w:h="16838" w:orient="portrait"/>
          <w:cols w:equalWidth="0" w:num="1">
            <w:col w:w="11240"/>
          </w:cols>
          <w:pgMar w:left="320" w:top="1043"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RECONCILIATION OF NON-GAAP FINANCIAL MEASURES (UNAUDITED)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Dollars in Thousands, Except per Share Data</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40" w:type="dxa"/>
            <w:vAlign w:val="bottom"/>
            <w:gridSpan w:val="5"/>
          </w:tcPr>
          <w:p>
            <w:pPr>
              <w:ind w:left="46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9"/>
                <w:szCs w:val="19"/>
                <w:color w:val="auto"/>
              </w:rPr>
            </w:pPr>
          </w:p>
        </w:tc>
        <w:tc>
          <w:tcPr>
            <w:tcW w:w="2860" w:type="dxa"/>
            <w:vAlign w:val="bottom"/>
            <w:gridSpan w:val="4"/>
          </w:tcPr>
          <w:p>
            <w:pPr>
              <w:jc w:val="right"/>
              <w:ind w:right="81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37"/>
        </w:trPr>
        <w:tc>
          <w:tcPr>
            <w:tcW w:w="474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Net Income to Adjusted EBITDA,</w:t>
            </w:r>
          </w:p>
        </w:tc>
        <w:tc>
          <w:tcPr>
            <w:tcW w:w="340" w:type="dxa"/>
            <w:vAlign w:val="bottom"/>
          </w:tcPr>
          <w:p>
            <w:pPr>
              <w:spacing w:after="0"/>
              <w:rPr>
                <w:sz w:val="20"/>
                <w:szCs w:val="20"/>
                <w:color w:val="auto"/>
              </w:rPr>
            </w:pPr>
          </w:p>
        </w:tc>
        <w:tc>
          <w:tcPr>
            <w:tcW w:w="174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4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740" w:type="dxa"/>
            <w:vAlign w:val="bottom"/>
            <w:gridSpan w:val="2"/>
            <w:vMerge w:val="restart"/>
          </w:tcPr>
          <w:p>
            <w:pPr>
              <w:ind w:left="20"/>
              <w:spacing w:after="0" w:line="175" w:lineRule="exact"/>
              <w:rPr>
                <w:sz w:val="20"/>
                <w:szCs w:val="20"/>
                <w:color w:val="auto"/>
              </w:rPr>
            </w:pPr>
            <w:r>
              <w:rPr>
                <w:rFonts w:ascii="Arial" w:cs="Arial" w:eastAsia="Arial" w:hAnsi="Arial"/>
                <w:sz w:val="16"/>
                <w:szCs w:val="16"/>
                <w:b w:val="1"/>
                <w:bCs w:val="1"/>
                <w:color w:val="auto"/>
              </w:rPr>
              <w:t>Adjusted EBITDA Margin, Adjusted EBIT and Adjusted</w:t>
            </w:r>
          </w:p>
        </w:tc>
        <w:tc>
          <w:tcPr>
            <w:tcW w:w="3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474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EBIT Margin</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77"/>
        </w:trPr>
        <w:tc>
          <w:tcPr>
            <w:tcW w:w="4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60" w:type="dxa"/>
            <w:vAlign w:val="bottom"/>
            <w:gridSpan w:val="5"/>
          </w:tcPr>
          <w:p>
            <w:pPr>
              <w:ind w:left="320"/>
              <w:spacing w:after="0"/>
              <w:rPr>
                <w:sz w:val="20"/>
                <w:szCs w:val="20"/>
                <w:color w:val="auto"/>
              </w:rPr>
            </w:pPr>
            <w:r>
              <w:rPr>
                <w:rFonts w:ascii="Arial" w:cs="Arial" w:eastAsia="Arial" w:hAnsi="Arial"/>
                <w:sz w:val="16"/>
                <w:szCs w:val="16"/>
                <w:b w:val="1"/>
                <w:bCs w:val="1"/>
                <w:color w:val="auto"/>
              </w:rPr>
              <w:t>(dollars in thousands)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7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81,600</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66,233</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179,045</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147,798</w:t>
            </w:r>
          </w:p>
        </w:tc>
        <w:tc>
          <w:tcPr>
            <w:tcW w:w="0" w:type="dxa"/>
            <w:vAlign w:val="bottom"/>
          </w:tcPr>
          <w:p>
            <w:pPr>
              <w:spacing w:after="0"/>
              <w:rPr>
                <w:sz w:val="1"/>
                <w:szCs w:val="1"/>
                <w:color w:val="auto"/>
              </w:rPr>
            </w:pPr>
          </w:p>
        </w:tc>
      </w:tr>
      <w:tr>
        <w:trPr>
          <w:trHeight w:val="243"/>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 xml:space="preserve">Acquisition transaction costs </w:t>
            </w:r>
            <w:r>
              <w:rPr>
                <w:rFonts w:ascii="Arial" w:cs="Arial" w:eastAsia="Arial" w:hAnsi="Arial"/>
                <w:sz w:val="21"/>
                <w:szCs w:val="21"/>
                <w:color w:val="auto"/>
                <w:vertAlign w:val="superscript"/>
              </w:rPr>
              <w:t>(1)</w:t>
            </w:r>
          </w:p>
        </w:tc>
        <w:tc>
          <w:tcPr>
            <w:tcW w:w="340" w:type="dxa"/>
            <w:vAlign w:val="bottom"/>
          </w:tcPr>
          <w:p>
            <w:pPr>
              <w:spacing w:after="0"/>
              <w:rPr>
                <w:sz w:val="21"/>
                <w:szCs w:val="21"/>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2,966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4,727</w:t>
            </w:r>
          </w:p>
        </w:tc>
        <w:tc>
          <w:tcPr>
            <w:tcW w:w="0" w:type="dxa"/>
            <w:vAlign w:val="bottom"/>
          </w:tcPr>
          <w:p>
            <w:pPr>
              <w:spacing w:after="0"/>
              <w:rPr>
                <w:sz w:val="1"/>
                <w:szCs w:val="1"/>
                <w:color w:val="auto"/>
              </w:rPr>
            </w:pPr>
          </w:p>
        </w:tc>
      </w:tr>
      <w:tr>
        <w:trPr>
          <w:trHeight w:val="243"/>
        </w:trPr>
        <w:tc>
          <w:tcPr>
            <w:tcW w:w="47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Net interest (income) expense</w:t>
            </w:r>
          </w:p>
        </w:tc>
        <w:tc>
          <w:tcPr>
            <w:tcW w:w="34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(541)</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325</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(94)</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235"/>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44,770</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41,867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89,220</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82,833</w:t>
            </w:r>
          </w:p>
        </w:tc>
        <w:tc>
          <w:tcPr>
            <w:tcW w:w="0" w:type="dxa"/>
            <w:vAlign w:val="bottom"/>
          </w:tcPr>
          <w:p>
            <w:pPr>
              <w:spacing w:after="0"/>
              <w:rPr>
                <w:sz w:val="1"/>
                <w:szCs w:val="1"/>
                <w:color w:val="auto"/>
              </w:rPr>
            </w:pPr>
          </w:p>
        </w:tc>
      </w:tr>
      <w:tr>
        <w:trPr>
          <w:trHeight w:val="251"/>
        </w:trPr>
        <w:tc>
          <w:tcPr>
            <w:tcW w:w="47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(2)</w:t>
            </w:r>
          </w:p>
        </w:tc>
        <w:tc>
          <w:tcPr>
            <w:tcW w:w="34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7,295</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2,803</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11,164</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9,186</w:t>
            </w:r>
          </w:p>
        </w:tc>
        <w:tc>
          <w:tcPr>
            <w:tcW w:w="0" w:type="dxa"/>
            <w:vAlign w:val="bottom"/>
          </w:tcPr>
          <w:p>
            <w:pPr>
              <w:spacing w:after="0"/>
              <w:rPr>
                <w:sz w:val="1"/>
                <w:szCs w:val="1"/>
                <w:color w:val="auto"/>
              </w:rPr>
            </w:pPr>
          </w:p>
        </w:tc>
      </w:tr>
      <w:tr>
        <w:trPr>
          <w:trHeight w:val="235"/>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Provision for income taxes</w:t>
            </w:r>
          </w:p>
        </w:tc>
        <w:tc>
          <w:tcPr>
            <w:tcW w:w="34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25,548</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17,234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39,258</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33,503</w:t>
            </w:r>
          </w:p>
        </w:tc>
        <w:tc>
          <w:tcPr>
            <w:tcW w:w="0" w:type="dxa"/>
            <w:vAlign w:val="bottom"/>
          </w:tcPr>
          <w:p>
            <w:pPr>
              <w:spacing w:after="0"/>
              <w:rPr>
                <w:sz w:val="1"/>
                <w:szCs w:val="1"/>
                <w:color w:val="auto"/>
              </w:rPr>
            </w:pPr>
          </w:p>
        </w:tc>
      </w:tr>
      <w:tr>
        <w:trPr>
          <w:trHeight w:val="251"/>
        </w:trPr>
        <w:tc>
          <w:tcPr>
            <w:tcW w:w="47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(3)</w:t>
            </w:r>
          </w:p>
        </w:tc>
        <w:tc>
          <w:tcPr>
            <w:tcW w:w="34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(3,066)</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470</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(2,334)</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(4,883)</w:t>
            </w:r>
          </w:p>
        </w:tc>
        <w:tc>
          <w:tcPr>
            <w:tcW w:w="0" w:type="dxa"/>
            <w:vAlign w:val="bottom"/>
          </w:tcPr>
          <w:p>
            <w:pPr>
              <w:spacing w:after="0"/>
              <w:rPr>
                <w:sz w:val="1"/>
                <w:szCs w:val="1"/>
                <w:color w:val="auto"/>
              </w:rPr>
            </w:pPr>
          </w:p>
        </w:tc>
      </w:tr>
      <w:tr>
        <w:trPr>
          <w:trHeight w:val="243"/>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 xml:space="preserve">Tax receivable agreement liability adjustment </w:t>
            </w:r>
            <w:r>
              <w:rPr>
                <w:rFonts w:ascii="Arial" w:cs="Arial" w:eastAsia="Arial" w:hAnsi="Arial"/>
                <w:sz w:val="21"/>
                <w:szCs w:val="21"/>
                <w:color w:val="auto"/>
                <w:vertAlign w:val="superscript"/>
              </w:rPr>
              <w:t>(4)</w:t>
            </w:r>
          </w:p>
        </w:tc>
        <w:tc>
          <w:tcPr>
            <w:tcW w:w="340" w:type="dxa"/>
            <w:vAlign w:val="bottom"/>
          </w:tcPr>
          <w:p>
            <w:pPr>
              <w:spacing w:after="0"/>
              <w:rPr>
                <w:sz w:val="21"/>
                <w:szCs w:val="21"/>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1"/>
                <w:szCs w:val="21"/>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2"/>
        </w:trPr>
        <w:tc>
          <w:tcPr>
            <w:tcW w:w="4740" w:type="dxa"/>
            <w:vAlign w:val="bottom"/>
            <w:tcBorders>
              <w:top w:val="single" w:sz="8" w:color="D5DCE4"/>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color w:val="auto"/>
              </w:rPr>
              <w:t>Adjusted EBITDA</w:t>
            </w:r>
          </w:p>
        </w:tc>
        <w:tc>
          <w:tcPr>
            <w:tcW w:w="340" w:type="dxa"/>
            <w:vAlign w:val="bottom"/>
            <w:tcBorders>
              <w:top w:val="single" w:sz="8" w:color="auto"/>
              <w:bottom w:val="single" w:sz="8" w:color="auto"/>
            </w:tcBorders>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155,621</w:t>
            </w:r>
          </w:p>
        </w:tc>
        <w:tc>
          <w:tcPr>
            <w:tcW w:w="80" w:type="dxa"/>
            <w:vAlign w:val="bottom"/>
            <w:tcBorders>
              <w:top w:val="single" w:sz="8" w:color="D5DCE4"/>
              <w:bottom w:val="single" w:sz="8" w:color="D5DCE4"/>
            </w:tcBorders>
            <w:shd w:val="clear" w:color="auto" w:fill="D5DCE4"/>
          </w:tcPr>
          <w:p>
            <w:pPr>
              <w:spacing w:after="0"/>
              <w:rPr>
                <w:sz w:val="22"/>
                <w:szCs w:val="22"/>
                <w:color w:val="auto"/>
              </w:rPr>
            </w:pPr>
          </w:p>
        </w:tc>
        <w:tc>
          <w:tcPr>
            <w:tcW w:w="440" w:type="dxa"/>
            <w:vAlign w:val="bottom"/>
            <w:tcBorders>
              <w:top w:val="single" w:sz="8" w:color="auto"/>
              <w:bottom w:val="single" w:sz="8" w:color="auto"/>
            </w:tcBorders>
            <w:shd w:val="clear" w:color="auto" w:fill="D5DCE4"/>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131,898</w:t>
            </w:r>
          </w:p>
        </w:tc>
        <w:tc>
          <w:tcPr>
            <w:tcW w:w="80" w:type="dxa"/>
            <w:vAlign w:val="bottom"/>
            <w:tcBorders>
              <w:top w:val="single" w:sz="8" w:color="D5DCE4"/>
              <w:bottom w:val="single" w:sz="8" w:color="D5DCE4"/>
            </w:tcBorders>
            <w:shd w:val="clear" w:color="auto" w:fill="D5DCE4"/>
          </w:tcPr>
          <w:p>
            <w:pPr>
              <w:spacing w:after="0"/>
              <w:rPr>
                <w:sz w:val="22"/>
                <w:szCs w:val="22"/>
                <w:color w:val="auto"/>
              </w:rPr>
            </w:pPr>
          </w:p>
        </w:tc>
        <w:tc>
          <w:tcPr>
            <w:tcW w:w="360" w:type="dxa"/>
            <w:vAlign w:val="bottom"/>
            <w:tcBorders>
              <w:top w:val="single" w:sz="8" w:color="auto"/>
              <w:bottom w:val="single" w:sz="8" w:color="auto"/>
            </w:tcBorders>
            <w:shd w:val="clear" w:color="auto" w:fill="D5DCE4"/>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rPr>
              <w:t>316,256</w:t>
            </w:r>
          </w:p>
        </w:tc>
        <w:tc>
          <w:tcPr>
            <w:tcW w:w="80" w:type="dxa"/>
            <w:vAlign w:val="bottom"/>
            <w:tcBorders>
              <w:top w:val="single" w:sz="8" w:color="D5DCE4"/>
              <w:bottom w:val="single" w:sz="8" w:color="D5DCE4"/>
            </w:tcBorders>
            <w:shd w:val="clear" w:color="auto" w:fill="D5DCE4"/>
          </w:tcPr>
          <w:p>
            <w:pPr>
              <w:spacing w:after="0"/>
              <w:rPr>
                <w:sz w:val="22"/>
                <w:szCs w:val="22"/>
                <w:color w:val="auto"/>
              </w:rPr>
            </w:pPr>
          </w:p>
        </w:tc>
        <w:tc>
          <w:tcPr>
            <w:tcW w:w="440" w:type="dxa"/>
            <w:vAlign w:val="bottom"/>
            <w:tcBorders>
              <w:top w:val="single" w:sz="8" w:color="auto"/>
              <w:bottom w:val="single" w:sz="8" w:color="auto"/>
            </w:tcBorders>
            <w:shd w:val="clear" w:color="auto" w:fill="D5DCE4"/>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273,982</w:t>
            </w:r>
          </w:p>
        </w:tc>
        <w:tc>
          <w:tcPr>
            <w:tcW w:w="0" w:type="dxa"/>
            <w:vAlign w:val="bottom"/>
          </w:tcPr>
          <w:p>
            <w:pPr>
              <w:spacing w:after="0"/>
              <w:rPr>
                <w:sz w:val="1"/>
                <w:szCs w:val="1"/>
                <w:color w:val="auto"/>
              </w:rPr>
            </w:pPr>
          </w:p>
        </w:tc>
      </w:tr>
      <w:tr>
        <w:trPr>
          <w:trHeight w:val="20"/>
        </w:trPr>
        <w:tc>
          <w:tcPr>
            <w:tcW w:w="454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D5DCE4"/>
            </w:tcBorders>
          </w:tcPr>
          <w:p>
            <w:pPr>
              <w:spacing w:after="0" w:line="20" w:lineRule="exact"/>
              <w:rPr>
                <w:sz w:val="1"/>
                <w:szCs w:val="1"/>
                <w:color w:val="auto"/>
              </w:rPr>
            </w:pPr>
          </w:p>
        </w:tc>
        <w:tc>
          <w:tcPr>
            <w:tcW w:w="340" w:type="dxa"/>
            <w:vAlign w:val="bottom"/>
            <w:tcBorders>
              <w:top w:val="single" w:sz="8" w:color="D5DCE4"/>
              <w:bottom w:val="single" w:sz="8" w:color="auto"/>
            </w:tcBorders>
          </w:tcPr>
          <w:p>
            <w:pPr>
              <w:spacing w:after="0" w:line="20" w:lineRule="exact"/>
              <w:rPr>
                <w:sz w:val="1"/>
                <w:szCs w:val="1"/>
                <w:color w:val="auto"/>
              </w:rPr>
            </w:pPr>
          </w:p>
        </w:tc>
        <w:tc>
          <w:tcPr>
            <w:tcW w:w="12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40" w:type="dxa"/>
            <w:vAlign w:val="bottom"/>
            <w:tcBorders>
              <w:top w:val="single" w:sz="8" w:color="D5DCE4"/>
              <w:bottom w:val="single" w:sz="8" w:color="auto"/>
            </w:tcBorders>
          </w:tcPr>
          <w:p>
            <w:pPr>
              <w:spacing w:after="0" w:line="20" w:lineRule="exact"/>
              <w:rPr>
                <w:sz w:val="1"/>
                <w:szCs w:val="1"/>
                <w:color w:val="auto"/>
              </w:rPr>
            </w:pPr>
          </w:p>
        </w:tc>
        <w:tc>
          <w:tcPr>
            <w:tcW w:w="11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60" w:type="dxa"/>
            <w:vAlign w:val="bottom"/>
            <w:tcBorders>
              <w:top w:val="single" w:sz="8" w:color="D5DCE4"/>
              <w:bottom w:val="single" w:sz="8" w:color="auto"/>
            </w:tcBorders>
          </w:tcPr>
          <w:p>
            <w:pPr>
              <w:spacing w:after="0" w:line="20" w:lineRule="exact"/>
              <w:rPr>
                <w:sz w:val="1"/>
                <w:szCs w:val="1"/>
                <w:color w:val="auto"/>
              </w:rPr>
            </w:pPr>
          </w:p>
        </w:tc>
        <w:tc>
          <w:tcPr>
            <w:tcW w:w="12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40" w:type="dxa"/>
            <w:vAlign w:val="bottom"/>
            <w:tcBorders>
              <w:top w:val="single" w:sz="8" w:color="D5DCE4"/>
              <w:bottom w:val="single" w:sz="8" w:color="auto"/>
            </w:tcBorders>
          </w:tcPr>
          <w:p>
            <w:pPr>
              <w:spacing w:after="0" w:line="20" w:lineRule="exact"/>
              <w:rPr>
                <w:sz w:val="1"/>
                <w:szCs w:val="1"/>
                <w:color w:val="auto"/>
              </w:rPr>
            </w:pPr>
          </w:p>
        </w:tc>
        <w:tc>
          <w:tcPr>
            <w:tcW w:w="112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Less: Depreciation and amortization</w:t>
            </w:r>
          </w:p>
        </w:tc>
        <w:tc>
          <w:tcPr>
            <w:tcW w:w="340" w:type="dxa"/>
            <w:vAlign w:val="bottom"/>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(44,770)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(41,867)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(89,220)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(82,833)</w:t>
            </w:r>
          </w:p>
        </w:tc>
        <w:tc>
          <w:tcPr>
            <w:tcW w:w="0" w:type="dxa"/>
            <w:vAlign w:val="bottom"/>
          </w:tcPr>
          <w:p>
            <w:pPr>
              <w:spacing w:after="0"/>
              <w:rPr>
                <w:sz w:val="1"/>
                <w:szCs w:val="1"/>
                <w:color w:val="auto"/>
              </w:rPr>
            </w:pPr>
          </w:p>
        </w:tc>
      </w:tr>
      <w:tr>
        <w:trPr>
          <w:trHeight w:val="183"/>
        </w:trPr>
        <w:tc>
          <w:tcPr>
            <w:tcW w:w="47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Add: D&amp;A related to acquisitions and the Refinitiv Transaction</w:t>
            </w:r>
          </w:p>
        </w:tc>
        <w:tc>
          <w:tcPr>
            <w:tcW w:w="340" w:type="dxa"/>
            <w:vAlign w:val="bottom"/>
            <w:shd w:val="clear" w:color="auto" w:fill="D5DCE4"/>
          </w:tcPr>
          <w:p>
            <w:pPr>
              <w:spacing w:after="0"/>
              <w:rPr>
                <w:sz w:val="15"/>
                <w:szCs w:val="15"/>
                <w:color w:val="auto"/>
              </w:rPr>
            </w:pPr>
          </w:p>
        </w:tc>
        <w:tc>
          <w:tcPr>
            <w:tcW w:w="1220" w:type="dxa"/>
            <w:vAlign w:val="bottom"/>
            <w:vMerge w:val="restart"/>
            <w:shd w:val="clear" w:color="auto" w:fill="D5DCE4"/>
          </w:tcPr>
          <w:p>
            <w:pPr>
              <w:jc w:val="right"/>
              <w:ind w:right="119"/>
              <w:spacing w:after="0"/>
              <w:rPr>
                <w:sz w:val="20"/>
                <w:szCs w:val="20"/>
                <w:color w:val="auto"/>
              </w:rPr>
            </w:pPr>
            <w:r>
              <w:rPr>
                <w:rFonts w:ascii="Arial" w:cs="Arial" w:eastAsia="Arial" w:hAnsi="Arial"/>
                <w:sz w:val="16"/>
                <w:szCs w:val="16"/>
                <w:color w:val="auto"/>
              </w:rPr>
              <w:t>31,761</w:t>
            </w:r>
          </w:p>
        </w:tc>
        <w:tc>
          <w:tcPr>
            <w:tcW w:w="80" w:type="dxa"/>
            <w:vAlign w:val="bottom"/>
            <w:shd w:val="clear" w:color="auto" w:fill="D5DCE4"/>
          </w:tcPr>
          <w:p>
            <w:pPr>
              <w:spacing w:after="0"/>
              <w:rPr>
                <w:sz w:val="15"/>
                <w:szCs w:val="15"/>
                <w:color w:val="auto"/>
              </w:rPr>
            </w:pPr>
          </w:p>
        </w:tc>
        <w:tc>
          <w:tcPr>
            <w:tcW w:w="440" w:type="dxa"/>
            <w:vAlign w:val="bottom"/>
            <w:shd w:val="clear" w:color="auto" w:fill="D5DCE4"/>
          </w:tcPr>
          <w:p>
            <w:pPr>
              <w:spacing w:after="0"/>
              <w:rPr>
                <w:sz w:val="15"/>
                <w:szCs w:val="15"/>
                <w:color w:val="auto"/>
              </w:rPr>
            </w:pPr>
          </w:p>
        </w:tc>
        <w:tc>
          <w:tcPr>
            <w:tcW w:w="1120" w:type="dxa"/>
            <w:vAlign w:val="bottom"/>
            <w:vMerge w:val="restart"/>
            <w:shd w:val="clear" w:color="auto" w:fill="D5DCE4"/>
          </w:tcPr>
          <w:p>
            <w:pPr>
              <w:jc w:val="right"/>
              <w:ind w:right="119"/>
              <w:spacing w:after="0"/>
              <w:rPr>
                <w:sz w:val="20"/>
                <w:szCs w:val="20"/>
                <w:color w:val="auto"/>
              </w:rPr>
            </w:pPr>
            <w:r>
              <w:rPr>
                <w:rFonts w:ascii="Arial" w:cs="Arial" w:eastAsia="Arial" w:hAnsi="Arial"/>
                <w:sz w:val="16"/>
                <w:szCs w:val="16"/>
                <w:color w:val="auto"/>
              </w:rPr>
              <w:t>30,240</w:t>
            </w:r>
          </w:p>
        </w:tc>
        <w:tc>
          <w:tcPr>
            <w:tcW w:w="80" w:type="dxa"/>
            <w:vAlign w:val="bottom"/>
            <w:shd w:val="clear" w:color="auto" w:fill="D5DCE4"/>
          </w:tcPr>
          <w:p>
            <w:pPr>
              <w:spacing w:after="0"/>
              <w:rPr>
                <w:sz w:val="15"/>
                <w:szCs w:val="15"/>
                <w:color w:val="auto"/>
              </w:rPr>
            </w:pPr>
          </w:p>
        </w:tc>
        <w:tc>
          <w:tcPr>
            <w:tcW w:w="360" w:type="dxa"/>
            <w:vAlign w:val="bottom"/>
            <w:shd w:val="clear" w:color="auto" w:fill="D5DCE4"/>
          </w:tcPr>
          <w:p>
            <w:pPr>
              <w:spacing w:after="0"/>
              <w:rPr>
                <w:sz w:val="15"/>
                <w:szCs w:val="15"/>
                <w:color w:val="auto"/>
              </w:rPr>
            </w:pPr>
          </w:p>
        </w:tc>
        <w:tc>
          <w:tcPr>
            <w:tcW w:w="1220" w:type="dxa"/>
            <w:vAlign w:val="bottom"/>
            <w:vMerge w:val="restart"/>
            <w:shd w:val="clear" w:color="auto" w:fill="D5DCE4"/>
          </w:tcPr>
          <w:p>
            <w:pPr>
              <w:jc w:val="right"/>
              <w:ind w:right="139"/>
              <w:spacing w:after="0"/>
              <w:rPr>
                <w:sz w:val="20"/>
                <w:szCs w:val="20"/>
                <w:color w:val="auto"/>
              </w:rPr>
            </w:pPr>
            <w:r>
              <w:rPr>
                <w:rFonts w:ascii="Arial" w:cs="Arial" w:eastAsia="Arial" w:hAnsi="Arial"/>
                <w:sz w:val="16"/>
                <w:szCs w:val="16"/>
                <w:color w:val="auto"/>
              </w:rPr>
              <w:t>63,530</w:t>
            </w:r>
          </w:p>
        </w:tc>
        <w:tc>
          <w:tcPr>
            <w:tcW w:w="80" w:type="dxa"/>
            <w:vAlign w:val="bottom"/>
            <w:shd w:val="clear" w:color="auto" w:fill="D5DCE4"/>
          </w:tcPr>
          <w:p>
            <w:pPr>
              <w:spacing w:after="0"/>
              <w:rPr>
                <w:sz w:val="15"/>
                <w:szCs w:val="15"/>
                <w:color w:val="auto"/>
              </w:rPr>
            </w:pPr>
          </w:p>
        </w:tc>
        <w:tc>
          <w:tcPr>
            <w:tcW w:w="440" w:type="dxa"/>
            <w:vAlign w:val="bottom"/>
            <w:shd w:val="clear" w:color="auto" w:fill="D5DCE4"/>
          </w:tcPr>
          <w:p>
            <w:pPr>
              <w:spacing w:after="0"/>
              <w:rPr>
                <w:sz w:val="15"/>
                <w:szCs w:val="15"/>
                <w:color w:val="auto"/>
              </w:rPr>
            </w:pPr>
          </w:p>
        </w:tc>
        <w:tc>
          <w:tcPr>
            <w:tcW w:w="1120" w:type="dxa"/>
            <w:vAlign w:val="bottom"/>
            <w:vMerge w:val="restart"/>
            <w:shd w:val="clear" w:color="auto" w:fill="D5DCE4"/>
          </w:tcPr>
          <w:p>
            <w:pPr>
              <w:jc w:val="right"/>
              <w:ind w:right="119"/>
              <w:spacing w:after="0"/>
              <w:rPr>
                <w:sz w:val="20"/>
                <w:szCs w:val="20"/>
                <w:color w:val="auto"/>
              </w:rPr>
            </w:pPr>
            <w:r>
              <w:rPr>
                <w:rFonts w:ascii="Arial" w:cs="Arial" w:eastAsia="Arial" w:hAnsi="Arial"/>
                <w:sz w:val="16"/>
                <w:szCs w:val="16"/>
                <w:color w:val="auto"/>
              </w:rPr>
              <w:t>59,843</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1"/>
                <w:szCs w:val="11"/>
                <w:color w:val="auto"/>
              </w:rPr>
              <w:t>(5)</w:t>
            </w:r>
          </w:p>
        </w:tc>
        <w:tc>
          <w:tcPr>
            <w:tcW w:w="200" w:type="dxa"/>
            <w:vAlign w:val="bottom"/>
            <w:tcBorders>
              <w:bottom w:val="single" w:sz="8" w:color="D5DCE4"/>
            </w:tcBorders>
            <w:shd w:val="clear" w:color="auto" w:fill="D5DCE4"/>
          </w:tcPr>
          <w:p>
            <w:pPr>
              <w:spacing w:after="0"/>
              <w:rPr>
                <w:sz w:val="17"/>
                <w:szCs w:val="17"/>
                <w:color w:val="auto"/>
              </w:rPr>
            </w:pPr>
          </w:p>
        </w:tc>
        <w:tc>
          <w:tcPr>
            <w:tcW w:w="340" w:type="dxa"/>
            <w:vAlign w:val="bottom"/>
            <w:tcBorders>
              <w:bottom w:val="single" w:sz="8" w:color="D5DCE4"/>
            </w:tcBorders>
            <w:shd w:val="clear" w:color="auto" w:fill="D5DCE4"/>
          </w:tcPr>
          <w:p>
            <w:pPr>
              <w:spacing w:after="0"/>
              <w:rPr>
                <w:sz w:val="17"/>
                <w:szCs w:val="17"/>
                <w:color w:val="auto"/>
              </w:rPr>
            </w:pPr>
          </w:p>
        </w:tc>
        <w:tc>
          <w:tcPr>
            <w:tcW w:w="1220" w:type="dxa"/>
            <w:vAlign w:val="bottom"/>
            <w:tcBorders>
              <w:bottom w:val="single" w:sz="8" w:color="D5DCE4"/>
            </w:tcBorders>
            <w:vMerge w:val="continue"/>
            <w:shd w:val="clear" w:color="auto" w:fill="D5DCE4"/>
          </w:tcPr>
          <w:p>
            <w:pPr>
              <w:spacing w:after="0"/>
              <w:rPr>
                <w:sz w:val="17"/>
                <w:szCs w:val="17"/>
                <w:color w:val="auto"/>
              </w:rPr>
            </w:pPr>
          </w:p>
        </w:tc>
        <w:tc>
          <w:tcPr>
            <w:tcW w:w="80" w:type="dxa"/>
            <w:vAlign w:val="bottom"/>
            <w:tcBorders>
              <w:bottom w:val="single" w:sz="8" w:color="D5DCE4"/>
            </w:tcBorders>
            <w:shd w:val="clear" w:color="auto" w:fill="D5DCE4"/>
          </w:tcPr>
          <w:p>
            <w:pPr>
              <w:spacing w:after="0"/>
              <w:rPr>
                <w:sz w:val="17"/>
                <w:szCs w:val="17"/>
                <w:color w:val="auto"/>
              </w:rPr>
            </w:pPr>
          </w:p>
        </w:tc>
        <w:tc>
          <w:tcPr>
            <w:tcW w:w="440" w:type="dxa"/>
            <w:vAlign w:val="bottom"/>
            <w:tcBorders>
              <w:bottom w:val="single" w:sz="8" w:color="D5DCE4"/>
            </w:tcBorders>
            <w:shd w:val="clear" w:color="auto" w:fill="D5DCE4"/>
          </w:tcPr>
          <w:p>
            <w:pPr>
              <w:spacing w:after="0"/>
              <w:rPr>
                <w:sz w:val="17"/>
                <w:szCs w:val="17"/>
                <w:color w:val="auto"/>
              </w:rPr>
            </w:pPr>
          </w:p>
        </w:tc>
        <w:tc>
          <w:tcPr>
            <w:tcW w:w="1120" w:type="dxa"/>
            <w:vAlign w:val="bottom"/>
            <w:tcBorders>
              <w:bottom w:val="single" w:sz="8" w:color="D5DCE4"/>
            </w:tcBorders>
            <w:vMerge w:val="continue"/>
            <w:shd w:val="clear" w:color="auto" w:fill="D5DCE4"/>
          </w:tcPr>
          <w:p>
            <w:pPr>
              <w:spacing w:after="0"/>
              <w:rPr>
                <w:sz w:val="17"/>
                <w:szCs w:val="17"/>
                <w:color w:val="auto"/>
              </w:rPr>
            </w:pPr>
          </w:p>
        </w:tc>
        <w:tc>
          <w:tcPr>
            <w:tcW w:w="80" w:type="dxa"/>
            <w:vAlign w:val="bottom"/>
            <w:tcBorders>
              <w:bottom w:val="single" w:sz="8" w:color="D5DCE4"/>
            </w:tcBorders>
            <w:shd w:val="clear" w:color="auto" w:fill="D5DCE4"/>
          </w:tcPr>
          <w:p>
            <w:pPr>
              <w:spacing w:after="0"/>
              <w:rPr>
                <w:sz w:val="17"/>
                <w:szCs w:val="17"/>
                <w:color w:val="auto"/>
              </w:rPr>
            </w:pPr>
          </w:p>
        </w:tc>
        <w:tc>
          <w:tcPr>
            <w:tcW w:w="360" w:type="dxa"/>
            <w:vAlign w:val="bottom"/>
            <w:tcBorders>
              <w:bottom w:val="single" w:sz="8" w:color="D5DCE4"/>
            </w:tcBorders>
            <w:shd w:val="clear" w:color="auto" w:fill="D5DCE4"/>
          </w:tcPr>
          <w:p>
            <w:pPr>
              <w:spacing w:after="0"/>
              <w:rPr>
                <w:sz w:val="17"/>
                <w:szCs w:val="17"/>
                <w:color w:val="auto"/>
              </w:rPr>
            </w:pPr>
          </w:p>
        </w:tc>
        <w:tc>
          <w:tcPr>
            <w:tcW w:w="1220" w:type="dxa"/>
            <w:vAlign w:val="bottom"/>
            <w:tcBorders>
              <w:bottom w:val="single" w:sz="8" w:color="D5DCE4"/>
            </w:tcBorders>
            <w:vMerge w:val="continue"/>
            <w:shd w:val="clear" w:color="auto" w:fill="D5DCE4"/>
          </w:tcPr>
          <w:p>
            <w:pPr>
              <w:spacing w:after="0"/>
              <w:rPr>
                <w:sz w:val="17"/>
                <w:szCs w:val="17"/>
                <w:color w:val="auto"/>
              </w:rPr>
            </w:pPr>
          </w:p>
        </w:tc>
        <w:tc>
          <w:tcPr>
            <w:tcW w:w="80" w:type="dxa"/>
            <w:vAlign w:val="bottom"/>
            <w:tcBorders>
              <w:bottom w:val="single" w:sz="8" w:color="D5DCE4"/>
            </w:tcBorders>
            <w:shd w:val="clear" w:color="auto" w:fill="D5DCE4"/>
          </w:tcPr>
          <w:p>
            <w:pPr>
              <w:spacing w:after="0"/>
              <w:rPr>
                <w:sz w:val="17"/>
                <w:szCs w:val="17"/>
                <w:color w:val="auto"/>
              </w:rPr>
            </w:pPr>
          </w:p>
        </w:tc>
        <w:tc>
          <w:tcPr>
            <w:tcW w:w="440" w:type="dxa"/>
            <w:vAlign w:val="bottom"/>
            <w:tcBorders>
              <w:bottom w:val="single" w:sz="8" w:color="D5DCE4"/>
            </w:tcBorders>
            <w:shd w:val="clear" w:color="auto" w:fill="D5DCE4"/>
          </w:tcPr>
          <w:p>
            <w:pPr>
              <w:spacing w:after="0"/>
              <w:rPr>
                <w:sz w:val="17"/>
                <w:szCs w:val="17"/>
                <w:color w:val="auto"/>
              </w:rPr>
            </w:pPr>
          </w:p>
        </w:tc>
        <w:tc>
          <w:tcPr>
            <w:tcW w:w="1120" w:type="dxa"/>
            <w:vAlign w:val="bottom"/>
            <w:tcBorders>
              <w:bottom w:val="single" w:sz="8" w:color="D5DCE4"/>
            </w:tcBorders>
            <w:vMerge w:val="continue"/>
            <w:shd w:val="clear" w:color="auto" w:fill="D5DCE4"/>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Adjusted EBIT</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142,612</w:t>
            </w:r>
          </w:p>
        </w:tc>
        <w:tc>
          <w:tcPr>
            <w:tcW w:w="8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120,271</w:t>
            </w:r>
          </w:p>
        </w:tc>
        <w:tc>
          <w:tcPr>
            <w:tcW w:w="8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290,566</w:t>
            </w:r>
          </w:p>
        </w:tc>
        <w:tc>
          <w:tcPr>
            <w:tcW w:w="8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250,992</w:t>
            </w:r>
          </w:p>
        </w:tc>
        <w:tc>
          <w:tcPr>
            <w:tcW w:w="0" w:type="dxa"/>
            <w:vAlign w:val="bottom"/>
          </w:tcPr>
          <w:p>
            <w:pPr>
              <w:spacing w:after="0"/>
              <w:rPr>
                <w:sz w:val="1"/>
                <w:szCs w:val="1"/>
                <w:color w:val="auto"/>
              </w:rPr>
            </w:pPr>
          </w:p>
        </w:tc>
      </w:tr>
      <w:tr>
        <w:trPr>
          <w:trHeight w:val="20"/>
        </w:trPr>
        <w:tc>
          <w:tcPr>
            <w:tcW w:w="4540" w:type="dxa"/>
            <w:vAlign w:val="bottom"/>
            <w:tcBorders>
              <w:bottom w:val="single" w:sz="8" w:color="D5DCE4"/>
            </w:tcBorders>
          </w:tcPr>
          <w:p>
            <w:pPr>
              <w:spacing w:after="0" w:line="20" w:lineRule="exact"/>
              <w:rPr>
                <w:sz w:val="1"/>
                <w:szCs w:val="1"/>
                <w:color w:val="auto"/>
              </w:rPr>
            </w:pPr>
          </w:p>
        </w:tc>
        <w:tc>
          <w:tcPr>
            <w:tcW w:w="200" w:type="dxa"/>
            <w:vAlign w:val="bottom"/>
            <w:tcBorders>
              <w:bottom w:val="single" w:sz="8" w:color="D5DCE4"/>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gridSpan w:val="2"/>
            <w:shd w:val="clear" w:color="auto" w:fill="D5DCE4"/>
          </w:tcPr>
          <w:p>
            <w:pPr>
              <w:ind w:left="20"/>
              <w:spacing w:after="0" w:line="237" w:lineRule="exact"/>
              <w:rPr>
                <w:sz w:val="20"/>
                <w:szCs w:val="20"/>
                <w:color w:val="auto"/>
              </w:rPr>
            </w:pPr>
            <w:r>
              <w:rPr>
                <w:rFonts w:ascii="Arial" w:cs="Arial" w:eastAsia="Arial" w:hAnsi="Arial"/>
                <w:sz w:val="16"/>
                <w:szCs w:val="16"/>
                <w:color w:val="auto"/>
              </w:rPr>
              <w:t xml:space="preserve">Adjusted EBITDA margin </w:t>
            </w:r>
            <w:r>
              <w:rPr>
                <w:rFonts w:ascii="Arial" w:cs="Arial" w:eastAsia="Arial" w:hAnsi="Arial"/>
                <w:sz w:val="21"/>
                <w:szCs w:val="21"/>
                <w:color w:val="auto"/>
                <w:vertAlign w:val="superscript"/>
              </w:rPr>
              <w:t>(6)</w:t>
            </w:r>
          </w:p>
        </w:tc>
        <w:tc>
          <w:tcPr>
            <w:tcW w:w="340" w:type="dxa"/>
            <w:vAlign w:val="bottom"/>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52.4 %</w:t>
            </w:r>
          </w:p>
        </w:tc>
        <w:tc>
          <w:tcPr>
            <w:tcW w:w="80" w:type="dxa"/>
            <w:vAlign w:val="bottom"/>
            <w:shd w:val="clear" w:color="auto" w:fill="D5DCE4"/>
          </w:tcPr>
          <w:p>
            <w:pPr>
              <w:spacing w:after="0"/>
              <w:rPr>
                <w:sz w:val="20"/>
                <w:szCs w:val="20"/>
                <w:color w:val="auto"/>
              </w:rPr>
            </w:pPr>
          </w:p>
        </w:tc>
        <w:tc>
          <w:tcPr>
            <w:tcW w:w="440" w:type="dxa"/>
            <w:vAlign w:val="bottom"/>
            <w:shd w:val="clear" w:color="auto" w:fill="D5DCE4"/>
          </w:tcPr>
          <w:p>
            <w:pPr>
              <w:spacing w:after="0"/>
              <w:rPr>
                <w:sz w:val="20"/>
                <w:szCs w:val="20"/>
                <w:color w:val="auto"/>
              </w:rPr>
            </w:pPr>
          </w:p>
        </w:tc>
        <w:tc>
          <w:tcPr>
            <w:tcW w:w="1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50.6 %</w:t>
            </w:r>
          </w:p>
        </w:tc>
        <w:tc>
          <w:tcPr>
            <w:tcW w:w="80" w:type="dxa"/>
            <w:vAlign w:val="bottom"/>
            <w:shd w:val="clear" w:color="auto" w:fill="D5DCE4"/>
          </w:tcPr>
          <w:p>
            <w:pPr>
              <w:spacing w:after="0"/>
              <w:rPr>
                <w:sz w:val="20"/>
                <w:szCs w:val="20"/>
                <w:color w:val="auto"/>
              </w:rPr>
            </w:pPr>
          </w:p>
        </w:tc>
        <w:tc>
          <w:tcPr>
            <w:tcW w:w="360" w:type="dxa"/>
            <w:vAlign w:val="bottom"/>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52.0 %</w:t>
            </w:r>
          </w:p>
        </w:tc>
        <w:tc>
          <w:tcPr>
            <w:tcW w:w="80" w:type="dxa"/>
            <w:vAlign w:val="bottom"/>
            <w:shd w:val="clear" w:color="auto" w:fill="D5DCE4"/>
          </w:tcPr>
          <w:p>
            <w:pPr>
              <w:spacing w:after="0"/>
              <w:rPr>
                <w:sz w:val="20"/>
                <w:szCs w:val="20"/>
                <w:color w:val="auto"/>
              </w:rPr>
            </w:pPr>
          </w:p>
        </w:tc>
        <w:tc>
          <w:tcPr>
            <w:tcW w:w="440" w:type="dxa"/>
            <w:vAlign w:val="bottom"/>
            <w:shd w:val="clear" w:color="auto" w:fill="D5DCE4"/>
          </w:tcPr>
          <w:p>
            <w:pPr>
              <w:spacing w:after="0"/>
              <w:rPr>
                <w:sz w:val="20"/>
                <w:szCs w:val="20"/>
                <w:color w:val="auto"/>
              </w:rPr>
            </w:pPr>
          </w:p>
        </w:tc>
        <w:tc>
          <w:tcPr>
            <w:tcW w:w="1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51.3 %</w:t>
            </w:r>
          </w:p>
        </w:tc>
        <w:tc>
          <w:tcPr>
            <w:tcW w:w="0" w:type="dxa"/>
            <w:vAlign w:val="bottom"/>
          </w:tcPr>
          <w:p>
            <w:pPr>
              <w:spacing w:after="0"/>
              <w:rPr>
                <w:sz w:val="1"/>
                <w:szCs w:val="1"/>
                <w:color w:val="auto"/>
              </w:rPr>
            </w:pPr>
          </w:p>
        </w:tc>
      </w:tr>
      <w:tr>
        <w:trPr>
          <w:trHeight w:val="298"/>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 xml:space="preserve">Adjusted EBIT margin </w:t>
            </w:r>
            <w:r>
              <w:rPr>
                <w:rFonts w:ascii="Arial" w:cs="Arial" w:eastAsia="Arial" w:hAnsi="Arial"/>
                <w:sz w:val="21"/>
                <w:szCs w:val="21"/>
                <w:color w:val="auto"/>
                <w:vertAlign w:val="superscript"/>
              </w:rPr>
              <w:t>(6)</w:t>
            </w: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48.0 %</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46.1 %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47.7 %</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47.0 %</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660" w:right="140" w:hanging="328"/>
        <w:spacing w:after="0" w:line="256" w:lineRule="auto"/>
        <w:tabs>
          <w:tab w:leader="none" w:pos="659" w:val="left"/>
        </w:tabs>
        <w:numPr>
          <w:ilvl w:val="0"/>
          <w:numId w:val="7"/>
        </w:numPr>
        <w:rPr>
          <w:rFonts w:ascii="Arial" w:cs="Arial" w:eastAsia="Arial" w:hAnsi="Arial"/>
          <w:sz w:val="12"/>
          <w:szCs w:val="12"/>
          <w:color w:val="auto"/>
        </w:rPr>
      </w:pPr>
      <w:r>
        <w:rPr>
          <w:rFonts w:ascii="Arial" w:cs="Arial" w:eastAsia="Arial" w:hAnsi="Arial"/>
          <w:sz w:val="12"/>
          <w:szCs w:val="12"/>
          <w:color w:val="auto"/>
        </w:rPr>
        <w:t>Represents transaction and other costs related to the NFI Acquisition, which closed in June 2021. Acquisition-related costs primarily include legal, consulting and advisory fees and severance costs incurred that relate to the acquisition transaction.</w:t>
      </w:r>
    </w:p>
    <w:p>
      <w:pPr>
        <w:spacing w:after="0" w:line="1" w:lineRule="exact"/>
        <w:rPr>
          <w:rFonts w:ascii="Arial" w:cs="Arial" w:eastAsia="Arial" w:hAnsi="Arial"/>
          <w:sz w:val="12"/>
          <w:szCs w:val="12"/>
          <w:color w:val="auto"/>
        </w:rPr>
      </w:pPr>
    </w:p>
    <w:p>
      <w:pPr>
        <w:ind w:left="660" w:right="40" w:hanging="328"/>
        <w:spacing w:after="0" w:line="251" w:lineRule="auto"/>
        <w:tabs>
          <w:tab w:leader="none" w:pos="659" w:val="left"/>
        </w:tabs>
        <w:numPr>
          <w:ilvl w:val="0"/>
          <w:numId w:val="7"/>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the exercise of such options totaling $1.6 million and $2.8 million during the three months ended June 30, 2022 and 2021, respectively, and $3.8 million and $9.2 million during the six months ended June 30, 2022 and 2021, respectively. During the three and six months ended June 30, 2022, this adjustment also includes $5.7 million and $7.4 million, respectively, of non-cash accelerated stock-based compensation expense and related payroll taxes associated with our former CFO and our retiring CEO.</w:t>
      </w:r>
    </w:p>
    <w:p>
      <w:pPr>
        <w:spacing w:after="0" w:line="1" w:lineRule="exact"/>
        <w:rPr>
          <w:rFonts w:ascii="Arial" w:cs="Arial" w:eastAsia="Arial" w:hAnsi="Arial"/>
          <w:sz w:val="12"/>
          <w:szCs w:val="12"/>
          <w:color w:val="auto"/>
        </w:rPr>
      </w:pPr>
    </w:p>
    <w:p>
      <w:pPr>
        <w:ind w:left="660" w:right="340" w:hanging="328"/>
        <w:spacing w:after="0" w:line="258" w:lineRule="auto"/>
        <w:tabs>
          <w:tab w:leader="none" w:pos="659" w:val="left"/>
        </w:tabs>
        <w:numPr>
          <w:ilvl w:val="0"/>
          <w:numId w:val="7"/>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ind w:left="660" w:right="480" w:hanging="328"/>
        <w:spacing w:after="0" w:line="246" w:lineRule="auto"/>
        <w:tabs>
          <w:tab w:leader="none" w:pos="659" w:val="left"/>
        </w:tabs>
        <w:numPr>
          <w:ilvl w:val="0"/>
          <w:numId w:val="7"/>
        </w:numPr>
        <w:rPr>
          <w:rFonts w:ascii="Arial" w:cs="Arial" w:eastAsia="Arial" w:hAnsi="Arial"/>
          <w:sz w:val="12"/>
          <w:szCs w:val="12"/>
          <w:color w:val="auto"/>
        </w:rPr>
      </w:pPr>
      <w:r>
        <w:rPr>
          <w:rFonts w:ascii="Arial" w:cs="Arial" w:eastAsia="Arial" w:hAnsi="Arial"/>
          <w:sz w:val="12"/>
          <w:szCs w:val="12"/>
          <w:color w:val="auto"/>
        </w:rPr>
        <w:t>Represents income recognized during the applicable period due to changes in the tax receivable agreement liability recorded in the consolidated statement of financial condition as a result of changes in the mix of earnings, tax legislation and tax rates in various jurisdictions which impacted our tax savings.</w:t>
      </w:r>
    </w:p>
    <w:p>
      <w:pPr>
        <w:ind w:left="660" w:hanging="328"/>
        <w:spacing w:after="0" w:line="247" w:lineRule="auto"/>
        <w:tabs>
          <w:tab w:leader="none" w:pos="659" w:val="left"/>
        </w:tabs>
        <w:numPr>
          <w:ilvl w:val="0"/>
          <w:numId w:val="7"/>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the NFI Acquisition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ind w:left="660" w:hanging="328"/>
        <w:spacing w:after="0"/>
        <w:tabs>
          <w:tab w:leader="none" w:pos="660" w:val="left"/>
        </w:tabs>
        <w:numPr>
          <w:ilvl w:val="0"/>
          <w:numId w:val="7"/>
        </w:numPr>
        <w:rPr>
          <w:rFonts w:ascii="Arial" w:cs="Arial" w:eastAsia="Arial" w:hAnsi="Arial"/>
          <w:sz w:val="12"/>
          <w:szCs w:val="12"/>
          <w:color w:val="auto"/>
        </w:rPr>
      </w:pPr>
      <w:r>
        <w:rPr>
          <w:rFonts w:ascii="Arial" w:cs="Arial" w:eastAsia="Arial" w:hAnsi="Arial"/>
          <w:sz w:val="12"/>
          <w:szCs w:val="12"/>
          <w:color w:val="auto"/>
        </w:rPr>
        <w:t>Adjusted EBITDA margin and Adjusted EBIT margin are defined as Adjusted EBITDA and Adjusted EBIT, respectively, divided by revenue for the applicable period.</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20"/>
        <w:spacing w:after="0" w:line="296" w:lineRule="auto"/>
        <w:rPr>
          <w:sz w:val="20"/>
          <w:szCs w:val="20"/>
          <w:color w:val="auto"/>
        </w:rPr>
      </w:pPr>
      <w:r>
        <w:rPr>
          <w:rFonts w:ascii="Arial" w:cs="Arial" w:eastAsia="Arial" w:hAnsi="Arial"/>
          <w:sz w:val="16"/>
          <w:szCs w:val="16"/>
          <w:b w:val="1"/>
          <w:bCs w:val="1"/>
          <w:color w:val="auto"/>
        </w:rPr>
        <w:t>Reconciliation of Net Income to Adjusted Net Income and Adjusted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1203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16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rPr>
              <w:t>Three Months Ended</w:t>
            </w:r>
          </w:p>
        </w:tc>
        <w:tc>
          <w:tcPr>
            <w:tcW w:w="308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r>
      <w:tr>
        <w:trPr>
          <w:trHeight w:val="247"/>
        </w:trPr>
        <w:tc>
          <w:tcPr>
            <w:tcW w:w="1080" w:type="dxa"/>
            <w:vAlign w:val="bottom"/>
          </w:tcPr>
          <w:p>
            <w:pPr>
              <w:spacing w:after="0"/>
              <w:rPr>
                <w:sz w:val="21"/>
                <w:szCs w:val="21"/>
                <w:color w:val="auto"/>
              </w:rPr>
            </w:pPr>
          </w:p>
        </w:tc>
        <w:tc>
          <w:tcPr>
            <w:tcW w:w="2080" w:type="dxa"/>
            <w:vAlign w:val="bottom"/>
            <w:gridSpan w:val="4"/>
          </w:tcPr>
          <w:p>
            <w:pPr>
              <w:jc w:val="center"/>
              <w:ind w:right="1160"/>
              <w:spacing w:after="0"/>
              <w:rPr>
                <w:sz w:val="20"/>
                <w:szCs w:val="20"/>
                <w:color w:val="auto"/>
              </w:rPr>
            </w:pPr>
            <w:r>
              <w:rPr>
                <w:rFonts w:ascii="Arial" w:cs="Arial" w:eastAsia="Arial" w:hAnsi="Arial"/>
                <w:sz w:val="16"/>
                <w:szCs w:val="16"/>
                <w:b w:val="1"/>
                <w:bCs w:val="1"/>
                <w:color w:val="auto"/>
                <w:w w:val="99"/>
              </w:rPr>
              <w:t>June 30,</w:t>
            </w:r>
          </w:p>
        </w:tc>
        <w:tc>
          <w:tcPr>
            <w:tcW w:w="2000" w:type="dxa"/>
            <w:vAlign w:val="bottom"/>
            <w:gridSpan w:val="3"/>
          </w:tcPr>
          <w:p>
            <w:pPr>
              <w:jc w:val="center"/>
              <w:ind w:left="999"/>
              <w:spacing w:after="0"/>
              <w:rPr>
                <w:sz w:val="20"/>
                <w:szCs w:val="20"/>
                <w:color w:val="auto"/>
              </w:rPr>
            </w:pPr>
            <w:r>
              <w:rPr>
                <w:rFonts w:ascii="Arial" w:cs="Arial" w:eastAsia="Arial" w:hAnsi="Arial"/>
                <w:sz w:val="16"/>
                <w:szCs w:val="16"/>
                <w:b w:val="1"/>
                <w:bCs w:val="1"/>
                <w:color w:val="auto"/>
                <w:w w:val="99"/>
              </w:rPr>
              <w:t>June 30,</w:t>
            </w:r>
          </w:p>
        </w:tc>
        <w:tc>
          <w:tcPr>
            <w:tcW w:w="1080" w:type="dxa"/>
            <w:vAlign w:val="bottom"/>
          </w:tcPr>
          <w:p>
            <w:pPr>
              <w:spacing w:after="0"/>
              <w:rPr>
                <w:sz w:val="21"/>
                <w:szCs w:val="21"/>
                <w:color w:val="auto"/>
              </w:rPr>
            </w:pPr>
          </w:p>
        </w:tc>
      </w:tr>
      <w:tr>
        <w:trPr>
          <w:trHeight w:val="237"/>
        </w:trPr>
        <w:tc>
          <w:tcPr>
            <w:tcW w:w="10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0"/>
                <w:szCs w:val="20"/>
                <w:color w:val="auto"/>
              </w:rPr>
            </w:pPr>
          </w:p>
        </w:tc>
        <w:tc>
          <w:tcPr>
            <w:tcW w:w="15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73"/>
        </w:trPr>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60" w:type="dxa"/>
            <w:vAlign w:val="bottom"/>
            <w:gridSpan w:val="6"/>
          </w:tcPr>
          <w:p>
            <w:pPr>
              <w:ind w:left="20"/>
              <w:spacing w:after="0"/>
              <w:rPr>
                <w:sz w:val="20"/>
                <w:szCs w:val="20"/>
                <w:color w:val="auto"/>
              </w:rPr>
            </w:pPr>
            <w:r>
              <w:rPr>
                <w:rFonts w:ascii="Arial" w:cs="Arial" w:eastAsia="Arial" w:hAnsi="Arial"/>
                <w:sz w:val="16"/>
                <w:szCs w:val="16"/>
                <w:b w:val="1"/>
                <w:bCs w:val="1"/>
                <w:color w:val="auto"/>
              </w:rPr>
              <w:t>(in thousands, except per share amounts)</w:t>
            </w:r>
          </w:p>
        </w:tc>
        <w:tc>
          <w:tcPr>
            <w:tcW w:w="1080" w:type="dxa"/>
            <w:vAlign w:val="bottom"/>
          </w:tcPr>
          <w:p>
            <w:pPr>
              <w:spacing w:after="0"/>
              <w:rPr>
                <w:sz w:val="23"/>
                <w:szCs w:val="23"/>
                <w:color w:val="auto"/>
              </w:rPr>
            </w:pPr>
          </w:p>
        </w:tc>
      </w:tr>
    </w:tbl>
    <w:p>
      <w:pPr>
        <w:spacing w:after="0" w:line="20" w:lineRule="exact"/>
        <w:rPr>
          <w:sz w:val="20"/>
          <w:szCs w:val="20"/>
          <w:color w:val="auto"/>
        </w:rPr>
      </w:pPr>
    </w:p>
    <w:p>
      <w:pPr>
        <w:sectPr>
          <w:pgSz w:w="11900" w:h="16838" w:orient="portrait"/>
          <w:cols w:equalWidth="0" w:num="2">
            <w:col w:w="4440" w:space="560"/>
            <w:col w:w="6240"/>
          </w:cols>
          <w:pgMar w:left="320" w:top="692" w:right="339" w:bottom="1440" w:gutter="0" w:footer="0" w:header="0"/>
          <w:type w:val="continuous"/>
        </w:sectPr>
      </w:pPr>
    </w:p>
    <w:tbl>
      <w:tblPr>
        <w:tblLayout w:type="fixed"/>
        <w:tblInd w:w="0" w:type="dxa"/>
        <w:tblCellMar>
          <w:top w:w="0" w:type="dxa"/>
          <w:left w:w="0" w:type="dxa"/>
          <w:bottom w:w="0" w:type="dxa"/>
          <w:right w:w="0" w:type="dxa"/>
        </w:tblCellMar>
      </w:tblPr>
      <w:tr>
        <w:trPr>
          <w:trHeight w:val="255"/>
        </w:trPr>
        <w:tc>
          <w:tcPr>
            <w:tcW w:w="500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Earnings per diluted share</w:t>
            </w: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0.33</w:t>
            </w:r>
          </w:p>
        </w:tc>
        <w:tc>
          <w:tcPr>
            <w:tcW w:w="80" w:type="dxa"/>
            <w:vAlign w:val="bottom"/>
            <w:tcBorders>
              <w:bottom w:val="single" w:sz="8" w:color="D5DCE4"/>
            </w:tcBorders>
            <w:shd w:val="clear" w:color="auto" w:fill="D5DCE4"/>
          </w:tcPr>
          <w:p>
            <w:pPr>
              <w:spacing w:after="0"/>
              <w:rPr>
                <w:sz w:val="21"/>
                <w:szCs w:val="21"/>
                <w:color w:val="auto"/>
              </w:rPr>
            </w:pP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0.27</w:t>
            </w:r>
          </w:p>
        </w:tc>
        <w:tc>
          <w:tcPr>
            <w:tcW w:w="80" w:type="dxa"/>
            <w:vAlign w:val="bottom"/>
            <w:tcBorders>
              <w:bottom w:val="single" w:sz="8" w:color="D5DCE4"/>
            </w:tcBorders>
            <w:shd w:val="clear" w:color="auto" w:fill="D5DCE4"/>
          </w:tcPr>
          <w:p>
            <w:pPr>
              <w:spacing w:after="0"/>
              <w:rPr>
                <w:sz w:val="21"/>
                <w:szCs w:val="21"/>
                <w:color w:val="auto"/>
              </w:rPr>
            </w:pP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0.73</w:t>
            </w:r>
          </w:p>
        </w:tc>
        <w:tc>
          <w:tcPr>
            <w:tcW w:w="80" w:type="dxa"/>
            <w:vAlign w:val="bottom"/>
            <w:tcBorders>
              <w:bottom w:val="single" w:sz="8" w:color="D5DCE4"/>
            </w:tcBorders>
            <w:shd w:val="clear" w:color="auto" w:fill="D5DCE4"/>
          </w:tcPr>
          <w:p>
            <w:pPr>
              <w:spacing w:after="0"/>
              <w:rPr>
                <w:sz w:val="21"/>
                <w:szCs w:val="21"/>
                <w:color w:val="auto"/>
              </w:rPr>
            </w:pPr>
          </w:p>
        </w:tc>
        <w:tc>
          <w:tcPr>
            <w:tcW w:w="480" w:type="dxa"/>
            <w:vAlign w:val="bottom"/>
            <w:tcBorders>
              <w:bottom w:val="single" w:sz="8" w:color="auto"/>
            </w:tcBorders>
            <w:shd w:val="clear" w:color="auto" w:fill="D5DCE4"/>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0.60</w:t>
            </w:r>
          </w:p>
        </w:tc>
      </w:tr>
      <w:tr>
        <w:trPr>
          <w:trHeight w:val="20"/>
        </w:trPr>
        <w:tc>
          <w:tcPr>
            <w:tcW w:w="500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r>
      <w:tr>
        <w:trPr>
          <w:trHeight w:val="209"/>
        </w:trPr>
        <w:tc>
          <w:tcPr>
            <w:tcW w:w="5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Net income attributable to Tradeweb Markets Inc.</w:t>
            </w:r>
          </w:p>
        </w:tc>
        <w:tc>
          <w:tcPr>
            <w:tcW w:w="48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68,344</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55,316</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151,309</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123,175</w:t>
            </w:r>
          </w:p>
        </w:tc>
      </w:tr>
      <w:tr>
        <w:trPr>
          <w:trHeight w:val="243"/>
        </w:trPr>
        <w:tc>
          <w:tcPr>
            <w:tcW w:w="5000" w:type="dxa"/>
            <w:vAlign w:val="bottom"/>
            <w:tcBorders>
              <w:bottom w:val="single" w:sz="8" w:color="D5DCE4"/>
            </w:tcBorders>
          </w:tcPr>
          <w:p>
            <w:pPr>
              <w:ind w:left="20"/>
              <w:spacing w:after="0"/>
              <w:rPr>
                <w:sz w:val="20"/>
                <w:szCs w:val="20"/>
                <w:color w:val="auto"/>
              </w:rPr>
            </w:pPr>
            <w:r>
              <w:rPr>
                <w:rFonts w:ascii="Arial" w:cs="Arial" w:eastAsia="Arial" w:hAnsi="Arial"/>
                <w:sz w:val="16"/>
                <w:szCs w:val="16"/>
                <w:color w:val="auto"/>
              </w:rPr>
              <w:t xml:space="preserve">Net income attributable to non-controlling interests </w:t>
            </w:r>
            <w:r>
              <w:rPr>
                <w:rFonts w:ascii="Arial" w:cs="Arial" w:eastAsia="Arial" w:hAnsi="Arial"/>
                <w:sz w:val="21"/>
                <w:szCs w:val="21"/>
                <w:color w:val="auto"/>
                <w:vertAlign w:val="superscript"/>
              </w:rPr>
              <w:t>(1)</w:t>
            </w: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13,256</w:t>
            </w:r>
          </w:p>
        </w:tc>
        <w:tc>
          <w:tcPr>
            <w:tcW w:w="80" w:type="dxa"/>
            <w:vAlign w:val="bottom"/>
            <w:tcBorders>
              <w:bottom w:val="single" w:sz="8" w:color="D5DCE4"/>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10,917</w:t>
            </w:r>
          </w:p>
        </w:tc>
        <w:tc>
          <w:tcPr>
            <w:tcW w:w="80" w:type="dxa"/>
            <w:vAlign w:val="bottom"/>
            <w:tcBorders>
              <w:bottom w:val="single" w:sz="8" w:color="D5DCE4"/>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27,736</w:t>
            </w:r>
          </w:p>
        </w:tc>
        <w:tc>
          <w:tcPr>
            <w:tcW w:w="80" w:type="dxa"/>
            <w:vAlign w:val="bottom"/>
            <w:tcBorders>
              <w:bottom w:val="single" w:sz="8" w:color="D5DCE4"/>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24,623</w:t>
            </w:r>
          </w:p>
        </w:tc>
      </w:tr>
      <w:tr>
        <w:trPr>
          <w:trHeight w:val="236"/>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Net income</w:t>
            </w:r>
          </w:p>
        </w:tc>
        <w:tc>
          <w:tcPr>
            <w:tcW w:w="480" w:type="dxa"/>
            <w:vAlign w:val="bottom"/>
            <w:shd w:val="clear" w:color="auto" w:fill="D5DCE4"/>
          </w:tcPr>
          <w:p>
            <w:pPr>
              <w:spacing w:after="0"/>
              <w:rPr>
                <w:sz w:val="20"/>
                <w:szCs w:val="20"/>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81,600</w:t>
            </w:r>
          </w:p>
        </w:tc>
        <w:tc>
          <w:tcPr>
            <w:tcW w:w="80" w:type="dxa"/>
            <w:vAlign w:val="bottom"/>
            <w:shd w:val="clear" w:color="auto" w:fill="D5DCE4"/>
          </w:tcPr>
          <w:p>
            <w:pPr>
              <w:spacing w:after="0"/>
              <w:rPr>
                <w:sz w:val="20"/>
                <w:szCs w:val="20"/>
                <w:color w:val="auto"/>
              </w:rPr>
            </w:pPr>
          </w:p>
        </w:tc>
        <w:tc>
          <w:tcPr>
            <w:tcW w:w="480" w:type="dxa"/>
            <w:vAlign w:val="bottom"/>
            <w:shd w:val="clear" w:color="auto" w:fill="D5DCE4"/>
          </w:tcPr>
          <w:p>
            <w:pPr>
              <w:spacing w:after="0"/>
              <w:rPr>
                <w:sz w:val="20"/>
                <w:szCs w:val="20"/>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66,233</w:t>
            </w:r>
          </w:p>
        </w:tc>
        <w:tc>
          <w:tcPr>
            <w:tcW w:w="80" w:type="dxa"/>
            <w:vAlign w:val="bottom"/>
            <w:shd w:val="clear" w:color="auto" w:fill="D5DCE4"/>
          </w:tcPr>
          <w:p>
            <w:pPr>
              <w:spacing w:after="0"/>
              <w:rPr>
                <w:sz w:val="20"/>
                <w:szCs w:val="20"/>
                <w:color w:val="auto"/>
              </w:rPr>
            </w:pPr>
          </w:p>
        </w:tc>
        <w:tc>
          <w:tcPr>
            <w:tcW w:w="480" w:type="dxa"/>
            <w:vAlign w:val="bottom"/>
            <w:shd w:val="clear" w:color="auto" w:fill="D5DCE4"/>
          </w:tcPr>
          <w:p>
            <w:pPr>
              <w:spacing w:after="0"/>
              <w:rPr>
                <w:sz w:val="20"/>
                <w:szCs w:val="20"/>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179,045</w:t>
            </w:r>
          </w:p>
        </w:tc>
        <w:tc>
          <w:tcPr>
            <w:tcW w:w="80" w:type="dxa"/>
            <w:vAlign w:val="bottom"/>
            <w:shd w:val="clear" w:color="auto" w:fill="D5DCE4"/>
          </w:tcPr>
          <w:p>
            <w:pPr>
              <w:spacing w:after="0"/>
              <w:rPr>
                <w:sz w:val="20"/>
                <w:szCs w:val="20"/>
                <w:color w:val="auto"/>
              </w:rPr>
            </w:pPr>
          </w:p>
        </w:tc>
        <w:tc>
          <w:tcPr>
            <w:tcW w:w="480" w:type="dxa"/>
            <w:vAlign w:val="bottom"/>
            <w:shd w:val="clear" w:color="auto" w:fill="D5DCE4"/>
          </w:tcPr>
          <w:p>
            <w:pPr>
              <w:spacing w:after="0"/>
              <w:rPr>
                <w:sz w:val="20"/>
                <w:szCs w:val="20"/>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147,798</w:t>
            </w:r>
          </w:p>
        </w:tc>
      </w:tr>
      <w:tr>
        <w:trPr>
          <w:trHeight w:val="235"/>
        </w:trPr>
        <w:tc>
          <w:tcPr>
            <w:tcW w:w="500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25,548</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17,234</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39,258</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33,503</w:t>
            </w:r>
          </w:p>
        </w:tc>
      </w:tr>
      <w:tr>
        <w:trPr>
          <w:trHeight w:val="251"/>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Acquisition transaction costs </w:t>
            </w:r>
            <w:r>
              <w:rPr>
                <w:rFonts w:ascii="Arial" w:cs="Arial" w:eastAsia="Arial" w:hAnsi="Arial"/>
                <w:sz w:val="21"/>
                <w:szCs w:val="21"/>
                <w:color w:val="auto"/>
                <w:vertAlign w:val="superscript"/>
              </w:rPr>
              <w:t>(2)</w:t>
            </w: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2,966</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4,727</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 xml:space="preserve">D&amp;A related to acquisitions and the Refinitiv Transaction </w:t>
            </w:r>
            <w:r>
              <w:rPr>
                <w:rFonts w:ascii="Arial" w:cs="Arial" w:eastAsia="Arial" w:hAnsi="Arial"/>
                <w:sz w:val="21"/>
                <w:szCs w:val="21"/>
                <w:color w:val="auto"/>
                <w:vertAlign w:val="superscript"/>
              </w:rPr>
              <w:t>(3)</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31,761</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30,240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63,530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59,843</w:t>
            </w:r>
          </w:p>
        </w:tc>
      </w:tr>
      <w:tr>
        <w:trPr>
          <w:trHeight w:val="243"/>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(4)</w:t>
            </w: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7,295</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2,803</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11,164</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9,186</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(5)</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(3,066)</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(2,334)</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(4,883)</w:t>
            </w:r>
          </w:p>
        </w:tc>
      </w:tr>
      <w:tr>
        <w:trPr>
          <w:trHeight w:val="243"/>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Tax receivable agreement liability adjustment </w:t>
            </w:r>
            <w:r>
              <w:rPr>
                <w:rFonts w:ascii="Arial" w:cs="Arial" w:eastAsia="Arial" w:hAnsi="Arial"/>
                <w:sz w:val="21"/>
                <w:szCs w:val="21"/>
                <w:color w:val="auto"/>
                <w:vertAlign w:val="superscript"/>
              </w:rPr>
              <w:t>(6)</w:t>
            </w:r>
          </w:p>
        </w:tc>
        <w:tc>
          <w:tcPr>
            <w:tcW w:w="480" w:type="dxa"/>
            <w:vAlign w:val="bottom"/>
            <w:shd w:val="clear" w:color="auto" w:fill="D5DCE4"/>
          </w:tcPr>
          <w:p>
            <w:pPr>
              <w:spacing w:after="0"/>
              <w:rPr>
                <w:sz w:val="21"/>
                <w:szCs w:val="21"/>
                <w:color w:val="auto"/>
              </w:rPr>
            </w:pPr>
          </w:p>
        </w:tc>
        <w:tc>
          <w:tcPr>
            <w:tcW w:w="110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D5DCE4"/>
          </w:tcPr>
          <w:p>
            <w:pPr>
              <w:spacing w:after="0"/>
              <w:rPr>
                <w:sz w:val="21"/>
                <w:szCs w:val="21"/>
                <w:color w:val="auto"/>
              </w:rPr>
            </w:pPr>
          </w:p>
        </w:tc>
        <w:tc>
          <w:tcPr>
            <w:tcW w:w="110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D5DCE4"/>
          </w:tcPr>
          <w:p>
            <w:pPr>
              <w:spacing w:after="0"/>
              <w:rPr>
                <w:sz w:val="21"/>
                <w:szCs w:val="21"/>
                <w:color w:val="auto"/>
              </w:rPr>
            </w:pPr>
          </w:p>
        </w:tc>
        <w:tc>
          <w:tcPr>
            <w:tcW w:w="110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5000" w:type="dxa"/>
            <w:vAlign w:val="bottom"/>
          </w:tcPr>
          <w:p>
            <w:pPr>
              <w:ind w:left="20"/>
              <w:spacing w:after="0"/>
              <w:rPr>
                <w:sz w:val="20"/>
                <w:szCs w:val="20"/>
                <w:color w:val="auto"/>
              </w:rPr>
            </w:pPr>
            <w:r>
              <w:rPr>
                <w:rFonts w:ascii="Arial" w:cs="Arial" w:eastAsia="Arial" w:hAnsi="Arial"/>
                <w:sz w:val="16"/>
                <w:szCs w:val="16"/>
                <w:color w:val="auto"/>
              </w:rPr>
              <w:t>Adjusted Net Income before income taxes</w:t>
            </w:r>
          </w:p>
        </w:tc>
        <w:tc>
          <w:tcPr>
            <w:tcW w:w="4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143,153</w:t>
            </w: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119,946</w:t>
            </w: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290,660</w:t>
            </w: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250,174</w:t>
            </w:r>
          </w:p>
        </w:tc>
      </w:tr>
      <w:tr>
        <w:trPr>
          <w:trHeight w:val="251"/>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Adjusted income taxes </w:t>
            </w:r>
            <w:r>
              <w:rPr>
                <w:rFonts w:ascii="Arial" w:cs="Arial" w:eastAsia="Arial" w:hAnsi="Arial"/>
                <w:sz w:val="21"/>
                <w:szCs w:val="21"/>
                <w:color w:val="auto"/>
                <w:vertAlign w:val="superscript"/>
              </w:rPr>
              <w:t>(7)</w:t>
            </w: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(31,494)</w:t>
            </w:r>
          </w:p>
        </w:tc>
        <w:tc>
          <w:tcPr>
            <w:tcW w:w="80" w:type="dxa"/>
            <w:vAlign w:val="bottom"/>
            <w:shd w:val="clear" w:color="auto" w:fill="D5DCE4"/>
          </w:tcPr>
          <w:p>
            <w:pPr>
              <w:spacing w:after="0"/>
              <w:rPr>
                <w:sz w:val="21"/>
                <w:szCs w:val="21"/>
                <w:color w:val="auto"/>
              </w:rPr>
            </w:pP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(26,388)</w:t>
            </w:r>
          </w:p>
        </w:tc>
        <w:tc>
          <w:tcPr>
            <w:tcW w:w="80" w:type="dxa"/>
            <w:vAlign w:val="bottom"/>
            <w:shd w:val="clear" w:color="auto" w:fill="D5DCE4"/>
          </w:tcPr>
          <w:p>
            <w:pPr>
              <w:spacing w:after="0"/>
              <w:rPr>
                <w:sz w:val="21"/>
                <w:szCs w:val="21"/>
                <w:color w:val="auto"/>
              </w:rPr>
            </w:pP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(63,946)</w:t>
            </w:r>
          </w:p>
        </w:tc>
        <w:tc>
          <w:tcPr>
            <w:tcW w:w="80" w:type="dxa"/>
            <w:vAlign w:val="bottom"/>
            <w:shd w:val="clear" w:color="auto" w:fill="D5DCE4"/>
          </w:tcPr>
          <w:p>
            <w:pPr>
              <w:spacing w:after="0"/>
              <w:rPr>
                <w:sz w:val="21"/>
                <w:szCs w:val="21"/>
                <w:color w:val="auto"/>
              </w:rPr>
            </w:pP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(55,038)</w:t>
            </w:r>
          </w:p>
        </w:tc>
      </w:tr>
      <w:tr>
        <w:trPr>
          <w:trHeight w:val="230"/>
        </w:trPr>
        <w:tc>
          <w:tcPr>
            <w:tcW w:w="5000" w:type="dxa"/>
            <w:vAlign w:val="bottom"/>
          </w:tcPr>
          <w:p>
            <w:pPr>
              <w:ind w:left="20"/>
              <w:spacing w:after="0"/>
              <w:rPr>
                <w:sz w:val="20"/>
                <w:szCs w:val="20"/>
                <w:color w:val="auto"/>
              </w:rPr>
            </w:pPr>
            <w:r>
              <w:rPr>
                <w:rFonts w:ascii="Arial" w:cs="Arial" w:eastAsia="Arial" w:hAnsi="Arial"/>
                <w:sz w:val="16"/>
                <w:szCs w:val="16"/>
                <w:color w:val="auto"/>
              </w:rPr>
              <w:t>Adjusted Net Income</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111,659</w:t>
            </w:r>
          </w:p>
        </w:tc>
        <w:tc>
          <w:tcPr>
            <w:tcW w:w="80" w:type="dxa"/>
            <w:vAlign w:val="bottom"/>
          </w:tcPr>
          <w:p>
            <w:pPr>
              <w:spacing w:after="0"/>
              <w:rPr>
                <w:sz w:val="20"/>
                <w:szCs w:val="20"/>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93,558</w:t>
            </w:r>
          </w:p>
        </w:tc>
        <w:tc>
          <w:tcPr>
            <w:tcW w:w="80" w:type="dxa"/>
            <w:vAlign w:val="bottom"/>
          </w:tcPr>
          <w:p>
            <w:pPr>
              <w:spacing w:after="0"/>
              <w:rPr>
                <w:sz w:val="20"/>
                <w:szCs w:val="20"/>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226,714</w:t>
            </w:r>
          </w:p>
        </w:tc>
        <w:tc>
          <w:tcPr>
            <w:tcW w:w="80" w:type="dxa"/>
            <w:vAlign w:val="bottom"/>
          </w:tcPr>
          <w:p>
            <w:pPr>
              <w:spacing w:after="0"/>
              <w:rPr>
                <w:sz w:val="20"/>
                <w:szCs w:val="20"/>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195,136</w:t>
            </w:r>
          </w:p>
        </w:tc>
      </w:tr>
      <w:tr>
        <w:trPr>
          <w:trHeight w:val="21"/>
        </w:trPr>
        <w:tc>
          <w:tcPr>
            <w:tcW w:w="5000" w:type="dxa"/>
            <w:vAlign w:val="bottom"/>
            <w:tcBorders>
              <w:bottom w:val="single" w:sz="8" w:color="D5DCE4"/>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68"/>
        </w:trPr>
        <w:tc>
          <w:tcPr>
            <w:tcW w:w="500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 xml:space="preserve">Adjusted Diluted EPS </w:t>
            </w:r>
            <w:r>
              <w:rPr>
                <w:rFonts w:ascii="Arial" w:cs="Arial" w:eastAsia="Arial" w:hAnsi="Arial"/>
                <w:sz w:val="21"/>
                <w:szCs w:val="21"/>
                <w:color w:val="auto"/>
                <w:vertAlign w:val="superscript"/>
              </w:rPr>
              <w:t>(8)</w:t>
            </w: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0.47</w:t>
            </w:r>
          </w:p>
        </w:tc>
        <w:tc>
          <w:tcPr>
            <w:tcW w:w="80" w:type="dxa"/>
            <w:vAlign w:val="bottom"/>
            <w:tcBorders>
              <w:bottom w:val="single" w:sz="8" w:color="D5DCE4"/>
            </w:tcBorders>
            <w:shd w:val="clear" w:color="auto" w:fill="D5DCE4"/>
          </w:tcPr>
          <w:p>
            <w:pPr>
              <w:spacing w:after="0"/>
              <w:rPr>
                <w:sz w:val="22"/>
                <w:szCs w:val="22"/>
                <w:color w:val="auto"/>
              </w:rPr>
            </w:pP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0.39</w:t>
            </w:r>
          </w:p>
        </w:tc>
        <w:tc>
          <w:tcPr>
            <w:tcW w:w="80" w:type="dxa"/>
            <w:vAlign w:val="bottom"/>
            <w:tcBorders>
              <w:bottom w:val="single" w:sz="8" w:color="D5DCE4"/>
            </w:tcBorders>
            <w:shd w:val="clear" w:color="auto" w:fill="D5DCE4"/>
          </w:tcPr>
          <w:p>
            <w:pPr>
              <w:spacing w:after="0"/>
              <w:rPr>
                <w:sz w:val="22"/>
                <w:szCs w:val="22"/>
                <w:color w:val="auto"/>
              </w:rPr>
            </w:pP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0.95</w:t>
            </w:r>
          </w:p>
        </w:tc>
        <w:tc>
          <w:tcPr>
            <w:tcW w:w="80" w:type="dxa"/>
            <w:vAlign w:val="bottom"/>
            <w:tcBorders>
              <w:bottom w:val="single" w:sz="8" w:color="D5DCE4"/>
            </w:tcBorders>
            <w:shd w:val="clear" w:color="auto" w:fill="D5DCE4"/>
          </w:tcPr>
          <w:p>
            <w:pPr>
              <w:spacing w:after="0"/>
              <w:rPr>
                <w:sz w:val="22"/>
                <w:szCs w:val="22"/>
                <w:color w:val="auto"/>
              </w:rPr>
            </w:pPr>
          </w:p>
        </w:tc>
        <w:tc>
          <w:tcPr>
            <w:tcW w:w="480" w:type="dxa"/>
            <w:vAlign w:val="bottom"/>
            <w:tcBorders>
              <w:bottom w:val="single" w:sz="8" w:color="auto"/>
            </w:tcBorders>
            <w:shd w:val="clear" w:color="auto" w:fill="D5DCE4"/>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0.82</w:t>
            </w:r>
          </w:p>
        </w:tc>
      </w:tr>
      <w:tr>
        <w:trPr>
          <w:trHeight w:val="20"/>
        </w:trPr>
        <w:tc>
          <w:tcPr>
            <w:tcW w:w="500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660" w:right="20" w:hanging="328"/>
        <w:spacing w:after="0" w:line="267" w:lineRule="auto"/>
        <w:tabs>
          <w:tab w:leader="none" w:pos="659"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Represents the reallocation of net income attributable to non-controlling interests from the assumed exchange of all outstanding LLC Interests held by non-controlling interests for shares of Class A or Class B common stock.</w:t>
      </w:r>
    </w:p>
    <w:p>
      <w:pPr>
        <w:ind w:left="660" w:right="140" w:hanging="328"/>
        <w:spacing w:after="0" w:line="253" w:lineRule="auto"/>
        <w:tabs>
          <w:tab w:leader="none" w:pos="659"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Represents transaction and other costs related to the NFI Acquisition, which closed in June 2021. Acquisition-related costs primarily include legal, consulting and advisory fees and severance costs incurred that relate to the acquisition transaction.</w:t>
      </w:r>
    </w:p>
    <w:p>
      <w:pPr>
        <w:sectPr>
          <w:pgSz w:w="11900" w:h="16838" w:orient="portrait"/>
          <w:cols w:equalWidth="0" w:num="1">
            <w:col w:w="11240"/>
          </w:cols>
          <w:pgMar w:left="320" w:top="692" w:right="339" w:bottom="1440" w:gutter="0" w:footer="0" w:header="0"/>
          <w:type w:val="continuous"/>
        </w:sectPr>
      </w:pPr>
    </w:p>
    <w:p>
      <w:pPr>
        <w:spacing w:after="0" w:line="84"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5</w:t>
      </w:r>
    </w:p>
    <w:p>
      <w:pPr>
        <w:sectPr>
          <w:pgSz w:w="11900" w:h="16838" w:orient="portrait"/>
          <w:cols w:equalWidth="0" w:num="1">
            <w:col w:w="11240"/>
          </w:cols>
          <w:pgMar w:left="320" w:top="692" w:right="339" w:bottom="1440" w:gutter="0" w:footer="0" w:header="0"/>
          <w:type w:val="continuous"/>
        </w:sectPr>
      </w:pPr>
    </w:p>
    <w:bookmarkStart w:id="8" w:name="page9"/>
    <w:bookmarkEnd w:id="8"/>
    <w:p>
      <w:pPr>
        <w:ind w:left="660" w:hanging="328"/>
        <w:spacing w:after="0" w:line="256" w:lineRule="auto"/>
        <w:tabs>
          <w:tab w:leader="none" w:pos="659"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the NFI Acquisition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 w:lineRule="exact"/>
        <w:rPr>
          <w:rFonts w:ascii="Arial" w:cs="Arial" w:eastAsia="Arial" w:hAnsi="Arial"/>
          <w:sz w:val="12"/>
          <w:szCs w:val="12"/>
          <w:color w:val="auto"/>
        </w:rPr>
      </w:pPr>
    </w:p>
    <w:p>
      <w:pPr>
        <w:ind w:left="660" w:right="40" w:hanging="328"/>
        <w:spacing w:after="0" w:line="252" w:lineRule="auto"/>
        <w:tabs>
          <w:tab w:leader="none" w:pos="659"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the exercise of such options totaling $1.6 million and $2.8 million during the three months ended June 30, 2022 and 2021, respectively, and $3.8 million and $9.2 million during the six months ended June 30, 2022 and 2021, respectively. During the three and six months ended June 30, 2022, this adjustment also includes $5.7 million and $7.4 million, respectively, of non-cash accelerated stock-based compensation expense and related payroll taxes associated with our former CFO and our retiring CEO.</w:t>
      </w:r>
    </w:p>
    <w:p>
      <w:pPr>
        <w:ind w:left="660" w:right="340" w:hanging="328"/>
        <w:spacing w:after="0" w:line="257" w:lineRule="auto"/>
        <w:tabs>
          <w:tab w:leader="none" w:pos="659"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ind w:left="660" w:right="480" w:hanging="328"/>
        <w:spacing w:after="0" w:line="236" w:lineRule="auto"/>
        <w:tabs>
          <w:tab w:leader="none" w:pos="659"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income recognized during the applicable period due to changes in the tax receivable agreement liability recorded in the consolidated statement of financial condition as a result of changes in the mix of earnings, tax legislation and tax rates in various jurisdictions which impacted our tax savings.</w:t>
      </w:r>
    </w:p>
    <w:p>
      <w:pPr>
        <w:ind w:left="660" w:hanging="328"/>
        <w:spacing w:after="0"/>
        <w:tabs>
          <w:tab w:leader="none" w:pos="66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corporate income taxes at an assumed effective tax rate of 22% applied to Adjusted Net Income before income taxes for each of the three and six months ended June 30, 2022 and 2021.</w:t>
      </w:r>
    </w:p>
    <w:p>
      <w:pPr>
        <w:spacing w:after="0" w:line="9" w:lineRule="exact"/>
        <w:rPr>
          <w:rFonts w:ascii="Arial" w:cs="Arial" w:eastAsia="Arial" w:hAnsi="Arial"/>
          <w:sz w:val="12"/>
          <w:szCs w:val="12"/>
          <w:color w:val="auto"/>
        </w:rPr>
      </w:pPr>
    </w:p>
    <w:p>
      <w:pPr>
        <w:ind w:left="660" w:right="380" w:hanging="328"/>
        <w:spacing w:after="0" w:line="276" w:lineRule="auto"/>
        <w:tabs>
          <w:tab w:leader="none" w:pos="659" w:val="left"/>
        </w:tabs>
        <w:numPr>
          <w:ilvl w:val="0"/>
          <w:numId w:val="9"/>
        </w:numPr>
        <w:rPr>
          <w:rFonts w:ascii="Arial" w:cs="Arial" w:eastAsia="Arial" w:hAnsi="Arial"/>
          <w:sz w:val="12"/>
          <w:szCs w:val="12"/>
          <w:color w:val="auto"/>
        </w:rPr>
      </w:pPr>
      <w:r>
        <w:rPr>
          <w:rFonts w:ascii="Arial" w:cs="Arial" w:eastAsia="Arial" w:hAnsi="Arial"/>
          <w:sz w:val="12"/>
          <w:szCs w:val="12"/>
          <w:color w:val="auto"/>
        </w:rPr>
        <w:t>For a summary of the calculation of Adjusted Diluted EPS, see “Reconciliation of Diluted Weighted Average Shares Outstanding to Adjusted Diluted Weighted Average Shares Outstanding and Adjusted Diluted EPS” below.</w:t>
      </w: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calculation of Adjusted Diluted EPS for the periods presented:</w:t>
      </w:r>
    </w:p>
    <w:p>
      <w:pPr>
        <w:sectPr>
          <w:pgSz w:w="11900" w:h="16838" w:orient="portrait"/>
          <w:cols w:equalWidth="0" w:num="1">
            <w:col w:w="11240"/>
          </w:cols>
          <w:pgMar w:left="320" w:top="693" w:right="339" w:bottom="1440" w:gutter="0" w:footer="0" w:header="0"/>
        </w:sectPr>
      </w:pPr>
    </w:p>
    <w:p>
      <w:pPr>
        <w:spacing w:after="0" w:line="199" w:lineRule="exact"/>
        <w:rPr>
          <w:sz w:val="20"/>
          <w:szCs w:val="20"/>
          <w:color w:val="auto"/>
        </w:rPr>
      </w:pPr>
    </w:p>
    <w:p>
      <w:pPr>
        <w:ind w:left="20" w:right="280"/>
        <w:spacing w:after="0" w:line="271" w:lineRule="auto"/>
        <w:rPr>
          <w:sz w:val="20"/>
          <w:szCs w:val="20"/>
          <w:color w:val="auto"/>
        </w:rPr>
      </w:pPr>
      <w:r>
        <w:rPr>
          <w:rFonts w:ascii="Arial" w:cs="Arial" w:eastAsia="Arial" w:hAnsi="Arial"/>
          <w:sz w:val="16"/>
          <w:szCs w:val="16"/>
          <w:b w:val="1"/>
          <w:bCs w:val="1"/>
          <w:color w:val="auto"/>
        </w:rPr>
        <w:t>Reconciliation of Diluted Weighted Average Shares Outstanding to Adjusted Diluted Weighted Average Shares Outstanding and Adjusted Diluted EPS</w:t>
      </w:r>
    </w:p>
    <w:p>
      <w:pPr>
        <w:spacing w:after="0" w:line="25" w:lineRule="exact"/>
        <w:rPr>
          <w:sz w:val="20"/>
          <w:szCs w:val="20"/>
          <w:color w:val="auto"/>
        </w:rPr>
      </w:pPr>
    </w:p>
    <w:p>
      <w:pPr>
        <w:ind w:left="20" w:right="60"/>
        <w:spacing w:after="0" w:line="283" w:lineRule="auto"/>
        <w:rPr>
          <w:sz w:val="20"/>
          <w:szCs w:val="20"/>
          <w:color w:val="auto"/>
        </w:rPr>
      </w:pPr>
      <w:r>
        <w:rPr>
          <w:rFonts w:ascii="Arial" w:cs="Arial" w:eastAsia="Arial" w:hAnsi="Arial"/>
          <w:sz w:val="16"/>
          <w:szCs w:val="16"/>
          <w:color w:val="auto"/>
        </w:rPr>
        <w:t>Diluted weighted average shares of Class A and Class B common stock outstanding</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Weighted average of other participating securities </w:t>
      </w:r>
      <w:r>
        <w:rPr>
          <w:rFonts w:ascii="Arial" w:cs="Arial" w:eastAsia="Arial" w:hAnsi="Arial"/>
          <w:sz w:val="21"/>
          <w:szCs w:val="21"/>
          <w:color w:val="auto"/>
          <w:vertAlign w:val="superscript"/>
        </w:rPr>
        <w:t>(1)</w:t>
      </w:r>
    </w:p>
    <w:p>
      <w:pPr>
        <w:spacing w:after="0" w:line="28" w:lineRule="exact"/>
        <w:rPr>
          <w:sz w:val="20"/>
          <w:szCs w:val="20"/>
          <w:color w:val="auto"/>
        </w:rPr>
      </w:pPr>
    </w:p>
    <w:p>
      <w:pPr>
        <w:ind w:left="20"/>
        <w:spacing w:after="0" w:line="237" w:lineRule="auto"/>
        <w:rPr>
          <w:sz w:val="20"/>
          <w:szCs w:val="20"/>
          <w:color w:val="auto"/>
        </w:rPr>
      </w:pPr>
      <w:r>
        <w:rPr>
          <w:rFonts w:ascii="Arial" w:cs="Arial" w:eastAsia="Arial" w:hAnsi="Arial"/>
          <w:sz w:val="16"/>
          <w:szCs w:val="16"/>
          <w:color w:val="auto"/>
        </w:rPr>
        <w:t xml:space="preserve">Assumed exchange of LLC Interests for shares of Class A or Class B common stock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18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rPr>
              <w:t>Three Months Ended</w:t>
            </w:r>
          </w:p>
        </w:tc>
        <w:tc>
          <w:tcPr>
            <w:tcW w:w="310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r>
      <w:tr>
        <w:trPr>
          <w:trHeight w:val="260"/>
        </w:trPr>
        <w:tc>
          <w:tcPr>
            <w:tcW w:w="1080" w:type="dxa"/>
            <w:vAlign w:val="bottom"/>
          </w:tcPr>
          <w:p>
            <w:pPr>
              <w:spacing w:after="0"/>
              <w:rPr>
                <w:sz w:val="22"/>
                <w:szCs w:val="22"/>
                <w:color w:val="auto"/>
              </w:rPr>
            </w:pPr>
          </w:p>
        </w:tc>
        <w:tc>
          <w:tcPr>
            <w:tcW w:w="2100" w:type="dxa"/>
            <w:vAlign w:val="bottom"/>
            <w:gridSpan w:val="4"/>
          </w:tcPr>
          <w:p>
            <w:pPr>
              <w:jc w:val="center"/>
              <w:ind w:right="1160"/>
              <w:spacing w:after="0"/>
              <w:rPr>
                <w:sz w:val="20"/>
                <w:szCs w:val="20"/>
                <w:color w:val="auto"/>
              </w:rPr>
            </w:pPr>
            <w:r>
              <w:rPr>
                <w:rFonts w:ascii="Arial" w:cs="Arial" w:eastAsia="Arial" w:hAnsi="Arial"/>
                <w:sz w:val="16"/>
                <w:szCs w:val="16"/>
                <w:b w:val="1"/>
                <w:bCs w:val="1"/>
                <w:color w:val="auto"/>
              </w:rPr>
              <w:t>June 30,</w:t>
            </w:r>
          </w:p>
        </w:tc>
        <w:tc>
          <w:tcPr>
            <w:tcW w:w="1080" w:type="dxa"/>
            <w:vAlign w:val="bottom"/>
          </w:tcPr>
          <w:p>
            <w:pPr>
              <w:spacing w:after="0"/>
              <w:rPr>
                <w:sz w:val="22"/>
                <w:szCs w:val="22"/>
                <w:color w:val="auto"/>
              </w:rPr>
            </w:pPr>
          </w:p>
        </w:tc>
        <w:tc>
          <w:tcPr>
            <w:tcW w:w="2020" w:type="dxa"/>
            <w:vAlign w:val="bottom"/>
            <w:gridSpan w:val="3"/>
          </w:tcPr>
          <w:p>
            <w:pPr>
              <w:jc w:val="center"/>
              <w:ind w:right="999"/>
              <w:spacing w:after="0"/>
              <w:rPr>
                <w:sz w:val="20"/>
                <w:szCs w:val="20"/>
                <w:color w:val="auto"/>
              </w:rPr>
            </w:pPr>
            <w:r>
              <w:rPr>
                <w:rFonts w:ascii="Arial" w:cs="Arial" w:eastAsia="Arial" w:hAnsi="Arial"/>
                <w:sz w:val="16"/>
                <w:szCs w:val="16"/>
                <w:b w:val="1"/>
                <w:bCs w:val="1"/>
                <w:color w:val="auto"/>
              </w:rPr>
              <w:t>June 30,</w:t>
            </w:r>
          </w:p>
        </w:tc>
      </w:tr>
      <w:tr>
        <w:trPr>
          <w:trHeight w:val="236"/>
        </w:trPr>
        <w:tc>
          <w:tcPr>
            <w:tcW w:w="10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-8255</wp:posOffset>
            </wp:positionV>
            <wp:extent cx="7132320"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95" w:lineRule="exact"/>
        <w:rPr>
          <w:sz w:val="20"/>
          <w:szCs w:val="20"/>
          <w:color w:val="auto"/>
        </w:rPr>
      </w:pPr>
    </w:p>
    <w:p>
      <w:pPr>
        <w:ind w:left="520"/>
        <w:spacing w:after="0"/>
        <w:tabs>
          <w:tab w:leader="none" w:pos="2100" w:val="left"/>
          <w:tab w:leader="none" w:pos="3700" w:val="left"/>
          <w:tab w:leader="none" w:pos="5280" w:val="left"/>
        </w:tabs>
        <w:rPr>
          <w:sz w:val="20"/>
          <w:szCs w:val="20"/>
          <w:color w:val="auto"/>
        </w:rPr>
      </w:pPr>
      <w:r>
        <w:rPr>
          <w:rFonts w:ascii="Arial" w:cs="Arial" w:eastAsia="Arial" w:hAnsi="Arial"/>
          <w:sz w:val="16"/>
          <w:szCs w:val="16"/>
          <w:color w:val="auto"/>
        </w:rPr>
        <w:t>207,272,675</w:t>
      </w:r>
      <w:r>
        <w:rPr>
          <w:sz w:val="20"/>
          <w:szCs w:val="20"/>
          <w:color w:val="auto"/>
        </w:rPr>
        <w:tab/>
      </w:r>
      <w:r>
        <w:rPr>
          <w:rFonts w:ascii="Arial" w:cs="Arial" w:eastAsia="Arial" w:hAnsi="Arial"/>
          <w:sz w:val="16"/>
          <w:szCs w:val="16"/>
          <w:color w:val="auto"/>
        </w:rPr>
        <w:t>207,463,960</w:t>
      </w:r>
      <w:r>
        <w:rPr>
          <w:sz w:val="20"/>
          <w:szCs w:val="20"/>
          <w:color w:val="auto"/>
        </w:rPr>
        <w:tab/>
      </w:r>
      <w:r>
        <w:rPr>
          <w:rFonts w:ascii="Arial" w:cs="Arial" w:eastAsia="Arial" w:hAnsi="Arial"/>
          <w:sz w:val="16"/>
          <w:szCs w:val="16"/>
          <w:color w:val="auto"/>
        </w:rPr>
        <w:t>207,371,372</w:t>
      </w:r>
      <w:r>
        <w:rPr>
          <w:sz w:val="20"/>
          <w:szCs w:val="20"/>
          <w:color w:val="auto"/>
        </w:rPr>
        <w:tab/>
      </w:r>
      <w:r>
        <w:rPr>
          <w:rFonts w:ascii="Arial" w:cs="Arial" w:eastAsia="Arial" w:hAnsi="Arial"/>
          <w:sz w:val="16"/>
          <w:szCs w:val="16"/>
          <w:color w:val="auto"/>
        </w:rPr>
        <w:t>206,253,756</w:t>
      </w:r>
    </w:p>
    <w:p>
      <w:pPr>
        <w:spacing w:after="0" w:line="59" w:lineRule="exact"/>
        <w:rPr>
          <w:sz w:val="20"/>
          <w:szCs w:val="20"/>
          <w:color w:val="auto"/>
        </w:rPr>
      </w:pPr>
    </w:p>
    <w:p>
      <w:pPr>
        <w:ind w:left="940"/>
        <w:spacing w:after="0"/>
        <w:tabs>
          <w:tab w:leader="none" w:pos="2840" w:val="left"/>
          <w:tab w:leader="none" w:pos="4100" w:val="left"/>
          <w:tab w:leader="none" w:pos="6020" w:val="left"/>
        </w:tabs>
        <w:rPr>
          <w:sz w:val="20"/>
          <w:szCs w:val="20"/>
          <w:color w:val="auto"/>
        </w:rPr>
      </w:pPr>
      <w:r>
        <w:rPr>
          <w:rFonts w:ascii="Arial" w:cs="Arial" w:eastAsia="Arial" w:hAnsi="Arial"/>
          <w:sz w:val="16"/>
          <w:szCs w:val="16"/>
          <w:color w:val="auto"/>
        </w:rPr>
        <w:t>76,426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80,778</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29210</wp:posOffset>
            </wp:positionV>
            <wp:extent cx="7132320" cy="2825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242" w:lineRule="exact"/>
        <w:rPr>
          <w:sz w:val="20"/>
          <w:szCs w:val="20"/>
          <w:color w:val="auto"/>
        </w:rPr>
      </w:pPr>
    </w:p>
    <w:p>
      <w:pPr>
        <w:ind w:left="620"/>
        <w:spacing w:after="0"/>
        <w:tabs>
          <w:tab w:leader="none" w:pos="2200" w:val="left"/>
          <w:tab w:leader="none" w:pos="3780" w:val="left"/>
          <w:tab w:leader="none" w:pos="5380" w:val="left"/>
        </w:tabs>
        <w:rPr>
          <w:sz w:val="20"/>
          <w:szCs w:val="20"/>
          <w:color w:val="auto"/>
        </w:rPr>
      </w:pPr>
      <w:r>
        <w:rPr>
          <w:rFonts w:ascii="Arial" w:cs="Arial" w:eastAsia="Arial" w:hAnsi="Arial"/>
          <w:sz w:val="16"/>
          <w:szCs w:val="16"/>
          <w:color w:val="auto"/>
        </w:rPr>
        <w:t>29,971,658</w:t>
      </w:r>
      <w:r>
        <w:rPr>
          <w:sz w:val="20"/>
          <w:szCs w:val="20"/>
          <w:color w:val="auto"/>
        </w:rPr>
        <w:tab/>
      </w:r>
      <w:r>
        <w:rPr>
          <w:rFonts w:ascii="Arial" w:cs="Arial" w:eastAsia="Arial" w:hAnsi="Arial"/>
          <w:sz w:val="16"/>
          <w:szCs w:val="16"/>
          <w:color w:val="auto"/>
        </w:rPr>
        <w:t>30,531,933</w:t>
      </w:r>
      <w:r>
        <w:rPr>
          <w:sz w:val="20"/>
          <w:szCs w:val="20"/>
          <w:color w:val="auto"/>
        </w:rPr>
        <w:tab/>
      </w:r>
      <w:r>
        <w:rPr>
          <w:rFonts w:ascii="Arial" w:cs="Arial" w:eastAsia="Arial" w:hAnsi="Arial"/>
          <w:sz w:val="16"/>
          <w:szCs w:val="16"/>
          <w:color w:val="auto"/>
        </w:rPr>
        <w:t>30,133,370</w:t>
      </w:r>
      <w:r>
        <w:rPr>
          <w:sz w:val="20"/>
          <w:szCs w:val="20"/>
          <w:color w:val="auto"/>
        </w:rPr>
        <w:tab/>
      </w:r>
      <w:r>
        <w:rPr>
          <w:rFonts w:ascii="Arial" w:cs="Arial" w:eastAsia="Arial" w:hAnsi="Arial"/>
          <w:sz w:val="15"/>
          <w:szCs w:val="15"/>
          <w:color w:val="auto"/>
        </w:rPr>
        <w:t>30,871,285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wp:posOffset>
            </wp:positionV>
            <wp:extent cx="3985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85895" cy="8890"/>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4820" w:space="140"/>
            <w:col w:w="6280"/>
          </w:cols>
          <w:pgMar w:left="320" w:top="693"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960" w:type="dxa"/>
            <w:vAlign w:val="bottom"/>
          </w:tcPr>
          <w:p>
            <w:pPr>
              <w:ind w:left="20"/>
              <w:spacing w:after="0"/>
              <w:rPr>
                <w:sz w:val="20"/>
                <w:szCs w:val="20"/>
                <w:color w:val="auto"/>
              </w:rPr>
            </w:pPr>
            <w:r>
              <w:rPr>
                <w:rFonts w:ascii="Arial" w:cs="Arial" w:eastAsia="Arial" w:hAnsi="Arial"/>
                <w:sz w:val="16"/>
                <w:szCs w:val="16"/>
                <w:color w:val="auto"/>
              </w:rPr>
              <w:t>Adjusted diluted weighted average shares outstanding</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237,320,759</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237,995,893</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237,585,520</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237,125,041</w:t>
            </w:r>
          </w:p>
        </w:tc>
      </w:tr>
      <w:tr>
        <w:trPr>
          <w:trHeight w:val="20"/>
        </w:trPr>
        <w:tc>
          <w:tcPr>
            <w:tcW w:w="496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62"/>
        </w:trPr>
        <w:tc>
          <w:tcPr>
            <w:tcW w:w="496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Adjusted Net Income (in thousands)</w:t>
            </w:r>
          </w:p>
        </w:tc>
        <w:tc>
          <w:tcPr>
            <w:tcW w:w="3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111,659</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93,558</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226,714</w:t>
            </w:r>
          </w:p>
        </w:tc>
        <w:tc>
          <w:tcPr>
            <w:tcW w:w="80" w:type="dxa"/>
            <w:vAlign w:val="bottom"/>
            <w:tcBorders>
              <w:bottom w:val="single" w:sz="8" w:color="D5DCE4"/>
            </w:tcBorders>
            <w:shd w:val="clear" w:color="auto" w:fill="D5DCE4"/>
          </w:tcPr>
          <w:p>
            <w:pPr>
              <w:spacing w:after="0"/>
              <w:rPr>
                <w:sz w:val="22"/>
                <w:szCs w:val="22"/>
                <w:color w:val="auto"/>
              </w:rPr>
            </w:pPr>
          </w:p>
        </w:tc>
        <w:tc>
          <w:tcPr>
            <w:tcW w:w="34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195,136</w:t>
            </w:r>
          </w:p>
        </w:tc>
      </w:tr>
      <w:tr>
        <w:trPr>
          <w:trHeight w:val="20"/>
        </w:trPr>
        <w:tc>
          <w:tcPr>
            <w:tcW w:w="496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20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4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r>
      <w:tr>
        <w:trPr>
          <w:trHeight w:val="217"/>
        </w:trPr>
        <w:tc>
          <w:tcPr>
            <w:tcW w:w="4960" w:type="dxa"/>
            <w:vAlign w:val="bottom"/>
          </w:tcPr>
          <w:p>
            <w:pPr>
              <w:ind w:left="20"/>
              <w:spacing w:after="0"/>
              <w:rPr>
                <w:sz w:val="20"/>
                <w:szCs w:val="20"/>
                <w:color w:val="auto"/>
              </w:rPr>
            </w:pPr>
            <w:r>
              <w:rPr>
                <w:rFonts w:ascii="Arial" w:cs="Arial" w:eastAsia="Arial" w:hAnsi="Arial"/>
                <w:sz w:val="16"/>
                <w:szCs w:val="16"/>
                <w:color w:val="auto"/>
              </w:rPr>
              <w:t>Adjusted Diluted EPS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0.47</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0.39</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0.95</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0.82</w:t>
            </w:r>
          </w:p>
        </w:tc>
      </w:tr>
      <w:tr>
        <w:trPr>
          <w:trHeight w:val="20"/>
        </w:trPr>
        <w:tc>
          <w:tcPr>
            <w:tcW w:w="4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jc w:val="both"/>
        <w:ind w:left="660" w:right="260" w:hanging="328"/>
        <w:spacing w:after="0" w:line="258" w:lineRule="auto"/>
        <w:tabs>
          <w:tab w:leader="none" w:pos="659"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weighted average unvested restricted stock units and unsettled vested performance-based restricted stock units issued to certain retired executives that are entitled to non-forfeitable dividend equivalent rights and are considered participating securities prior to being issued and outstanding shares of common stock in accordance with the two-class method used for purposes of calculating earnings per share.</w:t>
      </w:r>
    </w:p>
    <w:p>
      <w:pPr>
        <w:ind w:left="660" w:right="60" w:hanging="328"/>
        <w:spacing w:after="0" w:line="294" w:lineRule="auto"/>
        <w:tabs>
          <w:tab w:leader="none" w:pos="659" w:val="left"/>
        </w:tabs>
        <w:numPr>
          <w:ilvl w:val="0"/>
          <w:numId w:val="10"/>
        </w:numPr>
        <w:rPr>
          <w:rFonts w:ascii="Arial" w:cs="Arial" w:eastAsia="Arial" w:hAnsi="Arial"/>
          <w:sz w:val="12"/>
          <w:szCs w:val="12"/>
          <w:color w:val="auto"/>
        </w:rPr>
      </w:pPr>
      <w:r>
        <w:rPr>
          <w:rFonts w:ascii="Arial" w:cs="Arial" w:eastAsia="Arial" w:hAnsi="Arial"/>
          <w:sz w:val="12"/>
          <w:szCs w:val="12"/>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9"/>
                <w:szCs w:val="19"/>
                <w:color w:val="auto"/>
              </w:rPr>
            </w:pPr>
          </w:p>
        </w:tc>
        <w:tc>
          <w:tcPr>
            <w:tcW w:w="252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Six Months Ended</w:t>
            </w:r>
          </w:p>
        </w:tc>
      </w:tr>
      <w:tr>
        <w:trPr>
          <w:trHeight w:val="258"/>
        </w:trPr>
        <w:tc>
          <w:tcPr>
            <w:tcW w:w="4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22"/>
                <w:szCs w:val="22"/>
                <w:color w:val="auto"/>
              </w:rPr>
            </w:pPr>
          </w:p>
        </w:tc>
      </w:tr>
      <w:tr>
        <w:trPr>
          <w:trHeight w:val="239"/>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Reconciliation of Operating Expenses to Adjusted Expenses</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77"/>
        </w:trPr>
        <w:tc>
          <w:tcPr>
            <w:tcW w:w="4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47"/>
        </w:trPr>
        <w:tc>
          <w:tcPr>
            <w:tcW w:w="50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190,531</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177,048</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jc w:val="right"/>
              <w:ind w:right="35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390,415</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jc w:val="right"/>
              <w:ind w:right="2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352,120</w:t>
            </w:r>
          </w:p>
        </w:tc>
      </w:tr>
      <w:tr>
        <w:trPr>
          <w:trHeight w:val="243"/>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 xml:space="preserve">Acquisition transaction costs </w:t>
            </w:r>
            <w:r>
              <w:rPr>
                <w:rFonts w:ascii="Arial" w:cs="Arial" w:eastAsia="Arial" w:hAnsi="Arial"/>
                <w:sz w:val="21"/>
                <w:szCs w:val="21"/>
                <w:color w:val="auto"/>
                <w:vertAlign w:val="superscript"/>
              </w:rPr>
              <w:t>(1)</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(2,966)</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(4,727)</w:t>
            </w:r>
          </w:p>
        </w:tc>
      </w:tr>
      <w:tr>
        <w:trPr>
          <w:trHeight w:val="243"/>
        </w:trPr>
        <w:tc>
          <w:tcPr>
            <w:tcW w:w="50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D&amp;A related to acquisitions and the Refinitiv Transaction </w:t>
            </w:r>
            <w:r>
              <w:rPr>
                <w:rFonts w:ascii="Arial" w:cs="Arial" w:eastAsia="Arial" w:hAnsi="Arial"/>
                <w:sz w:val="21"/>
                <w:szCs w:val="21"/>
                <w:color w:val="auto"/>
                <w:vertAlign w:val="superscript"/>
              </w:rPr>
              <w:t>(2)</w:t>
            </w:r>
          </w:p>
        </w:tc>
        <w:tc>
          <w:tcPr>
            <w:tcW w:w="340" w:type="dxa"/>
            <w:vAlign w:val="bottom"/>
            <w:shd w:val="clear" w:color="auto" w:fill="D5DCE4"/>
          </w:tcPr>
          <w:p>
            <w:pPr>
              <w:spacing w:after="0"/>
              <w:rPr>
                <w:sz w:val="21"/>
                <w:szCs w:val="21"/>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(31,761)</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(30,240)</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9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(63,530)</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(59,843)</w:t>
            </w:r>
          </w:p>
        </w:tc>
      </w:tr>
      <w:tr>
        <w:trPr>
          <w:trHeight w:val="243"/>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(3)</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(7,295)</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(2,803)</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(11,164)</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(9,186)</w:t>
            </w:r>
          </w:p>
        </w:tc>
      </w:tr>
      <w:tr>
        <w:trPr>
          <w:trHeight w:val="243"/>
        </w:trPr>
        <w:tc>
          <w:tcPr>
            <w:tcW w:w="50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(4)</w:t>
            </w:r>
          </w:p>
        </w:tc>
        <w:tc>
          <w:tcPr>
            <w:tcW w:w="340" w:type="dxa"/>
            <w:vAlign w:val="bottom"/>
            <w:tcBorders>
              <w:bottom w:val="single" w:sz="8" w:color="auto"/>
            </w:tcBorders>
            <w:shd w:val="clear" w:color="auto" w:fill="D5DCE4"/>
          </w:tcPr>
          <w:p>
            <w:pPr>
              <w:spacing w:after="0"/>
              <w:rPr>
                <w:sz w:val="21"/>
                <w:szCs w:val="21"/>
                <w:color w:val="auto"/>
              </w:rPr>
            </w:pPr>
          </w:p>
        </w:tc>
        <w:tc>
          <w:tcPr>
            <w:tcW w:w="11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3,066</w:t>
            </w:r>
          </w:p>
        </w:tc>
        <w:tc>
          <w:tcPr>
            <w:tcW w:w="80" w:type="dxa"/>
            <w:vAlign w:val="bottom"/>
            <w:shd w:val="clear" w:color="auto" w:fill="D5DCE4"/>
          </w:tcPr>
          <w:p>
            <w:pPr>
              <w:spacing w:after="0"/>
              <w:rPr>
                <w:sz w:val="21"/>
                <w:szCs w:val="21"/>
                <w:color w:val="auto"/>
              </w:rPr>
            </w:pPr>
          </w:p>
        </w:tc>
        <w:tc>
          <w:tcPr>
            <w:tcW w:w="440" w:type="dxa"/>
            <w:vAlign w:val="bottom"/>
            <w:tcBorders>
              <w:bottom w:val="single" w:sz="8" w:color="auto"/>
            </w:tcBorders>
            <w:shd w:val="clear" w:color="auto" w:fill="D5DCE4"/>
          </w:tcPr>
          <w:p>
            <w:pPr>
              <w:spacing w:after="0"/>
              <w:rPr>
                <w:sz w:val="21"/>
                <w:szCs w:val="21"/>
                <w:color w:val="auto"/>
              </w:rPr>
            </w:pP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(470)</w:t>
            </w:r>
          </w:p>
        </w:tc>
        <w:tc>
          <w:tcPr>
            <w:tcW w:w="80" w:type="dxa"/>
            <w:vAlign w:val="bottom"/>
            <w:shd w:val="clear" w:color="auto" w:fill="D5DCE4"/>
          </w:tcPr>
          <w:p>
            <w:pPr>
              <w:spacing w:after="0"/>
              <w:rPr>
                <w:sz w:val="21"/>
                <w:szCs w:val="21"/>
                <w:color w:val="auto"/>
              </w:rPr>
            </w:pPr>
          </w:p>
        </w:tc>
        <w:tc>
          <w:tcPr>
            <w:tcW w:w="540" w:type="dxa"/>
            <w:vAlign w:val="bottom"/>
            <w:tcBorders>
              <w:bottom w:val="single" w:sz="8" w:color="auto"/>
            </w:tcBorders>
            <w:shd w:val="clear" w:color="auto" w:fill="D5DCE4"/>
          </w:tcPr>
          <w:p>
            <w:pPr>
              <w:spacing w:after="0"/>
              <w:rPr>
                <w:sz w:val="21"/>
                <w:szCs w:val="21"/>
                <w:color w:val="auto"/>
              </w:rPr>
            </w:pPr>
          </w:p>
        </w:tc>
        <w:tc>
          <w:tcPr>
            <w:tcW w:w="9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2,334</w:t>
            </w:r>
          </w:p>
        </w:tc>
        <w:tc>
          <w:tcPr>
            <w:tcW w:w="80" w:type="dxa"/>
            <w:vAlign w:val="bottom"/>
            <w:shd w:val="clear" w:color="auto" w:fill="D5DCE4"/>
          </w:tcPr>
          <w:p>
            <w:pPr>
              <w:spacing w:after="0"/>
              <w:rPr>
                <w:sz w:val="21"/>
                <w:szCs w:val="21"/>
                <w:color w:val="auto"/>
              </w:rPr>
            </w:pPr>
          </w:p>
        </w:tc>
        <w:tc>
          <w:tcPr>
            <w:tcW w:w="440" w:type="dxa"/>
            <w:vAlign w:val="bottom"/>
            <w:tcBorders>
              <w:bottom w:val="single" w:sz="8" w:color="auto"/>
            </w:tcBorders>
            <w:shd w:val="clear" w:color="auto" w:fill="D5DCE4"/>
          </w:tcPr>
          <w:p>
            <w:pPr>
              <w:spacing w:after="0"/>
              <w:rPr>
                <w:sz w:val="21"/>
                <w:szCs w:val="21"/>
                <w:color w:val="auto"/>
              </w:rPr>
            </w:pP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4,883</w:t>
            </w:r>
          </w:p>
        </w:tc>
      </w:tr>
      <w:tr>
        <w:trPr>
          <w:trHeight w:val="236"/>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Adjusted Expenses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154,526</w:t>
            </w:r>
          </w:p>
        </w:tc>
        <w:tc>
          <w:tcPr>
            <w:tcW w:w="80" w:type="dxa"/>
            <w:vAlign w:val="bottom"/>
          </w:tcPr>
          <w:p>
            <w:pPr>
              <w:spacing w:after="0"/>
              <w:rPr>
                <w:sz w:val="20"/>
                <w:szCs w:val="20"/>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140,569</w:t>
            </w:r>
          </w:p>
        </w:tc>
        <w:tc>
          <w:tcPr>
            <w:tcW w:w="80" w:type="dxa"/>
            <w:vAlign w:val="bottom"/>
          </w:tcPr>
          <w:p>
            <w:pPr>
              <w:spacing w:after="0"/>
              <w:rPr>
                <w:sz w:val="20"/>
                <w:szCs w:val="20"/>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318,058</w:t>
            </w:r>
          </w:p>
        </w:tc>
        <w:tc>
          <w:tcPr>
            <w:tcW w:w="80" w:type="dxa"/>
            <w:vAlign w:val="bottom"/>
          </w:tcPr>
          <w:p>
            <w:pPr>
              <w:spacing w:after="0"/>
              <w:rPr>
                <w:sz w:val="20"/>
                <w:szCs w:val="20"/>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283,247</w:t>
            </w:r>
          </w:p>
        </w:tc>
      </w:tr>
      <w:tr>
        <w:trPr>
          <w:trHeight w:val="20"/>
        </w:trPr>
        <w:tc>
          <w:tcPr>
            <w:tcW w:w="4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ind w:left="660" w:right="140" w:hanging="328"/>
        <w:spacing w:after="0" w:line="267" w:lineRule="auto"/>
        <w:tabs>
          <w:tab w:leader="none" w:pos="659"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Represents transaction and other costs related to the NFI Acquisition, which closed in June 2021. Acquisition-related costs primarily include legal, consulting and advisory fees and severance costs incurred that relate to the acquisition transaction.</w:t>
      </w:r>
    </w:p>
    <w:p>
      <w:pPr>
        <w:ind w:left="660" w:hanging="328"/>
        <w:spacing w:after="0" w:line="246" w:lineRule="auto"/>
        <w:tabs>
          <w:tab w:leader="none" w:pos="659"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the NFI Acquisition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ind w:left="660" w:right="40" w:hanging="328"/>
        <w:spacing w:after="0" w:line="252" w:lineRule="auto"/>
        <w:tabs>
          <w:tab w:leader="none" w:pos="659"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the exercise of such options totaling $1.6 million and $2.8 million during the three months ended June 30, 2022 and 2021, respectively, and $3.8 million and $9.2 million during the six months ended June 30, 2022 and 2021, respectively. During the three and six months ended June 30, 2022, this adjustment also includes $5.7 million and $7.4 million, respectively, of non-cash accelerated stock-based compensation expense and related payroll taxes associated with our former CFO and our retiring CEO.</w:t>
      </w:r>
    </w:p>
    <w:p>
      <w:pPr>
        <w:ind w:left="660" w:right="340" w:hanging="328"/>
        <w:spacing w:after="0" w:line="276" w:lineRule="auto"/>
        <w:tabs>
          <w:tab w:leader="none" w:pos="659"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40" w:type="dxa"/>
            <w:vAlign w:val="bottom"/>
            <w:gridSpan w:val="4"/>
          </w:tcPr>
          <w:p>
            <w:pPr>
              <w:jc w:val="center"/>
              <w:ind w:right="79"/>
              <w:spacing w:after="0"/>
              <w:rPr>
                <w:sz w:val="20"/>
                <w:szCs w:val="20"/>
                <w:color w:val="auto"/>
              </w:rPr>
            </w:pPr>
            <w:r>
              <w:rPr>
                <w:rFonts w:ascii="Arial" w:cs="Arial" w:eastAsia="Arial" w:hAnsi="Arial"/>
                <w:sz w:val="16"/>
                <w:szCs w:val="16"/>
                <w:b w:val="1"/>
                <w:bCs w:val="1"/>
                <w:color w:val="auto"/>
                <w:w w:val="99"/>
              </w:rPr>
              <w:t>Trailing Twelve Months Ended</w:t>
            </w:r>
          </w:p>
        </w:tc>
      </w:tr>
      <w:tr>
        <w:trPr>
          <w:trHeight w:val="224"/>
        </w:trPr>
        <w:tc>
          <w:tcPr>
            <w:tcW w:w="8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699"/>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9"/>
                <w:szCs w:val="19"/>
                <w:color w:val="auto"/>
              </w:rPr>
            </w:pPr>
          </w:p>
        </w:tc>
      </w:tr>
      <w:tr>
        <w:trPr>
          <w:trHeight w:val="239"/>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Reconciliation of Cash Flows from Operating Activities to Free Cash Flow</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r>
      <w:tr>
        <w:trPr>
          <w:trHeight w:val="277"/>
        </w:trPr>
        <w:tc>
          <w:tcPr>
            <w:tcW w:w="8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4"/>
          </w:tcPr>
          <w:p>
            <w:pPr>
              <w:jc w:val="center"/>
              <w:ind w:right="79"/>
              <w:spacing w:after="0"/>
              <w:rPr>
                <w:sz w:val="20"/>
                <w:szCs w:val="20"/>
                <w:color w:val="auto"/>
              </w:rPr>
            </w:pPr>
            <w:r>
              <w:rPr>
                <w:rFonts w:ascii="Arial" w:cs="Arial" w:eastAsia="Arial" w:hAnsi="Arial"/>
                <w:sz w:val="16"/>
                <w:szCs w:val="16"/>
                <w:b w:val="1"/>
                <w:bCs w:val="1"/>
                <w:color w:val="auto"/>
                <w:w w:val="99"/>
              </w:rPr>
              <w:t>(in thousands)</w:t>
            </w:r>
          </w:p>
        </w:tc>
      </w:tr>
      <w:tr>
        <w:trPr>
          <w:trHeight w:val="247"/>
        </w:trPr>
        <w:tc>
          <w:tcPr>
            <w:tcW w:w="85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Cash flow from operating activities</w:t>
            </w:r>
          </w:p>
        </w:tc>
        <w:tc>
          <w:tcPr>
            <w:tcW w:w="16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597,330</w:t>
            </w:r>
          </w:p>
        </w:tc>
        <w:tc>
          <w:tcPr>
            <w:tcW w:w="100" w:type="dxa"/>
            <w:vAlign w:val="bottom"/>
            <w:shd w:val="clear" w:color="auto" w:fill="D5DCE4"/>
          </w:tcPr>
          <w:p>
            <w:pPr>
              <w:spacing w:after="0"/>
              <w:rPr>
                <w:sz w:val="21"/>
                <w:szCs w:val="21"/>
                <w:color w:val="auto"/>
              </w:rPr>
            </w:pPr>
          </w:p>
        </w:tc>
        <w:tc>
          <w:tcPr>
            <w:tcW w:w="360" w:type="dxa"/>
            <w:vAlign w:val="bottom"/>
            <w:shd w:val="clear" w:color="auto" w:fill="D5DCE4"/>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482,687</w:t>
            </w:r>
          </w:p>
        </w:tc>
      </w:tr>
      <w:tr>
        <w:trPr>
          <w:trHeight w:val="235"/>
        </w:trPr>
        <w:tc>
          <w:tcPr>
            <w:tcW w:w="8540" w:type="dxa"/>
            <w:vAlign w:val="bottom"/>
            <w:gridSpan w:val="2"/>
          </w:tcPr>
          <w:p>
            <w:pPr>
              <w:ind w:left="20"/>
              <w:spacing w:after="0"/>
              <w:rPr>
                <w:sz w:val="20"/>
                <w:szCs w:val="20"/>
                <w:color w:val="auto"/>
              </w:rPr>
            </w:pPr>
            <w:r>
              <w:rPr>
                <w:rFonts w:ascii="Arial" w:cs="Arial" w:eastAsia="Arial" w:hAnsi="Arial"/>
                <w:sz w:val="16"/>
                <w:szCs w:val="16"/>
                <w:color w:val="auto"/>
              </w:rPr>
              <w:t>Less: Capitalization of software development costs</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(35,767)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(33,215)</w:t>
            </w:r>
          </w:p>
        </w:tc>
      </w:tr>
      <w:tr>
        <w:trPr>
          <w:trHeight w:val="244"/>
        </w:trPr>
        <w:tc>
          <w:tcPr>
            <w:tcW w:w="85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Less: Purchases of furniture, equipment and leasehold improvements</w:t>
            </w:r>
          </w:p>
        </w:tc>
        <w:tc>
          <w:tcPr>
            <w:tcW w:w="160" w:type="dxa"/>
            <w:vAlign w:val="bottom"/>
            <w:tcBorders>
              <w:bottom w:val="single" w:sz="8" w:color="auto"/>
            </w:tcBorders>
            <w:shd w:val="clear" w:color="auto" w:fill="D5DCE4"/>
          </w:tcPr>
          <w:p>
            <w:pPr>
              <w:spacing w:after="0"/>
              <w:rPr>
                <w:sz w:val="21"/>
                <w:szCs w:val="21"/>
                <w:color w:val="auto"/>
              </w:rPr>
            </w:pPr>
          </w:p>
        </w:tc>
        <w:tc>
          <w:tcPr>
            <w:tcW w:w="11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(23,158)</w:t>
            </w:r>
          </w:p>
        </w:tc>
        <w:tc>
          <w:tcPr>
            <w:tcW w:w="100" w:type="dxa"/>
            <w:vAlign w:val="bottom"/>
            <w:shd w:val="clear" w:color="auto" w:fill="D5DCE4"/>
          </w:tcPr>
          <w:p>
            <w:pPr>
              <w:spacing w:after="0"/>
              <w:rPr>
                <w:sz w:val="21"/>
                <w:szCs w:val="21"/>
                <w:color w:val="auto"/>
              </w:rPr>
            </w:pPr>
          </w:p>
        </w:tc>
        <w:tc>
          <w:tcPr>
            <w:tcW w:w="360" w:type="dxa"/>
            <w:vAlign w:val="bottom"/>
            <w:tcBorders>
              <w:bottom w:val="single" w:sz="8" w:color="auto"/>
            </w:tcBorders>
            <w:shd w:val="clear" w:color="auto" w:fill="D5DCE4"/>
          </w:tcPr>
          <w:p>
            <w:pPr>
              <w:spacing w:after="0"/>
              <w:rPr>
                <w:sz w:val="21"/>
                <w:szCs w:val="21"/>
                <w:color w:val="auto"/>
              </w:rPr>
            </w:pPr>
          </w:p>
        </w:tc>
        <w:tc>
          <w:tcPr>
            <w:tcW w:w="9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(15,651)</w:t>
            </w:r>
          </w:p>
        </w:tc>
      </w:tr>
      <w:tr>
        <w:trPr>
          <w:trHeight w:val="243"/>
        </w:trPr>
        <w:tc>
          <w:tcPr>
            <w:tcW w:w="8540" w:type="dxa"/>
            <w:vAlign w:val="bottom"/>
            <w:gridSpan w:val="2"/>
          </w:tcPr>
          <w:p>
            <w:pPr>
              <w:ind w:left="20"/>
              <w:spacing w:after="0"/>
              <w:rPr>
                <w:sz w:val="20"/>
                <w:szCs w:val="20"/>
                <w:color w:val="auto"/>
              </w:rPr>
            </w:pPr>
            <w:r>
              <w:rPr>
                <w:rFonts w:ascii="Arial" w:cs="Arial" w:eastAsia="Arial" w:hAnsi="Arial"/>
                <w:sz w:val="16"/>
                <w:szCs w:val="16"/>
                <w:color w:val="auto"/>
              </w:rPr>
              <w:t>Free Cash Flow</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538,405</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433,821</w:t>
            </w:r>
          </w:p>
        </w:tc>
      </w:tr>
      <w:tr>
        <w:trPr>
          <w:trHeight w:val="20"/>
        </w:trPr>
        <w:tc>
          <w:tcPr>
            <w:tcW w:w="8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93" w:right="339" w:bottom="1440" w:gutter="0" w:footer="0" w:header="0"/>
          <w:type w:val="continuous"/>
        </w:sectPr>
      </w:pPr>
    </w:p>
    <w:p>
      <w:pPr>
        <w:spacing w:after="0" w:line="24"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6</w:t>
      </w:r>
    </w:p>
    <w:p>
      <w:pPr>
        <w:sectPr>
          <w:pgSz w:w="11900" w:h="16838" w:orient="portrait"/>
          <w:cols w:equalWidth="0" w:num="1">
            <w:col w:w="11240"/>
          </w:cols>
          <w:pgMar w:left="320" w:top="693"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BASIC AND DILUTED EPS CALCULATIONS (UNAUDITED)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Dollars in Thousands, Except per Share Data</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basic and diluted earnings per share calculations for Tradeweb Markets Inc.:</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6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9"/>
                <w:szCs w:val="19"/>
                <w:color w:val="auto"/>
              </w:rPr>
            </w:pPr>
          </w:p>
        </w:tc>
        <w:tc>
          <w:tcPr>
            <w:tcW w:w="278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EPS: Net income attributable to Tradeweb Markets Inc.</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20" w:type="dxa"/>
            <w:vAlign w:val="bottom"/>
            <w:gridSpan w:val="9"/>
          </w:tcPr>
          <w:p>
            <w:pPr>
              <w:jc w:val="right"/>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tcBorders>
              <w:bottom w:val="single" w:sz="8" w:color="D5DCE4"/>
            </w:tcBorders>
            <w:shd w:val="clear" w:color="auto" w:fill="D5DCE4"/>
          </w:tcPr>
          <w:p>
            <w:pPr>
              <w:spacing w:after="0"/>
              <w:rPr>
                <w:sz w:val="19"/>
                <w:szCs w:val="19"/>
                <w:color w:val="auto"/>
              </w:rPr>
            </w:pPr>
          </w:p>
        </w:tc>
        <w:tc>
          <w:tcPr>
            <w:tcW w:w="820" w:type="dxa"/>
            <w:vAlign w:val="bottom"/>
            <w:tcBorders>
              <w:bottom w:val="single" w:sz="8" w:color="auto"/>
            </w:tcBorders>
            <w:shd w:val="clear" w:color="auto" w:fill="D5DCE4"/>
          </w:tcPr>
          <w:p>
            <w:pPr>
              <w:spacing w:after="0"/>
              <w:rPr>
                <w:sz w:val="20"/>
                <w:szCs w:val="20"/>
                <w:color w:val="auto"/>
              </w:rPr>
            </w:pPr>
            <w:r>
              <w:rPr>
                <w:rFonts w:ascii="Arial" w:cs="Arial" w:eastAsia="Arial" w:hAnsi="Arial"/>
                <w:sz w:val="16"/>
                <w:szCs w:val="16"/>
                <w:color w:val="auto"/>
                <w:w w:val="99"/>
              </w:rPr>
              <w:t>Numerator:</w:t>
            </w:r>
          </w:p>
        </w:tc>
        <w:tc>
          <w:tcPr>
            <w:tcW w:w="4120" w:type="dxa"/>
            <w:vAlign w:val="bottom"/>
            <w:tcBorders>
              <w:bottom w:val="single" w:sz="8" w:color="D5DCE4"/>
            </w:tcBorders>
            <w:gridSpan w:val="3"/>
            <w:shd w:val="clear" w:color="auto" w:fill="D5DCE4"/>
          </w:tcPr>
          <w:p>
            <w:pPr>
              <w:spacing w:after="0"/>
              <w:rPr>
                <w:sz w:val="19"/>
                <w:szCs w:val="19"/>
                <w:color w:val="auto"/>
              </w:rPr>
            </w:pPr>
          </w:p>
        </w:tc>
        <w:tc>
          <w:tcPr>
            <w:tcW w:w="320" w:type="dxa"/>
            <w:vAlign w:val="bottom"/>
            <w:tcBorders>
              <w:bottom w:val="single" w:sz="8" w:color="D5DCE4"/>
            </w:tcBorders>
            <w:shd w:val="clear" w:color="auto" w:fill="D5DCE4"/>
          </w:tcPr>
          <w:p>
            <w:pPr>
              <w:spacing w:after="0"/>
              <w:rPr>
                <w:sz w:val="19"/>
                <w:szCs w:val="19"/>
                <w:color w:val="auto"/>
              </w:rPr>
            </w:pPr>
          </w:p>
        </w:tc>
        <w:tc>
          <w:tcPr>
            <w:tcW w:w="118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420" w:type="dxa"/>
            <w:vAlign w:val="bottom"/>
            <w:tcBorders>
              <w:bottom w:val="single" w:sz="8" w:color="D5DCE4"/>
            </w:tcBorders>
            <w:shd w:val="clear" w:color="auto" w:fill="D5DCE4"/>
          </w:tcPr>
          <w:p>
            <w:pPr>
              <w:spacing w:after="0"/>
              <w:rPr>
                <w:sz w:val="19"/>
                <w:szCs w:val="19"/>
                <w:color w:val="auto"/>
              </w:rPr>
            </w:pPr>
          </w:p>
        </w:tc>
        <w:tc>
          <w:tcPr>
            <w:tcW w:w="110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320" w:type="dxa"/>
            <w:vAlign w:val="bottom"/>
            <w:tcBorders>
              <w:bottom w:val="single" w:sz="8" w:color="D5DCE4"/>
            </w:tcBorders>
            <w:shd w:val="clear" w:color="auto" w:fill="D5DCE4"/>
          </w:tcPr>
          <w:p>
            <w:pPr>
              <w:spacing w:after="0"/>
              <w:rPr>
                <w:sz w:val="19"/>
                <w:szCs w:val="19"/>
                <w:color w:val="auto"/>
              </w:rPr>
            </w:pPr>
          </w:p>
        </w:tc>
        <w:tc>
          <w:tcPr>
            <w:tcW w:w="118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480" w:type="dxa"/>
            <w:vAlign w:val="bottom"/>
            <w:tcBorders>
              <w:bottom w:val="single" w:sz="8" w:color="D5DCE4"/>
            </w:tcBorders>
            <w:shd w:val="clear" w:color="auto" w:fill="D5DCE4"/>
          </w:tcPr>
          <w:p>
            <w:pPr>
              <w:spacing w:after="0"/>
              <w:rPr>
                <w:sz w:val="19"/>
                <w:szCs w:val="19"/>
                <w:color w:val="auto"/>
              </w:rPr>
            </w:pPr>
          </w:p>
        </w:tc>
        <w:tc>
          <w:tcPr>
            <w:tcW w:w="1040" w:type="dxa"/>
            <w:vAlign w:val="bottom"/>
            <w:tcBorders>
              <w:bottom w:val="single" w:sz="8" w:color="D5DCE4"/>
            </w:tcBorders>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Net income attributable to Tradeweb Markets Inc.</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68,344</w:t>
            </w:r>
          </w:p>
        </w:tc>
        <w:tc>
          <w:tcPr>
            <w:tcW w:w="8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55,316</w:t>
            </w:r>
          </w:p>
        </w:tc>
        <w:tc>
          <w:tcPr>
            <w:tcW w:w="8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151,309</w:t>
            </w:r>
          </w:p>
        </w:tc>
        <w:tc>
          <w:tcPr>
            <w:tcW w:w="8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123,175</w:t>
            </w:r>
          </w:p>
        </w:tc>
        <w:tc>
          <w:tcPr>
            <w:tcW w:w="0" w:type="dxa"/>
            <w:vAlign w:val="bottom"/>
          </w:tcPr>
          <w:p>
            <w:pPr>
              <w:spacing w:after="0"/>
              <w:rPr>
                <w:sz w:val="1"/>
                <w:szCs w:val="1"/>
                <w:color w:val="auto"/>
              </w:rPr>
            </w:pPr>
          </w:p>
        </w:tc>
      </w:tr>
      <w:tr>
        <w:trPr>
          <w:trHeight w:val="210"/>
        </w:trPr>
        <w:tc>
          <w:tcPr>
            <w:tcW w:w="20" w:type="dxa"/>
            <w:vAlign w:val="bottom"/>
            <w:shd w:val="clear" w:color="auto" w:fill="D5DCE4"/>
          </w:tcPr>
          <w:p>
            <w:pPr>
              <w:spacing w:after="0"/>
              <w:rPr>
                <w:sz w:val="18"/>
                <w:szCs w:val="18"/>
                <w:color w:val="auto"/>
              </w:rPr>
            </w:pPr>
          </w:p>
        </w:tc>
        <w:tc>
          <w:tcPr>
            <w:tcW w:w="494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Less: Distributed and undistributed earnings allocated to unvested</w:t>
            </w:r>
          </w:p>
        </w:tc>
        <w:tc>
          <w:tcPr>
            <w:tcW w:w="320" w:type="dxa"/>
            <w:vAlign w:val="bottom"/>
            <w:shd w:val="clear" w:color="auto" w:fill="D5DCE4"/>
          </w:tcPr>
          <w:p>
            <w:pPr>
              <w:spacing w:after="0"/>
              <w:rPr>
                <w:sz w:val="18"/>
                <w:szCs w:val="18"/>
                <w:color w:val="auto"/>
              </w:rPr>
            </w:pPr>
          </w:p>
        </w:tc>
        <w:tc>
          <w:tcPr>
            <w:tcW w:w="11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420" w:type="dxa"/>
            <w:vAlign w:val="bottom"/>
            <w:shd w:val="clear" w:color="auto" w:fill="D5DCE4"/>
          </w:tcPr>
          <w:p>
            <w:pPr>
              <w:spacing w:after="0"/>
              <w:rPr>
                <w:sz w:val="18"/>
                <w:szCs w:val="18"/>
                <w:color w:val="auto"/>
              </w:rPr>
            </w:pPr>
          </w:p>
        </w:tc>
        <w:tc>
          <w:tcPr>
            <w:tcW w:w="110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1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480" w:type="dxa"/>
            <w:vAlign w:val="bottom"/>
            <w:shd w:val="clear" w:color="auto" w:fill="D5DCE4"/>
          </w:tcPr>
          <w:p>
            <w:pPr>
              <w:spacing w:after="0"/>
              <w:rPr>
                <w:sz w:val="18"/>
                <w:szCs w:val="18"/>
                <w:color w:val="auto"/>
              </w:rPr>
            </w:pPr>
          </w:p>
        </w:tc>
        <w:tc>
          <w:tcPr>
            <w:tcW w:w="1040" w:type="dxa"/>
            <w:vAlign w:val="bottom"/>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D5DCE4"/>
          </w:tcPr>
          <w:p>
            <w:pPr>
              <w:spacing w:after="0"/>
              <w:rPr>
                <w:sz w:val="21"/>
                <w:szCs w:val="21"/>
                <w:color w:val="auto"/>
              </w:rPr>
            </w:pPr>
          </w:p>
        </w:tc>
        <w:tc>
          <w:tcPr>
            <w:tcW w:w="494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 xml:space="preserve">RSUs and unsettled vested PRSUs </w:t>
            </w:r>
            <w:r>
              <w:rPr>
                <w:rFonts w:ascii="Arial" w:cs="Arial" w:eastAsia="Arial" w:hAnsi="Arial"/>
                <w:sz w:val="21"/>
                <w:szCs w:val="21"/>
                <w:color w:val="auto"/>
                <w:vertAlign w:val="superscript"/>
              </w:rPr>
              <w:t>(1)</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(26)</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8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(53)</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40" w:type="dxa"/>
            <w:vAlign w:val="bottom"/>
            <w:gridSpan w:val="4"/>
          </w:tcPr>
          <w:p>
            <w:pPr>
              <w:spacing w:after="0" w:line="182" w:lineRule="exact"/>
              <w:rPr>
                <w:sz w:val="20"/>
                <w:szCs w:val="20"/>
                <w:color w:val="auto"/>
              </w:rPr>
            </w:pPr>
            <w:r>
              <w:rPr>
                <w:rFonts w:ascii="Arial" w:cs="Arial" w:eastAsia="Arial" w:hAnsi="Arial"/>
                <w:sz w:val="16"/>
                <w:szCs w:val="16"/>
                <w:color w:val="auto"/>
              </w:rPr>
              <w:t>Net income attributable to outstanding shares of Class A and Class</w:t>
            </w:r>
          </w:p>
        </w:tc>
        <w:tc>
          <w:tcPr>
            <w:tcW w:w="32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68,318</w:t>
            </w:r>
          </w:p>
        </w:tc>
        <w:tc>
          <w:tcPr>
            <w:tcW w:w="80" w:type="dxa"/>
            <w:vAlign w:val="bottom"/>
          </w:tcPr>
          <w:p>
            <w:pPr>
              <w:spacing w:after="0"/>
              <w:rPr>
                <w:sz w:val="15"/>
                <w:szCs w:val="15"/>
                <w:color w:val="auto"/>
              </w:rPr>
            </w:pPr>
          </w:p>
        </w:tc>
        <w:tc>
          <w:tcPr>
            <w:tcW w:w="420" w:type="dxa"/>
            <w:vAlign w:val="bottom"/>
            <w:tcBorders>
              <w:top w:val="single" w:sz="8" w:color="auto"/>
            </w:tcBorders>
            <w:vMerge w:val="restart"/>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55,316</w:t>
            </w:r>
          </w:p>
        </w:tc>
        <w:tc>
          <w:tcPr>
            <w:tcW w:w="80" w:type="dxa"/>
            <w:vAlign w:val="bottom"/>
          </w:tcPr>
          <w:p>
            <w:pPr>
              <w:spacing w:after="0"/>
              <w:rPr>
                <w:sz w:val="15"/>
                <w:szCs w:val="15"/>
                <w:color w:val="auto"/>
              </w:rPr>
            </w:pPr>
          </w:p>
        </w:tc>
        <w:tc>
          <w:tcPr>
            <w:tcW w:w="32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151,256</w:t>
            </w:r>
          </w:p>
        </w:tc>
        <w:tc>
          <w:tcPr>
            <w:tcW w:w="80" w:type="dxa"/>
            <w:vAlign w:val="bottom"/>
          </w:tcPr>
          <w:p>
            <w:pPr>
              <w:spacing w:after="0"/>
              <w:rPr>
                <w:sz w:val="15"/>
                <w:szCs w:val="15"/>
                <w:color w:val="auto"/>
              </w:rPr>
            </w:pPr>
          </w:p>
        </w:tc>
        <w:tc>
          <w:tcPr>
            <w:tcW w:w="480" w:type="dxa"/>
            <w:vAlign w:val="bottom"/>
            <w:tcBorders>
              <w:top w:val="single" w:sz="8" w:color="auto"/>
            </w:tcBorders>
            <w:vMerge w:val="restart"/>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123,175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B common stock - Basic and Diluted</w:t>
            </w:r>
          </w:p>
        </w:tc>
        <w:tc>
          <w:tcPr>
            <w:tcW w:w="3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82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D5DCE4"/>
            </w:tcBorders>
          </w:tcPr>
          <w:p>
            <w:pPr>
              <w:spacing w:after="0" w:line="20" w:lineRule="exact"/>
              <w:rPr>
                <w:sz w:val="1"/>
                <w:szCs w:val="1"/>
                <w:color w:val="auto"/>
              </w:rPr>
            </w:pPr>
          </w:p>
        </w:tc>
        <w:tc>
          <w:tcPr>
            <w:tcW w:w="388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D5DCE4"/>
          </w:tcPr>
          <w:p>
            <w:pPr>
              <w:spacing w:after="0"/>
              <w:rPr>
                <w:sz w:val="19"/>
                <w:szCs w:val="19"/>
                <w:color w:val="auto"/>
              </w:rPr>
            </w:pPr>
          </w:p>
        </w:tc>
        <w:tc>
          <w:tcPr>
            <w:tcW w:w="820" w:type="dxa"/>
            <w:vAlign w:val="bottom"/>
            <w:shd w:val="clear" w:color="auto" w:fill="D5DCE4"/>
          </w:tcPr>
          <w:p>
            <w:pPr>
              <w:spacing w:after="0"/>
              <w:rPr>
                <w:sz w:val="19"/>
                <w:szCs w:val="19"/>
                <w:color w:val="auto"/>
              </w:rPr>
            </w:pPr>
          </w:p>
        </w:tc>
        <w:tc>
          <w:tcPr>
            <w:tcW w:w="160" w:type="dxa"/>
            <w:vAlign w:val="bottom"/>
            <w:shd w:val="clear" w:color="auto" w:fill="D5DCE4"/>
          </w:tcPr>
          <w:p>
            <w:pPr>
              <w:spacing w:after="0"/>
              <w:rPr>
                <w:sz w:val="19"/>
                <w:szCs w:val="19"/>
                <w:color w:val="auto"/>
              </w:rPr>
            </w:pPr>
          </w:p>
        </w:tc>
        <w:tc>
          <w:tcPr>
            <w:tcW w:w="38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420" w:type="dxa"/>
            <w:vAlign w:val="bottom"/>
            <w:shd w:val="clear" w:color="auto" w:fill="D5DCE4"/>
          </w:tcPr>
          <w:p>
            <w:pPr>
              <w:spacing w:after="0"/>
              <w:rPr>
                <w:sz w:val="19"/>
                <w:szCs w:val="19"/>
                <w:color w:val="auto"/>
              </w:rPr>
            </w:pPr>
          </w:p>
        </w:tc>
        <w:tc>
          <w:tcPr>
            <w:tcW w:w="110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480" w:type="dxa"/>
            <w:vAlign w:val="bottom"/>
            <w:shd w:val="clear" w:color="auto" w:fill="D5DCE4"/>
          </w:tcPr>
          <w:p>
            <w:pPr>
              <w:spacing w:after="0"/>
              <w:rPr>
                <w:sz w:val="19"/>
                <w:szCs w:val="19"/>
                <w:color w:val="auto"/>
              </w:rPr>
            </w:pPr>
          </w:p>
        </w:tc>
        <w:tc>
          <w:tcPr>
            <w:tcW w:w="1040" w:type="dxa"/>
            <w:vAlign w:val="bottom"/>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Denominator:</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D5DCE4"/>
          </w:tcPr>
          <w:p>
            <w:pPr>
              <w:spacing w:after="0"/>
              <w:rPr>
                <w:sz w:val="14"/>
                <w:szCs w:val="14"/>
                <w:color w:val="auto"/>
              </w:rPr>
            </w:pPr>
          </w:p>
        </w:tc>
        <w:tc>
          <w:tcPr>
            <w:tcW w:w="4940" w:type="dxa"/>
            <w:vAlign w:val="bottom"/>
            <w:gridSpan w:val="4"/>
            <w:shd w:val="clear" w:color="auto" w:fill="D5DCE4"/>
          </w:tcPr>
          <w:p>
            <w:pPr>
              <w:spacing w:after="0" w:line="162" w:lineRule="exact"/>
              <w:rPr>
                <w:sz w:val="20"/>
                <w:szCs w:val="20"/>
                <w:color w:val="auto"/>
              </w:rPr>
            </w:pPr>
            <w:r>
              <w:rPr>
                <w:rFonts w:ascii="Arial" w:cs="Arial" w:eastAsia="Arial" w:hAnsi="Arial"/>
                <w:sz w:val="16"/>
                <w:szCs w:val="16"/>
                <w:color w:val="auto"/>
              </w:rPr>
              <w:t>Weighted average shares of Class A and Class B common stock</w:t>
            </w:r>
          </w:p>
        </w:tc>
        <w:tc>
          <w:tcPr>
            <w:tcW w:w="320" w:type="dxa"/>
            <w:vAlign w:val="bottom"/>
            <w:shd w:val="clear" w:color="auto" w:fill="D5DCE4"/>
          </w:tcPr>
          <w:p>
            <w:pPr>
              <w:spacing w:after="0"/>
              <w:rPr>
                <w:sz w:val="14"/>
                <w:szCs w:val="14"/>
                <w:color w:val="auto"/>
              </w:rPr>
            </w:pPr>
          </w:p>
        </w:tc>
        <w:tc>
          <w:tcPr>
            <w:tcW w:w="11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204,501,035</w:t>
            </w:r>
          </w:p>
        </w:tc>
        <w:tc>
          <w:tcPr>
            <w:tcW w:w="80" w:type="dxa"/>
            <w:vAlign w:val="bottom"/>
            <w:shd w:val="clear" w:color="auto" w:fill="D5DCE4"/>
          </w:tcPr>
          <w:p>
            <w:pPr>
              <w:spacing w:after="0"/>
              <w:rPr>
                <w:sz w:val="14"/>
                <w:szCs w:val="14"/>
                <w:color w:val="auto"/>
              </w:rPr>
            </w:pPr>
          </w:p>
        </w:tc>
        <w:tc>
          <w:tcPr>
            <w:tcW w:w="420" w:type="dxa"/>
            <w:vAlign w:val="bottom"/>
            <w:shd w:val="clear" w:color="auto" w:fill="D5DCE4"/>
          </w:tcPr>
          <w:p>
            <w:pPr>
              <w:spacing w:after="0"/>
              <w:rPr>
                <w:sz w:val="14"/>
                <w:szCs w:val="14"/>
                <w:color w:val="auto"/>
              </w:rPr>
            </w:pPr>
          </w:p>
        </w:tc>
        <w:tc>
          <w:tcPr>
            <w:tcW w:w="110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201,749,985</w:t>
            </w:r>
          </w:p>
        </w:tc>
        <w:tc>
          <w:tcPr>
            <w:tcW w:w="80" w:type="dxa"/>
            <w:vAlign w:val="bottom"/>
            <w:shd w:val="clear" w:color="auto" w:fill="D5DCE4"/>
          </w:tcPr>
          <w:p>
            <w:pPr>
              <w:spacing w:after="0"/>
              <w:rPr>
                <w:sz w:val="14"/>
                <w:szCs w:val="14"/>
                <w:color w:val="auto"/>
              </w:rPr>
            </w:pPr>
          </w:p>
        </w:tc>
        <w:tc>
          <w:tcPr>
            <w:tcW w:w="320" w:type="dxa"/>
            <w:vAlign w:val="bottom"/>
            <w:shd w:val="clear" w:color="auto" w:fill="D5DCE4"/>
          </w:tcPr>
          <w:p>
            <w:pPr>
              <w:spacing w:after="0"/>
              <w:rPr>
                <w:sz w:val="14"/>
                <w:szCs w:val="14"/>
                <w:color w:val="auto"/>
              </w:rPr>
            </w:pPr>
          </w:p>
        </w:tc>
        <w:tc>
          <w:tcPr>
            <w:tcW w:w="11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204,282,406</w:t>
            </w:r>
          </w:p>
        </w:tc>
        <w:tc>
          <w:tcPr>
            <w:tcW w:w="80" w:type="dxa"/>
            <w:vAlign w:val="bottom"/>
            <w:shd w:val="clear" w:color="auto" w:fill="D5DCE4"/>
          </w:tcPr>
          <w:p>
            <w:pPr>
              <w:spacing w:after="0"/>
              <w:rPr>
                <w:sz w:val="14"/>
                <w:szCs w:val="14"/>
                <w:color w:val="auto"/>
              </w:rPr>
            </w:pPr>
          </w:p>
        </w:tc>
        <w:tc>
          <w:tcPr>
            <w:tcW w:w="480" w:type="dxa"/>
            <w:vAlign w:val="bottom"/>
            <w:shd w:val="clear" w:color="auto" w:fill="D5DCE4"/>
          </w:tcPr>
          <w:p>
            <w:pPr>
              <w:spacing w:after="0"/>
              <w:rPr>
                <w:sz w:val="14"/>
                <w:szCs w:val="14"/>
                <w:color w:val="auto"/>
              </w:rPr>
            </w:pPr>
          </w:p>
        </w:tc>
        <w:tc>
          <w:tcPr>
            <w:tcW w:w="104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200,414,714</w:t>
            </w:r>
          </w:p>
        </w:tc>
        <w:tc>
          <w:tcPr>
            <w:tcW w:w="0" w:type="dxa"/>
            <w:vAlign w:val="bottom"/>
          </w:tcPr>
          <w:p>
            <w:pPr>
              <w:spacing w:after="0"/>
              <w:rPr>
                <w:sz w:val="1"/>
                <w:szCs w:val="1"/>
                <w:color w:val="auto"/>
              </w:rPr>
            </w:pPr>
          </w:p>
        </w:tc>
      </w:tr>
      <w:tr>
        <w:trPr>
          <w:trHeight w:val="216"/>
        </w:trPr>
        <w:tc>
          <w:tcPr>
            <w:tcW w:w="20" w:type="dxa"/>
            <w:vAlign w:val="bottom"/>
            <w:shd w:val="clear" w:color="auto" w:fill="D5DCE4"/>
          </w:tcPr>
          <w:p>
            <w:pPr>
              <w:spacing w:after="0"/>
              <w:rPr>
                <w:sz w:val="18"/>
                <w:szCs w:val="18"/>
                <w:color w:val="auto"/>
              </w:rPr>
            </w:pPr>
          </w:p>
        </w:tc>
        <w:tc>
          <w:tcPr>
            <w:tcW w:w="494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outstanding - Basic</w:t>
            </w:r>
          </w:p>
        </w:tc>
        <w:tc>
          <w:tcPr>
            <w:tcW w:w="320" w:type="dxa"/>
            <w:vAlign w:val="bottom"/>
            <w:shd w:val="clear" w:color="auto" w:fill="D5DCE4"/>
          </w:tcPr>
          <w:p>
            <w:pPr>
              <w:spacing w:after="0"/>
              <w:rPr>
                <w:sz w:val="18"/>
                <w:szCs w:val="18"/>
                <w:color w:val="auto"/>
              </w:rPr>
            </w:pPr>
          </w:p>
        </w:tc>
        <w:tc>
          <w:tcPr>
            <w:tcW w:w="1180" w:type="dxa"/>
            <w:vAlign w:val="bottom"/>
            <w:vMerge w:val="continue"/>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420" w:type="dxa"/>
            <w:vAlign w:val="bottom"/>
            <w:shd w:val="clear" w:color="auto" w:fill="D5DCE4"/>
          </w:tcPr>
          <w:p>
            <w:pPr>
              <w:spacing w:after="0"/>
              <w:rPr>
                <w:sz w:val="18"/>
                <w:szCs w:val="18"/>
                <w:color w:val="auto"/>
              </w:rPr>
            </w:pPr>
          </w:p>
        </w:tc>
        <w:tc>
          <w:tcPr>
            <w:tcW w:w="1100" w:type="dxa"/>
            <w:vAlign w:val="bottom"/>
            <w:vMerge w:val="continue"/>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180" w:type="dxa"/>
            <w:vAlign w:val="bottom"/>
            <w:vMerge w:val="continue"/>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480" w:type="dxa"/>
            <w:vAlign w:val="bottom"/>
            <w:shd w:val="clear" w:color="auto" w:fill="D5DCE4"/>
          </w:tcPr>
          <w:p>
            <w:pPr>
              <w:spacing w:after="0"/>
              <w:rPr>
                <w:sz w:val="18"/>
                <w:szCs w:val="18"/>
                <w:color w:val="auto"/>
              </w:rPr>
            </w:pPr>
          </w:p>
        </w:tc>
        <w:tc>
          <w:tcPr>
            <w:tcW w:w="1040" w:type="dxa"/>
            <w:vAlign w:val="bottom"/>
            <w:vMerge w:val="continue"/>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40" w:type="dxa"/>
            <w:vAlign w:val="bottom"/>
            <w:gridSpan w:val="4"/>
          </w:tcPr>
          <w:p>
            <w:pPr>
              <w:ind w:left="120"/>
              <w:spacing w:after="0"/>
              <w:rPr>
                <w:sz w:val="20"/>
                <w:szCs w:val="20"/>
                <w:color w:val="auto"/>
              </w:rPr>
            </w:pPr>
            <w:r>
              <w:rPr>
                <w:rFonts w:ascii="Arial" w:cs="Arial" w:eastAsia="Arial" w:hAnsi="Arial"/>
                <w:sz w:val="16"/>
                <w:szCs w:val="16"/>
                <w:color w:val="auto"/>
              </w:rPr>
              <w:t>Dilutive effect of PRSUs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782,955</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2,021,234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765,497</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1,926,771</w:t>
            </w:r>
          </w:p>
        </w:tc>
        <w:tc>
          <w:tcPr>
            <w:tcW w:w="0" w:type="dxa"/>
            <w:vAlign w:val="bottom"/>
          </w:tcPr>
          <w:p>
            <w:pPr>
              <w:spacing w:after="0"/>
              <w:rPr>
                <w:sz w:val="1"/>
                <w:szCs w:val="1"/>
                <w:color w:val="auto"/>
              </w:rPr>
            </w:pPr>
          </w:p>
        </w:tc>
      </w:tr>
      <w:tr>
        <w:trPr>
          <w:trHeight w:val="251"/>
        </w:trPr>
        <w:tc>
          <w:tcPr>
            <w:tcW w:w="20" w:type="dxa"/>
            <w:vAlign w:val="bottom"/>
            <w:shd w:val="clear" w:color="auto" w:fill="D5DCE4"/>
          </w:tcPr>
          <w:p>
            <w:pPr>
              <w:spacing w:after="0"/>
              <w:rPr>
                <w:sz w:val="21"/>
                <w:szCs w:val="21"/>
                <w:color w:val="auto"/>
              </w:rPr>
            </w:pPr>
          </w:p>
        </w:tc>
        <w:tc>
          <w:tcPr>
            <w:tcW w:w="4940" w:type="dxa"/>
            <w:vAlign w:val="bottom"/>
            <w:gridSpan w:val="4"/>
            <w:shd w:val="clear" w:color="auto" w:fill="D5DCE4"/>
          </w:tcPr>
          <w:p>
            <w:pPr>
              <w:ind w:left="120"/>
              <w:spacing w:after="0"/>
              <w:rPr>
                <w:sz w:val="20"/>
                <w:szCs w:val="20"/>
                <w:color w:val="auto"/>
              </w:rPr>
            </w:pPr>
            <w:r>
              <w:rPr>
                <w:rFonts w:ascii="Arial" w:cs="Arial" w:eastAsia="Arial" w:hAnsi="Arial"/>
                <w:sz w:val="16"/>
                <w:szCs w:val="16"/>
                <w:color w:val="auto"/>
              </w:rPr>
              <w:t>Dilutive effect of options</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1,839,177</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3,461,230</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2,080,602</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3,656,412</w:t>
            </w:r>
          </w:p>
        </w:tc>
        <w:tc>
          <w:tcPr>
            <w:tcW w:w="0" w:type="dxa"/>
            <w:vAlign w:val="bottom"/>
          </w:tcPr>
          <w:p>
            <w:pPr>
              <w:spacing w:after="0"/>
              <w:rPr>
                <w:sz w:val="1"/>
                <w:szCs w:val="1"/>
                <w:color w:val="auto"/>
              </w:rPr>
            </w:pPr>
          </w:p>
        </w:tc>
      </w:tr>
      <w:tr>
        <w:trPr>
          <w:trHeight w:val="237"/>
        </w:trPr>
        <w:tc>
          <w:tcPr>
            <w:tcW w:w="20" w:type="dxa"/>
            <w:vAlign w:val="bottom"/>
            <w:tcBorders>
              <w:bottom w:val="single" w:sz="8" w:color="D5DCE4"/>
            </w:tcBorders>
          </w:tcPr>
          <w:p>
            <w:pPr>
              <w:spacing w:after="0"/>
              <w:rPr>
                <w:sz w:val="20"/>
                <w:szCs w:val="20"/>
                <w:color w:val="auto"/>
              </w:rPr>
            </w:pPr>
          </w:p>
        </w:tc>
        <w:tc>
          <w:tcPr>
            <w:tcW w:w="4940" w:type="dxa"/>
            <w:vAlign w:val="bottom"/>
            <w:tcBorders>
              <w:bottom w:val="single" w:sz="8" w:color="D5DCE4"/>
            </w:tcBorders>
            <w:gridSpan w:val="4"/>
          </w:tcPr>
          <w:p>
            <w:pPr>
              <w:ind w:left="120"/>
              <w:spacing w:after="0"/>
              <w:rPr>
                <w:sz w:val="20"/>
                <w:szCs w:val="20"/>
                <w:color w:val="auto"/>
              </w:rPr>
            </w:pPr>
            <w:r>
              <w:rPr>
                <w:rFonts w:ascii="Arial" w:cs="Arial" w:eastAsia="Arial" w:hAnsi="Arial"/>
                <w:sz w:val="16"/>
                <w:szCs w:val="16"/>
                <w:color w:val="auto"/>
              </w:rPr>
              <w:t>Dilutive effect of RSUs</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149,508</w:t>
            </w:r>
          </w:p>
        </w:tc>
        <w:tc>
          <w:tcPr>
            <w:tcW w:w="80" w:type="dxa"/>
            <w:vAlign w:val="bottom"/>
            <w:tcBorders>
              <w:bottom w:val="single" w:sz="8" w:color="D5DCE4"/>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231,511</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242,867</w:t>
            </w:r>
          </w:p>
        </w:tc>
        <w:tc>
          <w:tcPr>
            <w:tcW w:w="80" w:type="dxa"/>
            <w:vAlign w:val="bottom"/>
            <w:tcBorders>
              <w:bottom w:val="single" w:sz="8" w:color="D5DCE4"/>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255,859</w:t>
            </w:r>
          </w:p>
        </w:tc>
        <w:tc>
          <w:tcPr>
            <w:tcW w:w="0" w:type="dxa"/>
            <w:vAlign w:val="bottom"/>
          </w:tcPr>
          <w:p>
            <w:pPr>
              <w:spacing w:after="0"/>
              <w:rPr>
                <w:sz w:val="1"/>
                <w:szCs w:val="1"/>
                <w:color w:val="auto"/>
              </w:rPr>
            </w:pPr>
          </w:p>
        </w:tc>
      </w:tr>
      <w:tr>
        <w:trPr>
          <w:trHeight w:val="148"/>
        </w:trPr>
        <w:tc>
          <w:tcPr>
            <w:tcW w:w="20" w:type="dxa"/>
            <w:vAlign w:val="bottom"/>
            <w:shd w:val="clear" w:color="auto" w:fill="D5DCE4"/>
          </w:tcPr>
          <w:p>
            <w:pPr>
              <w:spacing w:after="0"/>
              <w:rPr>
                <w:sz w:val="12"/>
                <w:szCs w:val="12"/>
                <w:color w:val="auto"/>
              </w:rPr>
            </w:pPr>
          </w:p>
        </w:tc>
        <w:tc>
          <w:tcPr>
            <w:tcW w:w="4940" w:type="dxa"/>
            <w:vAlign w:val="bottom"/>
            <w:gridSpan w:val="4"/>
            <w:shd w:val="clear" w:color="auto" w:fill="D5DCE4"/>
          </w:tcPr>
          <w:p>
            <w:pPr>
              <w:spacing w:after="0" w:line="148" w:lineRule="exact"/>
              <w:rPr>
                <w:sz w:val="20"/>
                <w:szCs w:val="20"/>
                <w:color w:val="auto"/>
              </w:rPr>
            </w:pPr>
            <w:r>
              <w:rPr>
                <w:rFonts w:ascii="Arial" w:cs="Arial" w:eastAsia="Arial" w:hAnsi="Arial"/>
                <w:sz w:val="16"/>
                <w:szCs w:val="16"/>
                <w:color w:val="auto"/>
              </w:rPr>
              <w:t>Weighted average shares of Class A and Class B common stock</w:t>
            </w:r>
          </w:p>
        </w:tc>
        <w:tc>
          <w:tcPr>
            <w:tcW w:w="320" w:type="dxa"/>
            <w:vAlign w:val="bottom"/>
            <w:shd w:val="clear" w:color="auto" w:fill="D5DCE4"/>
          </w:tcPr>
          <w:p>
            <w:pPr>
              <w:spacing w:after="0"/>
              <w:rPr>
                <w:sz w:val="12"/>
                <w:szCs w:val="12"/>
                <w:color w:val="auto"/>
              </w:rPr>
            </w:pPr>
          </w:p>
        </w:tc>
        <w:tc>
          <w:tcPr>
            <w:tcW w:w="11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207,272,675</w:t>
            </w:r>
          </w:p>
        </w:tc>
        <w:tc>
          <w:tcPr>
            <w:tcW w:w="80" w:type="dxa"/>
            <w:vAlign w:val="bottom"/>
            <w:shd w:val="clear" w:color="auto" w:fill="D5DCE4"/>
          </w:tcPr>
          <w:p>
            <w:pPr>
              <w:spacing w:after="0"/>
              <w:rPr>
                <w:sz w:val="12"/>
                <w:szCs w:val="12"/>
                <w:color w:val="auto"/>
              </w:rPr>
            </w:pPr>
          </w:p>
        </w:tc>
        <w:tc>
          <w:tcPr>
            <w:tcW w:w="420" w:type="dxa"/>
            <w:vAlign w:val="bottom"/>
            <w:shd w:val="clear" w:color="auto" w:fill="D5DCE4"/>
          </w:tcPr>
          <w:p>
            <w:pPr>
              <w:spacing w:after="0"/>
              <w:rPr>
                <w:sz w:val="12"/>
                <w:szCs w:val="12"/>
                <w:color w:val="auto"/>
              </w:rPr>
            </w:pPr>
          </w:p>
        </w:tc>
        <w:tc>
          <w:tcPr>
            <w:tcW w:w="110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207,463,960</w:t>
            </w:r>
          </w:p>
        </w:tc>
        <w:tc>
          <w:tcPr>
            <w:tcW w:w="80" w:type="dxa"/>
            <w:vAlign w:val="bottom"/>
            <w:shd w:val="clear" w:color="auto" w:fill="D5DCE4"/>
          </w:tcPr>
          <w:p>
            <w:pPr>
              <w:spacing w:after="0"/>
              <w:rPr>
                <w:sz w:val="12"/>
                <w:szCs w:val="12"/>
                <w:color w:val="auto"/>
              </w:rPr>
            </w:pPr>
          </w:p>
        </w:tc>
        <w:tc>
          <w:tcPr>
            <w:tcW w:w="320" w:type="dxa"/>
            <w:vAlign w:val="bottom"/>
            <w:shd w:val="clear" w:color="auto" w:fill="D5DCE4"/>
          </w:tcPr>
          <w:p>
            <w:pPr>
              <w:spacing w:after="0"/>
              <w:rPr>
                <w:sz w:val="12"/>
                <w:szCs w:val="12"/>
                <w:color w:val="auto"/>
              </w:rPr>
            </w:pPr>
          </w:p>
        </w:tc>
        <w:tc>
          <w:tcPr>
            <w:tcW w:w="11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207,371,372</w:t>
            </w:r>
          </w:p>
        </w:tc>
        <w:tc>
          <w:tcPr>
            <w:tcW w:w="80" w:type="dxa"/>
            <w:vAlign w:val="bottom"/>
            <w:shd w:val="clear" w:color="auto" w:fill="D5DCE4"/>
          </w:tcPr>
          <w:p>
            <w:pPr>
              <w:spacing w:after="0"/>
              <w:rPr>
                <w:sz w:val="12"/>
                <w:szCs w:val="12"/>
                <w:color w:val="auto"/>
              </w:rPr>
            </w:pPr>
          </w:p>
        </w:tc>
        <w:tc>
          <w:tcPr>
            <w:tcW w:w="480" w:type="dxa"/>
            <w:vAlign w:val="bottom"/>
            <w:shd w:val="clear" w:color="auto" w:fill="D5DCE4"/>
          </w:tcPr>
          <w:p>
            <w:pPr>
              <w:spacing w:after="0"/>
              <w:rPr>
                <w:sz w:val="12"/>
                <w:szCs w:val="12"/>
                <w:color w:val="auto"/>
              </w:rPr>
            </w:pPr>
          </w:p>
        </w:tc>
        <w:tc>
          <w:tcPr>
            <w:tcW w:w="104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206,253,756</w:t>
            </w:r>
          </w:p>
        </w:tc>
        <w:tc>
          <w:tcPr>
            <w:tcW w:w="0" w:type="dxa"/>
            <w:vAlign w:val="bottom"/>
          </w:tcPr>
          <w:p>
            <w:pPr>
              <w:spacing w:after="0"/>
              <w:rPr>
                <w:sz w:val="1"/>
                <w:szCs w:val="1"/>
                <w:color w:val="auto"/>
              </w:rPr>
            </w:pPr>
          </w:p>
        </w:tc>
      </w:tr>
      <w:tr>
        <w:trPr>
          <w:trHeight w:val="209"/>
        </w:trPr>
        <w:tc>
          <w:tcPr>
            <w:tcW w:w="20" w:type="dxa"/>
            <w:vAlign w:val="bottom"/>
            <w:tcBorders>
              <w:bottom w:val="single" w:sz="8" w:color="D5DCE4"/>
            </w:tcBorders>
            <w:shd w:val="clear" w:color="auto" w:fill="D5DCE4"/>
          </w:tcPr>
          <w:p>
            <w:pPr>
              <w:spacing w:after="0"/>
              <w:rPr>
                <w:sz w:val="18"/>
                <w:szCs w:val="18"/>
                <w:color w:val="auto"/>
              </w:rPr>
            </w:pPr>
          </w:p>
        </w:tc>
        <w:tc>
          <w:tcPr>
            <w:tcW w:w="4940" w:type="dxa"/>
            <w:vAlign w:val="bottom"/>
            <w:tcBorders>
              <w:bottom w:val="single" w:sz="8" w:color="D5DCE4"/>
            </w:tcBorders>
            <w:gridSpan w:val="4"/>
            <w:shd w:val="clear" w:color="auto" w:fill="D5DCE4"/>
          </w:tcPr>
          <w:p>
            <w:pPr>
              <w:spacing w:after="0"/>
              <w:rPr>
                <w:sz w:val="20"/>
                <w:szCs w:val="20"/>
                <w:color w:val="auto"/>
              </w:rPr>
            </w:pPr>
            <w:r>
              <w:rPr>
                <w:rFonts w:ascii="Arial" w:cs="Arial" w:eastAsia="Arial" w:hAnsi="Arial"/>
                <w:sz w:val="16"/>
                <w:szCs w:val="16"/>
                <w:color w:val="auto"/>
              </w:rPr>
              <w:t>outstanding - Diluted</w:t>
            </w:r>
          </w:p>
        </w:tc>
        <w:tc>
          <w:tcPr>
            <w:tcW w:w="320" w:type="dxa"/>
            <w:vAlign w:val="bottom"/>
            <w:tcBorders>
              <w:bottom w:val="single" w:sz="8" w:color="auto"/>
            </w:tcBorders>
            <w:shd w:val="clear" w:color="auto" w:fill="D5DCE4"/>
          </w:tcPr>
          <w:p>
            <w:pPr>
              <w:spacing w:after="0"/>
              <w:rPr>
                <w:sz w:val="18"/>
                <w:szCs w:val="18"/>
                <w:color w:val="auto"/>
              </w:rPr>
            </w:pPr>
          </w:p>
        </w:tc>
        <w:tc>
          <w:tcPr>
            <w:tcW w:w="1180" w:type="dxa"/>
            <w:vAlign w:val="bottom"/>
            <w:tcBorders>
              <w:bottom w:val="single" w:sz="8" w:color="auto"/>
            </w:tcBorders>
            <w:vMerge w:val="continue"/>
            <w:shd w:val="clear" w:color="auto" w:fill="D5DCE4"/>
          </w:tcPr>
          <w:p>
            <w:pPr>
              <w:spacing w:after="0"/>
              <w:rPr>
                <w:sz w:val="18"/>
                <w:szCs w:val="18"/>
                <w:color w:val="auto"/>
              </w:rPr>
            </w:pPr>
          </w:p>
        </w:tc>
        <w:tc>
          <w:tcPr>
            <w:tcW w:w="80" w:type="dxa"/>
            <w:vAlign w:val="bottom"/>
            <w:tcBorders>
              <w:bottom w:val="single" w:sz="8" w:color="D5DCE4"/>
            </w:tcBorders>
            <w:shd w:val="clear" w:color="auto" w:fill="D5DCE4"/>
          </w:tcPr>
          <w:p>
            <w:pPr>
              <w:spacing w:after="0"/>
              <w:rPr>
                <w:sz w:val="18"/>
                <w:szCs w:val="18"/>
                <w:color w:val="auto"/>
              </w:rPr>
            </w:pPr>
          </w:p>
        </w:tc>
        <w:tc>
          <w:tcPr>
            <w:tcW w:w="420" w:type="dxa"/>
            <w:vAlign w:val="bottom"/>
            <w:tcBorders>
              <w:bottom w:val="single" w:sz="8" w:color="auto"/>
            </w:tcBorders>
            <w:shd w:val="clear" w:color="auto" w:fill="D5DCE4"/>
          </w:tcPr>
          <w:p>
            <w:pPr>
              <w:spacing w:after="0"/>
              <w:rPr>
                <w:sz w:val="18"/>
                <w:szCs w:val="18"/>
                <w:color w:val="auto"/>
              </w:rPr>
            </w:pPr>
          </w:p>
        </w:tc>
        <w:tc>
          <w:tcPr>
            <w:tcW w:w="1100" w:type="dxa"/>
            <w:vAlign w:val="bottom"/>
            <w:tcBorders>
              <w:bottom w:val="single" w:sz="8" w:color="auto"/>
            </w:tcBorders>
            <w:vMerge w:val="continue"/>
            <w:shd w:val="clear" w:color="auto" w:fill="D5DCE4"/>
          </w:tcPr>
          <w:p>
            <w:pPr>
              <w:spacing w:after="0"/>
              <w:rPr>
                <w:sz w:val="18"/>
                <w:szCs w:val="18"/>
                <w:color w:val="auto"/>
              </w:rPr>
            </w:pPr>
          </w:p>
        </w:tc>
        <w:tc>
          <w:tcPr>
            <w:tcW w:w="80" w:type="dxa"/>
            <w:vAlign w:val="bottom"/>
            <w:tcBorders>
              <w:bottom w:val="single" w:sz="8" w:color="D5DCE4"/>
            </w:tcBorders>
            <w:shd w:val="clear" w:color="auto" w:fill="D5DCE4"/>
          </w:tcPr>
          <w:p>
            <w:pPr>
              <w:spacing w:after="0"/>
              <w:rPr>
                <w:sz w:val="18"/>
                <w:szCs w:val="18"/>
                <w:color w:val="auto"/>
              </w:rPr>
            </w:pPr>
          </w:p>
        </w:tc>
        <w:tc>
          <w:tcPr>
            <w:tcW w:w="320" w:type="dxa"/>
            <w:vAlign w:val="bottom"/>
            <w:tcBorders>
              <w:bottom w:val="single" w:sz="8" w:color="auto"/>
            </w:tcBorders>
            <w:shd w:val="clear" w:color="auto" w:fill="D5DCE4"/>
          </w:tcPr>
          <w:p>
            <w:pPr>
              <w:spacing w:after="0"/>
              <w:rPr>
                <w:sz w:val="18"/>
                <w:szCs w:val="18"/>
                <w:color w:val="auto"/>
              </w:rPr>
            </w:pPr>
          </w:p>
        </w:tc>
        <w:tc>
          <w:tcPr>
            <w:tcW w:w="1180" w:type="dxa"/>
            <w:vAlign w:val="bottom"/>
            <w:tcBorders>
              <w:bottom w:val="single" w:sz="8" w:color="auto"/>
            </w:tcBorders>
            <w:vMerge w:val="continue"/>
            <w:shd w:val="clear" w:color="auto" w:fill="D5DCE4"/>
          </w:tcPr>
          <w:p>
            <w:pPr>
              <w:spacing w:after="0"/>
              <w:rPr>
                <w:sz w:val="18"/>
                <w:szCs w:val="18"/>
                <w:color w:val="auto"/>
              </w:rPr>
            </w:pPr>
          </w:p>
        </w:tc>
        <w:tc>
          <w:tcPr>
            <w:tcW w:w="80" w:type="dxa"/>
            <w:vAlign w:val="bottom"/>
            <w:tcBorders>
              <w:bottom w:val="single" w:sz="8" w:color="D5DCE4"/>
            </w:tcBorders>
            <w:shd w:val="clear" w:color="auto" w:fill="D5DCE4"/>
          </w:tcPr>
          <w:p>
            <w:pPr>
              <w:spacing w:after="0"/>
              <w:rPr>
                <w:sz w:val="18"/>
                <w:szCs w:val="18"/>
                <w:color w:val="auto"/>
              </w:rPr>
            </w:pPr>
          </w:p>
        </w:tc>
        <w:tc>
          <w:tcPr>
            <w:tcW w:w="480" w:type="dxa"/>
            <w:vAlign w:val="bottom"/>
            <w:tcBorders>
              <w:bottom w:val="single" w:sz="8" w:color="auto"/>
            </w:tcBorders>
            <w:shd w:val="clear" w:color="auto" w:fill="D5DCE4"/>
          </w:tcPr>
          <w:p>
            <w:pPr>
              <w:spacing w:after="0"/>
              <w:rPr>
                <w:sz w:val="18"/>
                <w:szCs w:val="18"/>
                <w:color w:val="auto"/>
              </w:rPr>
            </w:pPr>
          </w:p>
        </w:tc>
        <w:tc>
          <w:tcPr>
            <w:tcW w:w="1040" w:type="dxa"/>
            <w:vAlign w:val="bottom"/>
            <w:tcBorders>
              <w:bottom w:val="single" w:sz="8" w:color="auto"/>
            </w:tcBorders>
            <w:vMerge w:val="continue"/>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5DCE4"/>
            </w:tcBorders>
          </w:tcPr>
          <w:p>
            <w:pPr>
              <w:spacing w:after="0" w:line="20" w:lineRule="exact"/>
              <w:rPr>
                <w:sz w:val="1"/>
                <w:szCs w:val="1"/>
                <w:color w:val="auto"/>
              </w:rPr>
            </w:pPr>
          </w:p>
        </w:tc>
        <w:tc>
          <w:tcPr>
            <w:tcW w:w="82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tcBorders>
          </w:tcPr>
          <w:p>
            <w:pPr>
              <w:spacing w:after="0" w:line="20" w:lineRule="exact"/>
              <w:rPr>
                <w:sz w:val="1"/>
                <w:szCs w:val="1"/>
                <w:color w:val="auto"/>
              </w:rPr>
            </w:pPr>
          </w:p>
        </w:tc>
        <w:tc>
          <w:tcPr>
            <w:tcW w:w="388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20" w:type="dxa"/>
            <w:vAlign w:val="bottom"/>
            <w:tcBorders>
              <w:top w:val="single" w:sz="8" w:color="D5DCE4"/>
              <w:bottom w:val="single" w:sz="8" w:color="auto"/>
            </w:tcBorders>
          </w:tcPr>
          <w:p>
            <w:pPr>
              <w:spacing w:after="0" w:line="20" w:lineRule="exact"/>
              <w:rPr>
                <w:sz w:val="1"/>
                <w:szCs w:val="1"/>
                <w:color w:val="auto"/>
              </w:rPr>
            </w:pPr>
          </w:p>
        </w:tc>
        <w:tc>
          <w:tcPr>
            <w:tcW w:w="110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4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0" w:type="dxa"/>
            <w:vAlign w:val="bottom"/>
            <w:tcBorders>
              <w:bottom w:val="single" w:sz="8" w:color="D5DCE4"/>
            </w:tcBorders>
            <w:shd w:val="clear" w:color="auto" w:fill="D5DCE4"/>
          </w:tcPr>
          <w:p>
            <w:pPr>
              <w:spacing w:after="0"/>
              <w:rPr>
                <w:sz w:val="22"/>
                <w:szCs w:val="22"/>
                <w:color w:val="auto"/>
              </w:rPr>
            </w:pPr>
          </w:p>
        </w:tc>
        <w:tc>
          <w:tcPr>
            <w:tcW w:w="4940" w:type="dxa"/>
            <w:vAlign w:val="bottom"/>
            <w:tcBorders>
              <w:bottom w:val="single" w:sz="8" w:color="D5DCE4"/>
            </w:tcBorders>
            <w:gridSpan w:val="4"/>
            <w:shd w:val="clear" w:color="auto" w:fill="D5DCE4"/>
          </w:tcPr>
          <w:p>
            <w:pPr>
              <w:spacing w:after="0"/>
              <w:rPr>
                <w:sz w:val="20"/>
                <w:szCs w:val="20"/>
                <w:color w:val="auto"/>
              </w:rPr>
            </w:pPr>
            <w:r>
              <w:rPr>
                <w:rFonts w:ascii="Arial" w:cs="Arial" w:eastAsia="Arial" w:hAnsi="Arial"/>
                <w:sz w:val="16"/>
                <w:szCs w:val="16"/>
                <w:color w:val="auto"/>
              </w:rPr>
              <w:t>Earnings per share - Basic</w:t>
            </w:r>
          </w:p>
        </w:tc>
        <w:tc>
          <w:tcPr>
            <w:tcW w:w="3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0.33</w:t>
            </w:r>
          </w:p>
        </w:tc>
        <w:tc>
          <w:tcPr>
            <w:tcW w:w="80" w:type="dxa"/>
            <w:vAlign w:val="bottom"/>
            <w:tcBorders>
              <w:bottom w:val="single" w:sz="8" w:color="D5DCE4"/>
            </w:tcBorders>
            <w:shd w:val="clear" w:color="auto" w:fill="D5DCE4"/>
          </w:tcPr>
          <w:p>
            <w:pPr>
              <w:spacing w:after="0"/>
              <w:rPr>
                <w:sz w:val="22"/>
                <w:szCs w:val="22"/>
                <w:color w:val="auto"/>
              </w:rPr>
            </w:pPr>
          </w:p>
        </w:tc>
        <w:tc>
          <w:tcPr>
            <w:tcW w:w="420" w:type="dxa"/>
            <w:vAlign w:val="bottom"/>
            <w:tcBorders>
              <w:bottom w:val="single" w:sz="8" w:color="auto"/>
            </w:tcBorders>
            <w:shd w:val="clear" w:color="auto" w:fill="D5DCE4"/>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0.27</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0.74</w:t>
            </w:r>
          </w:p>
        </w:tc>
        <w:tc>
          <w:tcPr>
            <w:tcW w:w="80" w:type="dxa"/>
            <w:vAlign w:val="bottom"/>
            <w:tcBorders>
              <w:bottom w:val="single" w:sz="8" w:color="D5DCE4"/>
            </w:tcBorders>
            <w:shd w:val="clear" w:color="auto" w:fill="D5DCE4"/>
          </w:tcPr>
          <w:p>
            <w:pPr>
              <w:spacing w:after="0"/>
              <w:rPr>
                <w:sz w:val="22"/>
                <w:szCs w:val="22"/>
                <w:color w:val="auto"/>
              </w:rPr>
            </w:pP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0.61</w:t>
            </w:r>
          </w:p>
        </w:tc>
        <w:tc>
          <w:tcPr>
            <w:tcW w:w="0" w:type="dxa"/>
            <w:vAlign w:val="bottom"/>
          </w:tcPr>
          <w:p>
            <w:pPr>
              <w:spacing w:after="0"/>
              <w:rPr>
                <w:sz w:val="1"/>
                <w:szCs w:val="1"/>
                <w:color w:val="auto"/>
              </w:rPr>
            </w:pPr>
          </w:p>
        </w:tc>
      </w:tr>
      <w:tr>
        <w:trPr>
          <w:trHeight w:val="20"/>
        </w:trPr>
        <w:tc>
          <w:tcPr>
            <w:tcW w:w="20" w:type="dxa"/>
            <w:vAlign w:val="bottom"/>
            <w:tcBorders>
              <w:top w:val="single" w:sz="8" w:color="D5DCE4"/>
            </w:tcBorders>
          </w:tcPr>
          <w:p>
            <w:pPr>
              <w:spacing w:after="0" w:line="20" w:lineRule="exact"/>
              <w:rPr>
                <w:sz w:val="1"/>
                <w:szCs w:val="1"/>
                <w:color w:val="auto"/>
              </w:rPr>
            </w:pPr>
          </w:p>
        </w:tc>
        <w:tc>
          <w:tcPr>
            <w:tcW w:w="82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tcBorders>
          </w:tcPr>
          <w:p>
            <w:pPr>
              <w:spacing w:after="0" w:line="20" w:lineRule="exact"/>
              <w:rPr>
                <w:sz w:val="1"/>
                <w:szCs w:val="1"/>
                <w:color w:val="auto"/>
              </w:rPr>
            </w:pPr>
          </w:p>
        </w:tc>
        <w:tc>
          <w:tcPr>
            <w:tcW w:w="388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20" w:type="dxa"/>
            <w:vAlign w:val="bottom"/>
            <w:tcBorders>
              <w:top w:val="single" w:sz="8" w:color="D5DCE4"/>
              <w:bottom w:val="single" w:sz="8" w:color="auto"/>
            </w:tcBorders>
          </w:tcPr>
          <w:p>
            <w:pPr>
              <w:spacing w:after="0" w:line="20" w:lineRule="exact"/>
              <w:rPr>
                <w:sz w:val="1"/>
                <w:szCs w:val="1"/>
                <w:color w:val="auto"/>
              </w:rPr>
            </w:pPr>
          </w:p>
        </w:tc>
        <w:tc>
          <w:tcPr>
            <w:tcW w:w="110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4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Earnings per share - Diluted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0.33</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0.27</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0.73</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ind w:left="660" w:right="200" w:hanging="328"/>
        <w:spacing w:after="0" w:line="294" w:lineRule="auto"/>
        <w:tabs>
          <w:tab w:leader="none" w:pos="651" w:val="left"/>
        </w:tabs>
        <w:numPr>
          <w:ilvl w:val="0"/>
          <w:numId w:val="12"/>
        </w:numPr>
        <w:rPr>
          <w:rFonts w:ascii="Arial" w:cs="Arial" w:eastAsia="Arial" w:hAnsi="Arial"/>
          <w:sz w:val="12"/>
          <w:szCs w:val="12"/>
          <w:color w:val="auto"/>
        </w:rPr>
      </w:pPr>
      <w:r>
        <w:rPr>
          <w:rFonts w:ascii="Arial" w:cs="Arial" w:eastAsia="Arial" w:hAnsi="Arial"/>
          <w:sz w:val="12"/>
          <w:szCs w:val="12"/>
          <w:color w:val="auto"/>
        </w:rPr>
        <w:t>During the three and six months ended June 30, 2022, there was a total of 76,426 and 80,778, respectively, weighted average unvested RSUs and unsettled vested PRSUs that were considered a participating security for purposes of calculating earnings per share in accordance with the two-class method. There were none during the three and six months ended June 30, 2021.</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REVENUES BY ASSET CLASS (UNAUDITED)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4"/>
          </w:tcPr>
          <w:p>
            <w:pPr>
              <w:jc w:val="right"/>
              <w:ind w:right="139"/>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8"/>
        </w:trPr>
        <w:tc>
          <w:tcPr>
            <w:tcW w:w="2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4"/>
                <w:szCs w:val="14"/>
                <w:b w:val="1"/>
                <w:bCs w:val="1"/>
                <w:color w:val="auto"/>
              </w:rPr>
              <w:t>June 30,</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3"/>
        </w:trPr>
        <w:tc>
          <w:tcPr>
            <w:tcW w:w="2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6"/>
              </w:rPr>
              <w:t>2022</w:t>
            </w:r>
          </w:p>
        </w:tc>
        <w:tc>
          <w:tcPr>
            <w:tcW w:w="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6"/>
              </w:rPr>
              <w:t>2021</w:t>
            </w:r>
          </w:p>
        </w:tc>
        <w:tc>
          <w:tcPr>
            <w:tcW w:w="8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 Change</w:t>
            </w:r>
          </w:p>
        </w:tc>
        <w:tc>
          <w:tcPr>
            <w:tcW w:w="180" w:type="dxa"/>
            <w:vAlign w:val="bottom"/>
          </w:tcPr>
          <w:p>
            <w:pPr>
              <w:spacing w:after="0"/>
              <w:rPr>
                <w:sz w:val="19"/>
                <w:szCs w:val="19"/>
                <w:color w:val="auto"/>
              </w:rPr>
            </w:pPr>
          </w:p>
        </w:tc>
        <w:tc>
          <w:tcPr>
            <w:tcW w:w="214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 Change</w:t>
            </w:r>
          </w:p>
        </w:tc>
      </w:tr>
      <w:tr>
        <w:trPr>
          <w:trHeight w:val="239"/>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Revenues</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9"/>
              </w:rPr>
              <w:t>Variable</w:t>
            </w:r>
          </w:p>
        </w:tc>
        <w:tc>
          <w:tcPr>
            <w:tcW w:w="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Fixed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9"/>
              </w:rPr>
              <w:t>Variable</w:t>
            </w:r>
          </w:p>
        </w:tc>
        <w:tc>
          <w:tcPr>
            <w:tcW w:w="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Fixed</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9"/>
              </w:rPr>
              <w:t>Variable</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Fixed</w:t>
            </w:r>
          </w:p>
        </w:tc>
        <w:tc>
          <w:tcPr>
            <w:tcW w:w="180" w:type="dxa"/>
            <w:vAlign w:val="bottom"/>
          </w:tcPr>
          <w:p>
            <w:pPr>
              <w:spacing w:after="0"/>
              <w:rPr>
                <w:sz w:val="20"/>
                <w:szCs w:val="20"/>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Variable</w:t>
            </w:r>
          </w:p>
        </w:tc>
        <w:tc>
          <w:tcPr>
            <w:tcW w:w="80" w:type="dxa"/>
            <w:vAlign w:val="bottom"/>
          </w:tcPr>
          <w:p>
            <w:pPr>
              <w:spacing w:after="0"/>
              <w:rPr>
                <w:sz w:val="20"/>
                <w:szCs w:val="20"/>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Fixed</w:t>
            </w:r>
          </w:p>
        </w:tc>
      </w:tr>
      <w:tr>
        <w:trPr>
          <w:trHeight w:val="277"/>
        </w:trPr>
        <w:tc>
          <w:tcPr>
            <w:tcW w:w="2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5"/>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7"/>
        </w:trPr>
        <w:tc>
          <w:tcPr>
            <w:tcW w:w="25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Rates</w:t>
            </w: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96,334</w:t>
            </w:r>
          </w:p>
        </w:tc>
        <w:tc>
          <w:tcPr>
            <w:tcW w:w="440" w:type="dxa"/>
            <w:vAlign w:val="bottom"/>
            <w:gridSpan w:val="3"/>
            <w:shd w:val="clear" w:color="auto" w:fill="D5DCE4"/>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shd w:val="clear" w:color="auto" w:fill="D5DCE4"/>
          </w:tcPr>
          <w:p>
            <w:pPr>
              <w:jc w:val="right"/>
              <w:ind w:right="1"/>
              <w:spacing w:after="0"/>
              <w:rPr>
                <w:sz w:val="20"/>
                <w:szCs w:val="20"/>
                <w:color w:val="auto"/>
              </w:rPr>
            </w:pPr>
            <w:r>
              <w:rPr>
                <w:rFonts w:ascii="Arial" w:cs="Arial" w:eastAsia="Arial" w:hAnsi="Arial"/>
                <w:sz w:val="16"/>
                <w:szCs w:val="16"/>
                <w:color w:val="auto"/>
              </w:rPr>
              <w:t>55,252</w:t>
            </w:r>
          </w:p>
        </w:tc>
        <w:tc>
          <w:tcPr>
            <w:tcW w:w="120" w:type="dxa"/>
            <w:vAlign w:val="bottom"/>
            <w:shd w:val="clear" w:color="auto" w:fill="D5DCE4"/>
          </w:tcPr>
          <w:p>
            <w:pPr>
              <w:spacing w:after="0"/>
              <w:rPr>
                <w:sz w:val="21"/>
                <w:szCs w:val="21"/>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79,766</w:t>
            </w:r>
          </w:p>
        </w:tc>
        <w:tc>
          <w:tcPr>
            <w:tcW w:w="400" w:type="dxa"/>
            <w:vAlign w:val="bottom"/>
            <w:gridSpan w:val="3"/>
            <w:shd w:val="clear" w:color="auto" w:fill="D5DCE4"/>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54,237</w:t>
            </w:r>
          </w:p>
        </w:tc>
        <w:tc>
          <w:tcPr>
            <w:tcW w:w="180" w:type="dxa"/>
            <w:vAlign w:val="bottom"/>
            <w:shd w:val="clear" w:color="auto" w:fill="D5DCE4"/>
          </w:tcPr>
          <w:p>
            <w:pPr>
              <w:spacing w:after="0"/>
              <w:rPr>
                <w:sz w:val="21"/>
                <w:szCs w:val="21"/>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16,568</w:t>
            </w:r>
          </w:p>
        </w:tc>
        <w:tc>
          <w:tcPr>
            <w:tcW w:w="80" w:type="dxa"/>
            <w:vAlign w:val="bottom"/>
            <w:shd w:val="clear" w:color="auto" w:fill="D5DCE4"/>
          </w:tcPr>
          <w:p>
            <w:pPr>
              <w:spacing w:after="0"/>
              <w:rPr>
                <w:sz w:val="21"/>
                <w:szCs w:val="21"/>
                <w:color w:val="auto"/>
              </w:rPr>
            </w:pPr>
          </w:p>
        </w:tc>
        <w:tc>
          <w:tcPr>
            <w:tcW w:w="16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1,015</w:t>
            </w:r>
          </w:p>
        </w:tc>
        <w:tc>
          <w:tcPr>
            <w:tcW w:w="124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20.8 %</w:t>
            </w:r>
          </w:p>
        </w:tc>
        <w:tc>
          <w:tcPr>
            <w:tcW w:w="8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1.9 %</w:t>
            </w:r>
          </w:p>
        </w:tc>
      </w:tr>
      <w:tr>
        <w:trPr>
          <w:trHeight w:val="235"/>
        </w:trPr>
        <w:tc>
          <w:tcPr>
            <w:tcW w:w="2540" w:type="dxa"/>
            <w:vAlign w:val="bottom"/>
            <w:gridSpan w:val="2"/>
          </w:tcPr>
          <w:p>
            <w:pPr>
              <w:ind w:left="20"/>
              <w:spacing w:after="0"/>
              <w:rPr>
                <w:sz w:val="20"/>
                <w:szCs w:val="20"/>
                <w:color w:val="auto"/>
              </w:rPr>
            </w:pPr>
            <w:r>
              <w:rPr>
                <w:rFonts w:ascii="Arial" w:cs="Arial" w:eastAsia="Arial" w:hAnsi="Arial"/>
                <w:sz w:val="16"/>
                <w:szCs w:val="16"/>
                <w:color w:val="auto"/>
              </w:rPr>
              <w:t>Credit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77,497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6,494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65,712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6,500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11,785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17.9 %</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51"/>
        </w:trPr>
        <w:tc>
          <w:tcPr>
            <w:tcW w:w="25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Equities</w:t>
            </w:r>
          </w:p>
        </w:tc>
        <w:tc>
          <w:tcPr>
            <w:tcW w:w="140" w:type="dxa"/>
            <w:vAlign w:val="bottom"/>
            <w:shd w:val="clear" w:color="auto" w:fill="D5DCE4"/>
          </w:tcPr>
          <w:p>
            <w:pPr>
              <w:spacing w:after="0"/>
              <w:rPr>
                <w:sz w:val="21"/>
                <w:szCs w:val="21"/>
                <w:color w:val="auto"/>
              </w:rPr>
            </w:pPr>
          </w:p>
        </w:tc>
        <w:tc>
          <w:tcPr>
            <w:tcW w:w="7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20,409</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760" w:type="dxa"/>
            <w:vAlign w:val="bottom"/>
            <w:shd w:val="clear" w:color="auto" w:fill="D5DCE4"/>
          </w:tcPr>
          <w:p>
            <w:pPr>
              <w:jc w:val="right"/>
              <w:ind w:right="1"/>
              <w:spacing w:after="0"/>
              <w:rPr>
                <w:sz w:val="20"/>
                <w:szCs w:val="20"/>
                <w:color w:val="auto"/>
              </w:rPr>
            </w:pPr>
            <w:r>
              <w:rPr>
                <w:rFonts w:ascii="Arial" w:cs="Arial" w:eastAsia="Arial" w:hAnsi="Arial"/>
                <w:sz w:val="16"/>
                <w:szCs w:val="16"/>
                <w:color w:val="auto"/>
              </w:rPr>
              <w:t>2,250</w:t>
            </w:r>
          </w:p>
        </w:tc>
        <w:tc>
          <w:tcPr>
            <w:tcW w:w="12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7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14,612</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2,785</w:t>
            </w:r>
          </w:p>
        </w:tc>
        <w:tc>
          <w:tcPr>
            <w:tcW w:w="18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5,797</w:t>
            </w:r>
          </w:p>
        </w:tc>
        <w:tc>
          <w:tcPr>
            <w:tcW w:w="8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7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(535)</w:t>
            </w:r>
          </w:p>
        </w:tc>
        <w:tc>
          <w:tcPr>
            <w:tcW w:w="124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39.7 %</w:t>
            </w:r>
          </w:p>
        </w:tc>
        <w:tc>
          <w:tcPr>
            <w:tcW w:w="8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(19.2)%</w:t>
            </w:r>
          </w:p>
        </w:tc>
      </w:tr>
      <w:tr>
        <w:trPr>
          <w:trHeight w:val="235"/>
        </w:trPr>
        <w:tc>
          <w:tcPr>
            <w:tcW w:w="2540" w:type="dxa"/>
            <w:vAlign w:val="bottom"/>
            <w:gridSpan w:val="2"/>
          </w:tcPr>
          <w:p>
            <w:pPr>
              <w:ind w:left="20"/>
              <w:spacing w:after="0"/>
              <w:rPr>
                <w:sz w:val="20"/>
                <w:szCs w:val="20"/>
                <w:color w:val="auto"/>
              </w:rPr>
            </w:pPr>
            <w:r>
              <w:rPr>
                <w:rFonts w:ascii="Arial" w:cs="Arial" w:eastAsia="Arial" w:hAnsi="Arial"/>
                <w:sz w:val="16"/>
                <w:szCs w:val="16"/>
                <w:color w:val="auto"/>
              </w:rPr>
              <w:t>Money Markets</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7,658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4,508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7,242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4,098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410</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5.7 %</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10.0 %</w:t>
            </w:r>
          </w:p>
        </w:tc>
      </w:tr>
      <w:tr>
        <w:trPr>
          <w:trHeight w:val="251"/>
        </w:trPr>
        <w:tc>
          <w:tcPr>
            <w:tcW w:w="25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Market Data</w:t>
            </w:r>
          </w:p>
        </w:tc>
        <w:tc>
          <w:tcPr>
            <w:tcW w:w="140" w:type="dxa"/>
            <w:vAlign w:val="bottom"/>
            <w:shd w:val="clear" w:color="auto" w:fill="D5DCE4"/>
          </w:tcPr>
          <w:p>
            <w:pPr>
              <w:spacing w:after="0"/>
              <w:rPr>
                <w:sz w:val="21"/>
                <w:szCs w:val="21"/>
                <w:color w:val="auto"/>
              </w:rPr>
            </w:pPr>
          </w:p>
        </w:tc>
        <w:tc>
          <w:tcPr>
            <w:tcW w:w="7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760" w:type="dxa"/>
            <w:vAlign w:val="bottom"/>
            <w:shd w:val="clear" w:color="auto" w:fill="D5DCE4"/>
          </w:tcPr>
          <w:p>
            <w:pPr>
              <w:jc w:val="right"/>
              <w:ind w:right="1"/>
              <w:spacing w:after="0"/>
              <w:rPr>
                <w:sz w:val="20"/>
                <w:szCs w:val="20"/>
                <w:color w:val="auto"/>
              </w:rPr>
            </w:pPr>
            <w:r>
              <w:rPr>
                <w:rFonts w:ascii="Arial" w:cs="Arial" w:eastAsia="Arial" w:hAnsi="Arial"/>
                <w:sz w:val="16"/>
                <w:szCs w:val="16"/>
                <w:color w:val="auto"/>
              </w:rPr>
              <w:t>21,030</w:t>
            </w:r>
          </w:p>
        </w:tc>
        <w:tc>
          <w:tcPr>
            <w:tcW w:w="12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7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20,007</w:t>
            </w:r>
          </w:p>
        </w:tc>
        <w:tc>
          <w:tcPr>
            <w:tcW w:w="18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8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D5DCE4"/>
          </w:tcPr>
          <w:p>
            <w:pPr>
              <w:spacing w:after="0"/>
              <w:rPr>
                <w:sz w:val="21"/>
                <w:szCs w:val="21"/>
                <w:color w:val="auto"/>
              </w:rPr>
            </w:pPr>
          </w:p>
        </w:tc>
        <w:tc>
          <w:tcPr>
            <w:tcW w:w="7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1,023</w:t>
            </w:r>
          </w:p>
        </w:tc>
        <w:tc>
          <w:tcPr>
            <w:tcW w:w="180" w:type="dxa"/>
            <w:vAlign w:val="bottom"/>
            <w:shd w:val="clear" w:color="auto" w:fill="D5DCE4"/>
          </w:tcPr>
          <w:p>
            <w:pPr>
              <w:spacing w:after="0"/>
              <w:rPr>
                <w:sz w:val="21"/>
                <w:szCs w:val="21"/>
                <w:color w:val="auto"/>
              </w:rPr>
            </w:pPr>
          </w:p>
        </w:tc>
        <w:tc>
          <w:tcPr>
            <w:tcW w:w="1140" w:type="dxa"/>
            <w:vAlign w:val="bottom"/>
            <w:gridSpan w:val="2"/>
            <w:shd w:val="clear" w:color="auto" w:fill="D5DCE4"/>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5.1 %</w:t>
            </w:r>
          </w:p>
        </w:tc>
      </w:tr>
      <w:tr>
        <w:trPr>
          <w:trHeight w:val="236"/>
        </w:trPr>
        <w:tc>
          <w:tcPr>
            <w:tcW w:w="2540" w:type="dxa"/>
            <w:vAlign w:val="bottom"/>
            <w:tcBorders>
              <w:bottom w:val="single" w:sz="8" w:color="D5DCE4"/>
            </w:tcBorders>
            <w:gridSpan w:val="2"/>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D5DCE4"/>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5,706</w:t>
            </w:r>
          </w:p>
        </w:tc>
        <w:tc>
          <w:tcPr>
            <w:tcW w:w="120" w:type="dxa"/>
            <w:vAlign w:val="bottom"/>
            <w:tcBorders>
              <w:bottom w:val="single" w:sz="8" w:color="D5DCE4"/>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D5DCE4"/>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5,881</w:t>
            </w:r>
          </w:p>
        </w:tc>
        <w:tc>
          <w:tcPr>
            <w:tcW w:w="180" w:type="dxa"/>
            <w:vAlign w:val="bottom"/>
            <w:tcBorders>
              <w:bottom w:val="single" w:sz="8" w:color="D5DCE4"/>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5DCE4"/>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80" w:type="dxa"/>
            <w:vAlign w:val="bottom"/>
            <w:tcBorders>
              <w:bottom w:val="single" w:sz="8" w:color="D5DCE4"/>
            </w:tcBorders>
          </w:tcPr>
          <w:p>
            <w:pPr>
              <w:spacing w:after="0"/>
              <w:rPr>
                <w:sz w:val="20"/>
                <w:szCs w:val="20"/>
                <w:color w:val="auto"/>
              </w:rPr>
            </w:pPr>
          </w:p>
        </w:tc>
        <w:tc>
          <w:tcPr>
            <w:tcW w:w="1140" w:type="dxa"/>
            <w:vAlign w:val="bottom"/>
            <w:tcBorders>
              <w:bottom w:val="single" w:sz="8" w:color="D5DCE4"/>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D5DCE4"/>
            </w:tcBorders>
          </w:tcPr>
          <w:p>
            <w:pPr>
              <w:jc w:val="right"/>
              <w:spacing w:after="0"/>
              <w:rPr>
                <w:sz w:val="20"/>
                <w:szCs w:val="20"/>
                <w:color w:val="auto"/>
              </w:rPr>
            </w:pPr>
            <w:r>
              <w:rPr>
                <w:rFonts w:ascii="Arial" w:cs="Arial" w:eastAsia="Arial" w:hAnsi="Arial"/>
                <w:sz w:val="16"/>
                <w:szCs w:val="16"/>
                <w:color w:val="auto"/>
              </w:rPr>
              <w:t>(3.0)%</w:t>
            </w:r>
          </w:p>
        </w:tc>
      </w:tr>
      <w:tr>
        <w:trPr>
          <w:trHeight w:val="263"/>
        </w:trPr>
        <w:tc>
          <w:tcPr>
            <w:tcW w:w="25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Total revenue</w:t>
            </w: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201,898</w:t>
            </w:r>
          </w:p>
        </w:tc>
        <w:tc>
          <w:tcPr>
            <w:tcW w:w="440" w:type="dxa"/>
            <w:vAlign w:val="bottom"/>
            <w:gridSpan w:val="3"/>
            <w:shd w:val="clear" w:color="auto" w:fill="D5DCE4"/>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shd w:val="clear" w:color="auto" w:fill="D5DCE4"/>
          </w:tcPr>
          <w:p>
            <w:pPr>
              <w:jc w:val="right"/>
              <w:ind w:right="1"/>
              <w:spacing w:after="0"/>
              <w:rPr>
                <w:sz w:val="20"/>
                <w:szCs w:val="20"/>
                <w:color w:val="auto"/>
              </w:rPr>
            </w:pPr>
            <w:r>
              <w:rPr>
                <w:rFonts w:ascii="Arial" w:cs="Arial" w:eastAsia="Arial" w:hAnsi="Arial"/>
                <w:sz w:val="16"/>
                <w:szCs w:val="16"/>
                <w:color w:val="auto"/>
              </w:rPr>
              <w:t>95,240</w:t>
            </w:r>
          </w:p>
        </w:tc>
        <w:tc>
          <w:tcPr>
            <w:tcW w:w="120" w:type="dxa"/>
            <w:vAlign w:val="bottom"/>
            <w:shd w:val="clear" w:color="auto" w:fill="D5DCE4"/>
          </w:tcPr>
          <w:p>
            <w:pPr>
              <w:spacing w:after="0"/>
              <w:rPr>
                <w:sz w:val="22"/>
                <w:szCs w:val="22"/>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167,332</w:t>
            </w:r>
          </w:p>
        </w:tc>
        <w:tc>
          <w:tcPr>
            <w:tcW w:w="400" w:type="dxa"/>
            <w:vAlign w:val="bottom"/>
            <w:gridSpan w:val="3"/>
            <w:shd w:val="clear" w:color="auto" w:fill="D5DCE4"/>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93,508</w:t>
            </w:r>
          </w:p>
        </w:tc>
        <w:tc>
          <w:tcPr>
            <w:tcW w:w="180" w:type="dxa"/>
            <w:vAlign w:val="bottom"/>
            <w:shd w:val="clear" w:color="auto" w:fill="D5DCE4"/>
          </w:tcPr>
          <w:p>
            <w:pPr>
              <w:spacing w:after="0"/>
              <w:rPr>
                <w:sz w:val="22"/>
                <w:szCs w:val="22"/>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34,566</w:t>
            </w:r>
          </w:p>
        </w:tc>
        <w:tc>
          <w:tcPr>
            <w:tcW w:w="80" w:type="dxa"/>
            <w:vAlign w:val="bottom"/>
            <w:shd w:val="clear" w:color="auto" w:fill="D5DCE4"/>
          </w:tcPr>
          <w:p>
            <w:pPr>
              <w:spacing w:after="0"/>
              <w:rPr>
                <w:sz w:val="22"/>
                <w:szCs w:val="22"/>
                <w:color w:val="auto"/>
              </w:rPr>
            </w:pPr>
          </w:p>
        </w:tc>
        <w:tc>
          <w:tcPr>
            <w:tcW w:w="16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1,732</w:t>
            </w:r>
          </w:p>
        </w:tc>
        <w:tc>
          <w:tcPr>
            <w:tcW w:w="124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20.7 %</w:t>
            </w:r>
          </w:p>
        </w:tc>
        <w:tc>
          <w:tcPr>
            <w:tcW w:w="80" w:type="dxa"/>
            <w:vAlign w:val="bottom"/>
            <w:shd w:val="clear" w:color="auto" w:fill="D5DCE4"/>
          </w:tcPr>
          <w:p>
            <w:pPr>
              <w:spacing w:after="0"/>
              <w:rPr>
                <w:sz w:val="22"/>
                <w:szCs w:val="22"/>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1.9 %</w:t>
            </w:r>
          </w:p>
        </w:tc>
      </w:tr>
      <w:tr>
        <w:trPr>
          <w:trHeight w:val="20"/>
        </w:trPr>
        <w:tc>
          <w:tcPr>
            <w:tcW w:w="2360" w:type="dxa"/>
            <w:vAlign w:val="bottom"/>
            <w:tcBorders>
              <w:top w:val="single" w:sz="8" w:color="D5DCE4"/>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06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000" w:type="dxa"/>
            <w:vAlign w:val="bottom"/>
            <w:tcBorders>
              <w:top w:val="single" w:sz="8" w:color="D5DCE4"/>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7</w:t>
      </w:r>
    </w:p>
    <w:p>
      <w:pPr>
        <w:sectPr>
          <w:pgSz w:w="11900" w:h="16838" w:orient="portrait"/>
          <w:cols w:equalWidth="0" w:num="1">
            <w:col w:w="11240"/>
          </w:cols>
          <w:pgMar w:left="320" w:top="773"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AVERAGE VARIABLE FEES PER MILLION DOLLARS OF VOLUME (UNAUDITED)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44"/>
        </w:trPr>
        <w:tc>
          <w:tcPr>
            <w:tcW w:w="498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6"/>
                <w:szCs w:val="16"/>
                <w:b w:val="1"/>
                <w:bCs w:val="1"/>
                <w:color w:val="auto"/>
              </w:rPr>
              <w:t>June 30,</w:t>
            </w:r>
          </w:p>
        </w:tc>
        <w:tc>
          <w:tcPr>
            <w:tcW w:w="12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120" w:type="dxa"/>
            <w:vAlign w:val="bottom"/>
          </w:tcPr>
          <w:p>
            <w:pPr>
              <w:jc w:val="right"/>
              <w:ind w:right="819"/>
              <w:spacing w:after="0"/>
              <w:rPr>
                <w:sz w:val="20"/>
                <w:szCs w:val="20"/>
                <w:color w:val="auto"/>
              </w:rPr>
            </w:pPr>
            <w:r>
              <w:rPr>
                <w:rFonts w:ascii="Arial" w:cs="Arial" w:eastAsia="Arial" w:hAnsi="Arial"/>
                <w:sz w:val="16"/>
                <w:szCs w:val="16"/>
                <w:b w:val="1"/>
                <w:bCs w:val="1"/>
                <w:color w:val="auto"/>
              </w:rPr>
              <w:t>YoY</w:t>
            </w:r>
          </w:p>
        </w:tc>
      </w:tr>
      <w:tr>
        <w:trPr>
          <w:trHeight w:val="239"/>
        </w:trPr>
        <w:tc>
          <w:tcPr>
            <w:tcW w:w="4980" w:type="dxa"/>
            <w:vAlign w:val="bottom"/>
            <w:tcBorders>
              <w:bottom w:val="single" w:sz="8" w:color="D5DCE4"/>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D5DCE4"/>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D5DCE4"/>
            </w:tcBorders>
          </w:tcPr>
          <w:p>
            <w:pPr>
              <w:spacing w:after="0"/>
              <w:rPr>
                <w:sz w:val="20"/>
                <w:szCs w:val="20"/>
                <w:color w:val="auto"/>
              </w:rPr>
            </w:pPr>
          </w:p>
        </w:tc>
        <w:tc>
          <w:tcPr>
            <w:tcW w:w="21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 Change</w:t>
            </w:r>
          </w:p>
        </w:tc>
      </w:tr>
      <w:tr>
        <w:trPr>
          <w:trHeight w:val="240"/>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Rates</w:t>
            </w:r>
          </w:p>
        </w:tc>
        <w:tc>
          <w:tcPr>
            <w:tcW w:w="1200" w:type="dxa"/>
            <w:vAlign w:val="bottom"/>
            <w:shd w:val="clear" w:color="auto" w:fill="D5DCE4"/>
          </w:tcPr>
          <w:p>
            <w:pPr>
              <w:jc w:val="right"/>
              <w:ind w:right="1019"/>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2.20</w:t>
            </w:r>
          </w:p>
        </w:tc>
        <w:tc>
          <w:tcPr>
            <w:tcW w:w="80" w:type="dxa"/>
            <w:vAlign w:val="bottom"/>
            <w:shd w:val="clear" w:color="auto" w:fill="D5DCE4"/>
          </w:tcPr>
          <w:p>
            <w:pPr>
              <w:spacing w:after="0"/>
              <w:rPr>
                <w:sz w:val="20"/>
                <w:szCs w:val="20"/>
                <w:color w:val="auto"/>
              </w:rPr>
            </w:pPr>
          </w:p>
        </w:tc>
        <w:tc>
          <w:tcPr>
            <w:tcW w:w="800" w:type="dxa"/>
            <w:vAlign w:val="bottom"/>
            <w:shd w:val="clear" w:color="auto" w:fill="D5DCE4"/>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2.18</w:t>
            </w:r>
          </w:p>
        </w:tc>
        <w:tc>
          <w:tcPr>
            <w:tcW w:w="80" w:type="dxa"/>
            <w:vAlign w:val="bottom"/>
            <w:shd w:val="clear" w:color="auto" w:fill="D5DCE4"/>
          </w:tcPr>
          <w:p>
            <w:pPr>
              <w:spacing w:after="0"/>
              <w:rPr>
                <w:sz w:val="20"/>
                <w:szCs w:val="20"/>
                <w:color w:val="auto"/>
              </w:rPr>
            </w:pPr>
          </w:p>
        </w:tc>
        <w:tc>
          <w:tcPr>
            <w:tcW w:w="21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0.9 %</w:t>
            </w:r>
          </w:p>
        </w:tc>
      </w:tr>
      <w:tr>
        <w:trPr>
          <w:trHeight w:val="235"/>
        </w:trPr>
        <w:tc>
          <w:tcPr>
            <w:tcW w:w="4980" w:type="dxa"/>
            <w:vAlign w:val="bottom"/>
          </w:tcPr>
          <w:p>
            <w:pPr>
              <w:ind w:left="140"/>
              <w:spacing w:after="0"/>
              <w:rPr>
                <w:sz w:val="20"/>
                <w:szCs w:val="20"/>
                <w:color w:val="auto"/>
              </w:rPr>
            </w:pPr>
            <w:r>
              <w:rPr>
                <w:rFonts w:ascii="Arial" w:cs="Arial" w:eastAsia="Arial" w:hAnsi="Arial"/>
                <w:sz w:val="16"/>
                <w:szCs w:val="16"/>
                <w:color w:val="auto"/>
              </w:rPr>
              <w:t>Cash Rates</w:t>
            </w:r>
          </w:p>
        </w:tc>
        <w:tc>
          <w:tcPr>
            <w:tcW w:w="1200" w:type="dxa"/>
            <w:vAlign w:val="bottom"/>
          </w:tcPr>
          <w:p>
            <w:pPr>
              <w:jc w:val="right"/>
              <w:ind w:right="10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2.27</w:t>
            </w:r>
          </w:p>
        </w:tc>
        <w:tc>
          <w:tcPr>
            <w:tcW w:w="80" w:type="dxa"/>
            <w:vAlign w:val="bottom"/>
          </w:tcPr>
          <w:p>
            <w:pPr>
              <w:spacing w:after="0"/>
              <w:rPr>
                <w:sz w:val="20"/>
                <w:szCs w:val="20"/>
                <w:color w:val="auto"/>
              </w:rPr>
            </w:pP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2.02</w:t>
            </w:r>
          </w:p>
        </w:tc>
        <w:tc>
          <w:tcPr>
            <w:tcW w:w="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12.0 %</w:t>
            </w:r>
          </w:p>
        </w:tc>
      </w:tr>
      <w:tr>
        <w:trPr>
          <w:trHeight w:val="251"/>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Rates Derivatives</w:t>
            </w:r>
          </w:p>
        </w:tc>
        <w:tc>
          <w:tcPr>
            <w:tcW w:w="1200" w:type="dxa"/>
            <w:vAlign w:val="bottom"/>
            <w:shd w:val="clear" w:color="auto" w:fill="D5DCE4"/>
          </w:tcPr>
          <w:p>
            <w:pPr>
              <w:jc w:val="right"/>
              <w:ind w:right="10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2.14</w:t>
            </w:r>
          </w:p>
        </w:tc>
        <w:tc>
          <w:tcPr>
            <w:tcW w:w="80" w:type="dxa"/>
            <w:vAlign w:val="bottom"/>
            <w:shd w:val="clear" w:color="auto" w:fill="D5DCE4"/>
          </w:tcPr>
          <w:p>
            <w:pPr>
              <w:spacing w:after="0"/>
              <w:rPr>
                <w:sz w:val="21"/>
                <w:szCs w:val="21"/>
                <w:color w:val="auto"/>
              </w:rPr>
            </w:pPr>
          </w:p>
        </w:tc>
        <w:tc>
          <w:tcPr>
            <w:tcW w:w="800" w:type="dxa"/>
            <w:vAlign w:val="bottom"/>
            <w:shd w:val="clear" w:color="auto" w:fill="D5DCE4"/>
          </w:tcPr>
          <w:p>
            <w:pPr>
              <w:jc w:val="right"/>
              <w:ind w:right="6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2.38</w:t>
            </w:r>
          </w:p>
        </w:tc>
        <w:tc>
          <w:tcPr>
            <w:tcW w:w="80" w:type="dxa"/>
            <w:vAlign w:val="bottom"/>
            <w:shd w:val="clear" w:color="auto" w:fill="D5DCE4"/>
          </w:tcPr>
          <w:p>
            <w:pPr>
              <w:spacing w:after="0"/>
              <w:rPr>
                <w:sz w:val="21"/>
                <w:szCs w:val="21"/>
                <w:color w:val="auto"/>
              </w:rPr>
            </w:pPr>
          </w:p>
        </w:tc>
        <w:tc>
          <w:tcPr>
            <w:tcW w:w="2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(10.0)%</w:t>
            </w:r>
          </w:p>
        </w:tc>
      </w:tr>
      <w:tr>
        <w:trPr>
          <w:trHeight w:val="235"/>
        </w:trPr>
        <w:tc>
          <w:tcPr>
            <w:tcW w:w="4980" w:type="dxa"/>
            <w:vAlign w:val="bottom"/>
          </w:tcPr>
          <w:p>
            <w:pPr>
              <w:ind w:left="240"/>
              <w:spacing w:after="0"/>
              <w:rPr>
                <w:sz w:val="20"/>
                <w:szCs w:val="20"/>
                <w:color w:val="auto"/>
              </w:rPr>
            </w:pPr>
            <w:r>
              <w:rPr>
                <w:rFonts w:ascii="Arial" w:cs="Arial" w:eastAsia="Arial" w:hAnsi="Arial"/>
                <w:sz w:val="16"/>
                <w:szCs w:val="16"/>
                <w:color w:val="auto"/>
              </w:rPr>
              <w:t>Swaps / Swaptions Tenor (greater than 1 year)</w:t>
            </w:r>
          </w:p>
        </w:tc>
        <w:tc>
          <w:tcPr>
            <w:tcW w:w="1200" w:type="dxa"/>
            <w:vAlign w:val="bottom"/>
          </w:tcPr>
          <w:p>
            <w:pPr>
              <w:jc w:val="right"/>
              <w:ind w:right="10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3.42</w:t>
            </w:r>
          </w:p>
        </w:tc>
        <w:tc>
          <w:tcPr>
            <w:tcW w:w="80" w:type="dxa"/>
            <w:vAlign w:val="bottom"/>
          </w:tcPr>
          <w:p>
            <w:pPr>
              <w:spacing w:after="0"/>
              <w:rPr>
                <w:sz w:val="20"/>
                <w:szCs w:val="20"/>
                <w:color w:val="auto"/>
              </w:rPr>
            </w:pP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3.54</w:t>
            </w:r>
          </w:p>
        </w:tc>
        <w:tc>
          <w:tcPr>
            <w:tcW w:w="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51"/>
        </w:trPr>
        <w:tc>
          <w:tcPr>
            <w:tcW w:w="4980" w:type="dxa"/>
            <w:vAlign w:val="bottom"/>
            <w:shd w:val="clear" w:color="auto" w:fill="D5DCE4"/>
          </w:tcPr>
          <w:p>
            <w:pPr>
              <w:ind w:left="240"/>
              <w:spacing w:after="0"/>
              <w:rPr>
                <w:sz w:val="20"/>
                <w:szCs w:val="20"/>
                <w:color w:val="auto"/>
              </w:rPr>
            </w:pPr>
            <w:r>
              <w:rPr>
                <w:rFonts w:ascii="Arial" w:cs="Arial" w:eastAsia="Arial" w:hAnsi="Arial"/>
                <w:sz w:val="16"/>
                <w:szCs w:val="16"/>
                <w:color w:val="auto"/>
              </w:rPr>
              <w:t xml:space="preserve">Other Rates Derivatives </w:t>
            </w:r>
            <w:r>
              <w:rPr>
                <w:rFonts w:ascii="Arial" w:cs="Arial" w:eastAsia="Arial" w:hAnsi="Arial"/>
                <w:sz w:val="21"/>
                <w:szCs w:val="21"/>
                <w:color w:val="auto"/>
                <w:vertAlign w:val="superscript"/>
              </w:rPr>
              <w:t>(1)</w:t>
            </w:r>
          </w:p>
        </w:tc>
        <w:tc>
          <w:tcPr>
            <w:tcW w:w="1200" w:type="dxa"/>
            <w:vAlign w:val="bottom"/>
            <w:shd w:val="clear" w:color="auto" w:fill="D5DCE4"/>
          </w:tcPr>
          <w:p>
            <w:pPr>
              <w:jc w:val="right"/>
              <w:ind w:right="10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0.22</w:t>
            </w:r>
          </w:p>
        </w:tc>
        <w:tc>
          <w:tcPr>
            <w:tcW w:w="80" w:type="dxa"/>
            <w:vAlign w:val="bottom"/>
            <w:shd w:val="clear" w:color="auto" w:fill="D5DCE4"/>
          </w:tcPr>
          <w:p>
            <w:pPr>
              <w:spacing w:after="0"/>
              <w:rPr>
                <w:sz w:val="21"/>
                <w:szCs w:val="21"/>
                <w:color w:val="auto"/>
              </w:rPr>
            </w:pPr>
          </w:p>
        </w:tc>
        <w:tc>
          <w:tcPr>
            <w:tcW w:w="800" w:type="dxa"/>
            <w:vAlign w:val="bottom"/>
            <w:shd w:val="clear" w:color="auto" w:fill="D5DCE4"/>
          </w:tcPr>
          <w:p>
            <w:pPr>
              <w:jc w:val="right"/>
              <w:ind w:right="6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0.28</w:t>
            </w:r>
          </w:p>
        </w:tc>
        <w:tc>
          <w:tcPr>
            <w:tcW w:w="80" w:type="dxa"/>
            <w:vAlign w:val="bottom"/>
            <w:shd w:val="clear" w:color="auto" w:fill="D5DCE4"/>
          </w:tcPr>
          <w:p>
            <w:pPr>
              <w:spacing w:after="0"/>
              <w:rPr>
                <w:sz w:val="21"/>
                <w:szCs w:val="21"/>
                <w:color w:val="auto"/>
              </w:rPr>
            </w:pPr>
          </w:p>
        </w:tc>
        <w:tc>
          <w:tcPr>
            <w:tcW w:w="2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(20.8)%</w:t>
            </w:r>
          </w:p>
        </w:tc>
      </w:tr>
      <w:tr>
        <w:trPr>
          <w:trHeight w:val="216"/>
        </w:trPr>
        <w:tc>
          <w:tcPr>
            <w:tcW w:w="4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43"/>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Credit</w:t>
            </w:r>
          </w:p>
        </w:tc>
        <w:tc>
          <w:tcPr>
            <w:tcW w:w="1200" w:type="dxa"/>
            <w:vAlign w:val="bottom"/>
            <w:shd w:val="clear" w:color="auto" w:fill="D5DCE4"/>
          </w:tcPr>
          <w:p>
            <w:pPr>
              <w:jc w:val="right"/>
              <w:ind w:right="1019"/>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47.31</w:t>
            </w:r>
          </w:p>
        </w:tc>
        <w:tc>
          <w:tcPr>
            <w:tcW w:w="80" w:type="dxa"/>
            <w:vAlign w:val="bottom"/>
            <w:shd w:val="clear" w:color="auto" w:fill="D5DCE4"/>
          </w:tcPr>
          <w:p>
            <w:pPr>
              <w:spacing w:after="0"/>
              <w:rPr>
                <w:sz w:val="21"/>
                <w:szCs w:val="21"/>
                <w:color w:val="auto"/>
              </w:rPr>
            </w:pPr>
          </w:p>
        </w:tc>
        <w:tc>
          <w:tcPr>
            <w:tcW w:w="800" w:type="dxa"/>
            <w:vAlign w:val="bottom"/>
            <w:shd w:val="clear" w:color="auto" w:fill="D5DCE4"/>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57.62</w:t>
            </w:r>
          </w:p>
        </w:tc>
        <w:tc>
          <w:tcPr>
            <w:tcW w:w="80" w:type="dxa"/>
            <w:vAlign w:val="bottom"/>
            <w:shd w:val="clear" w:color="auto" w:fill="D5DCE4"/>
          </w:tcPr>
          <w:p>
            <w:pPr>
              <w:spacing w:after="0"/>
              <w:rPr>
                <w:sz w:val="21"/>
                <w:szCs w:val="21"/>
                <w:color w:val="auto"/>
              </w:rPr>
            </w:pPr>
          </w:p>
        </w:tc>
        <w:tc>
          <w:tcPr>
            <w:tcW w:w="21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(17.9)%</w:t>
            </w:r>
          </w:p>
        </w:tc>
      </w:tr>
      <w:tr>
        <w:trPr>
          <w:trHeight w:val="243"/>
        </w:trPr>
        <w:tc>
          <w:tcPr>
            <w:tcW w:w="4980" w:type="dxa"/>
            <w:vAlign w:val="bottom"/>
          </w:tcPr>
          <w:p>
            <w:pPr>
              <w:ind w:left="140"/>
              <w:spacing w:after="0"/>
              <w:rPr>
                <w:sz w:val="20"/>
                <w:szCs w:val="20"/>
                <w:color w:val="auto"/>
              </w:rPr>
            </w:pPr>
            <w:r>
              <w:rPr>
                <w:rFonts w:ascii="Arial" w:cs="Arial" w:eastAsia="Arial" w:hAnsi="Arial"/>
                <w:sz w:val="16"/>
                <w:szCs w:val="16"/>
                <w:color w:val="auto"/>
              </w:rPr>
              <w:t xml:space="preserve">Cash Credit </w:t>
            </w:r>
            <w:r>
              <w:rPr>
                <w:rFonts w:ascii="Arial" w:cs="Arial" w:eastAsia="Arial" w:hAnsi="Arial"/>
                <w:sz w:val="21"/>
                <w:szCs w:val="21"/>
                <w:color w:val="auto"/>
                <w:vertAlign w:val="superscript"/>
              </w:rPr>
              <w:t>(2)</w:t>
            </w:r>
          </w:p>
        </w:tc>
        <w:tc>
          <w:tcPr>
            <w:tcW w:w="1200" w:type="dxa"/>
            <w:vAlign w:val="bottom"/>
          </w:tcPr>
          <w:p>
            <w:pPr>
              <w:jc w:val="right"/>
              <w:ind w:right="10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155.56</w:t>
            </w:r>
          </w:p>
        </w:tc>
        <w:tc>
          <w:tcPr>
            <w:tcW w:w="80" w:type="dxa"/>
            <w:vAlign w:val="bottom"/>
          </w:tcPr>
          <w:p>
            <w:pPr>
              <w:spacing w:after="0"/>
              <w:rPr>
                <w:sz w:val="21"/>
                <w:szCs w:val="21"/>
                <w:color w:val="auto"/>
              </w:rPr>
            </w:pP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138.52</w:t>
            </w:r>
          </w:p>
        </w:tc>
        <w:tc>
          <w:tcPr>
            <w:tcW w:w="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12.3 %</w:t>
            </w:r>
          </w:p>
        </w:tc>
      </w:tr>
      <w:tr>
        <w:trPr>
          <w:trHeight w:val="243"/>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Credit Derivatives and U.S. Cash “EP”</w:t>
            </w:r>
          </w:p>
        </w:tc>
        <w:tc>
          <w:tcPr>
            <w:tcW w:w="1200" w:type="dxa"/>
            <w:vAlign w:val="bottom"/>
            <w:shd w:val="clear" w:color="auto" w:fill="D5DCE4"/>
          </w:tcPr>
          <w:p>
            <w:pPr>
              <w:jc w:val="right"/>
              <w:ind w:right="10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7.73</w:t>
            </w:r>
          </w:p>
        </w:tc>
        <w:tc>
          <w:tcPr>
            <w:tcW w:w="80" w:type="dxa"/>
            <w:vAlign w:val="bottom"/>
            <w:shd w:val="clear" w:color="auto" w:fill="D5DCE4"/>
          </w:tcPr>
          <w:p>
            <w:pPr>
              <w:spacing w:after="0"/>
              <w:rPr>
                <w:sz w:val="21"/>
                <w:szCs w:val="21"/>
                <w:color w:val="auto"/>
              </w:rPr>
            </w:pPr>
          </w:p>
        </w:tc>
        <w:tc>
          <w:tcPr>
            <w:tcW w:w="800" w:type="dxa"/>
            <w:vAlign w:val="bottom"/>
            <w:shd w:val="clear" w:color="auto" w:fill="D5DCE4"/>
          </w:tcPr>
          <w:p>
            <w:pPr>
              <w:jc w:val="right"/>
              <w:ind w:right="6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7.91</w:t>
            </w:r>
          </w:p>
        </w:tc>
        <w:tc>
          <w:tcPr>
            <w:tcW w:w="80" w:type="dxa"/>
            <w:vAlign w:val="bottom"/>
            <w:shd w:val="clear" w:color="auto" w:fill="D5DCE4"/>
          </w:tcPr>
          <w:p>
            <w:pPr>
              <w:spacing w:after="0"/>
              <w:rPr>
                <w:sz w:val="21"/>
                <w:szCs w:val="21"/>
                <w:color w:val="auto"/>
              </w:rPr>
            </w:pPr>
          </w:p>
        </w:tc>
        <w:tc>
          <w:tcPr>
            <w:tcW w:w="2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w:t>
            </w:r>
          </w:p>
        </w:tc>
      </w:tr>
      <w:tr>
        <w:trPr>
          <w:trHeight w:val="216"/>
        </w:trPr>
        <w:tc>
          <w:tcPr>
            <w:tcW w:w="4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43"/>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Equities</w:t>
            </w:r>
          </w:p>
        </w:tc>
        <w:tc>
          <w:tcPr>
            <w:tcW w:w="1200" w:type="dxa"/>
            <w:vAlign w:val="bottom"/>
            <w:shd w:val="clear" w:color="auto" w:fill="D5DCE4"/>
          </w:tcPr>
          <w:p>
            <w:pPr>
              <w:jc w:val="right"/>
              <w:ind w:right="1019"/>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19.77</w:t>
            </w:r>
          </w:p>
        </w:tc>
        <w:tc>
          <w:tcPr>
            <w:tcW w:w="80" w:type="dxa"/>
            <w:vAlign w:val="bottom"/>
            <w:shd w:val="clear" w:color="auto" w:fill="D5DCE4"/>
          </w:tcPr>
          <w:p>
            <w:pPr>
              <w:spacing w:after="0"/>
              <w:rPr>
                <w:sz w:val="21"/>
                <w:szCs w:val="21"/>
                <w:color w:val="auto"/>
              </w:rPr>
            </w:pPr>
          </w:p>
        </w:tc>
        <w:tc>
          <w:tcPr>
            <w:tcW w:w="800" w:type="dxa"/>
            <w:vAlign w:val="bottom"/>
            <w:shd w:val="clear" w:color="auto" w:fill="D5DCE4"/>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14.50</w:t>
            </w:r>
          </w:p>
        </w:tc>
        <w:tc>
          <w:tcPr>
            <w:tcW w:w="80" w:type="dxa"/>
            <w:vAlign w:val="bottom"/>
            <w:shd w:val="clear" w:color="auto" w:fill="D5DCE4"/>
          </w:tcPr>
          <w:p>
            <w:pPr>
              <w:spacing w:after="0"/>
              <w:rPr>
                <w:sz w:val="21"/>
                <w:szCs w:val="21"/>
                <w:color w:val="auto"/>
              </w:rPr>
            </w:pPr>
          </w:p>
        </w:tc>
        <w:tc>
          <w:tcPr>
            <w:tcW w:w="21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36.3 %</w:t>
            </w:r>
          </w:p>
        </w:tc>
      </w:tr>
      <w:tr>
        <w:trPr>
          <w:trHeight w:val="235"/>
        </w:trPr>
        <w:tc>
          <w:tcPr>
            <w:tcW w:w="4980" w:type="dxa"/>
            <w:vAlign w:val="bottom"/>
          </w:tcPr>
          <w:p>
            <w:pPr>
              <w:ind w:left="140"/>
              <w:spacing w:after="0"/>
              <w:rPr>
                <w:sz w:val="20"/>
                <w:szCs w:val="20"/>
                <w:color w:val="auto"/>
              </w:rPr>
            </w:pPr>
            <w:r>
              <w:rPr>
                <w:rFonts w:ascii="Arial" w:cs="Arial" w:eastAsia="Arial" w:hAnsi="Arial"/>
                <w:sz w:val="16"/>
                <w:szCs w:val="16"/>
                <w:color w:val="auto"/>
              </w:rPr>
              <w:t>Cash Equities</w:t>
            </w:r>
          </w:p>
        </w:tc>
        <w:tc>
          <w:tcPr>
            <w:tcW w:w="1200" w:type="dxa"/>
            <w:vAlign w:val="bottom"/>
          </w:tcPr>
          <w:p>
            <w:pPr>
              <w:jc w:val="right"/>
              <w:ind w:right="10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29.20</w:t>
            </w:r>
          </w:p>
        </w:tc>
        <w:tc>
          <w:tcPr>
            <w:tcW w:w="80" w:type="dxa"/>
            <w:vAlign w:val="bottom"/>
          </w:tcPr>
          <w:p>
            <w:pPr>
              <w:spacing w:after="0"/>
              <w:rPr>
                <w:sz w:val="20"/>
                <w:szCs w:val="20"/>
                <w:color w:val="auto"/>
              </w:rPr>
            </w:pP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23.21</w:t>
            </w:r>
          </w:p>
        </w:tc>
        <w:tc>
          <w:tcPr>
            <w:tcW w:w="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25.8 %</w:t>
            </w:r>
          </w:p>
        </w:tc>
      </w:tr>
      <w:tr>
        <w:trPr>
          <w:trHeight w:val="251"/>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Equity Derivatives</w:t>
            </w:r>
          </w:p>
        </w:tc>
        <w:tc>
          <w:tcPr>
            <w:tcW w:w="1200" w:type="dxa"/>
            <w:vAlign w:val="bottom"/>
            <w:shd w:val="clear" w:color="auto" w:fill="D5DCE4"/>
          </w:tcPr>
          <w:p>
            <w:pPr>
              <w:jc w:val="right"/>
              <w:ind w:right="10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5.93</w:t>
            </w:r>
          </w:p>
        </w:tc>
        <w:tc>
          <w:tcPr>
            <w:tcW w:w="80" w:type="dxa"/>
            <w:vAlign w:val="bottom"/>
            <w:shd w:val="clear" w:color="auto" w:fill="D5DCE4"/>
          </w:tcPr>
          <w:p>
            <w:pPr>
              <w:spacing w:after="0"/>
              <w:rPr>
                <w:sz w:val="21"/>
                <w:szCs w:val="21"/>
                <w:color w:val="auto"/>
              </w:rPr>
            </w:pPr>
          </w:p>
        </w:tc>
        <w:tc>
          <w:tcPr>
            <w:tcW w:w="800" w:type="dxa"/>
            <w:vAlign w:val="bottom"/>
            <w:shd w:val="clear" w:color="auto" w:fill="D5DCE4"/>
          </w:tcPr>
          <w:p>
            <w:pPr>
              <w:jc w:val="right"/>
              <w:ind w:right="6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5.34</w:t>
            </w:r>
          </w:p>
        </w:tc>
        <w:tc>
          <w:tcPr>
            <w:tcW w:w="80" w:type="dxa"/>
            <w:vAlign w:val="bottom"/>
            <w:shd w:val="clear" w:color="auto" w:fill="D5DCE4"/>
          </w:tcPr>
          <w:p>
            <w:pPr>
              <w:spacing w:after="0"/>
              <w:rPr>
                <w:sz w:val="21"/>
                <w:szCs w:val="21"/>
                <w:color w:val="auto"/>
              </w:rPr>
            </w:pPr>
          </w:p>
        </w:tc>
        <w:tc>
          <w:tcPr>
            <w:tcW w:w="2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11.1 %</w:t>
            </w:r>
          </w:p>
        </w:tc>
      </w:tr>
      <w:tr>
        <w:trPr>
          <w:trHeight w:val="216"/>
        </w:trPr>
        <w:tc>
          <w:tcPr>
            <w:tcW w:w="4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43"/>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Money Markets (Cash)</w:t>
            </w:r>
          </w:p>
        </w:tc>
        <w:tc>
          <w:tcPr>
            <w:tcW w:w="1200" w:type="dxa"/>
            <w:vAlign w:val="bottom"/>
            <w:shd w:val="clear" w:color="auto" w:fill="D5DCE4"/>
          </w:tcPr>
          <w:p>
            <w:pPr>
              <w:jc w:val="right"/>
              <w:ind w:right="1019"/>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0.29</w:t>
            </w:r>
          </w:p>
        </w:tc>
        <w:tc>
          <w:tcPr>
            <w:tcW w:w="80" w:type="dxa"/>
            <w:vAlign w:val="bottom"/>
            <w:shd w:val="clear" w:color="auto" w:fill="D5DCE4"/>
          </w:tcPr>
          <w:p>
            <w:pPr>
              <w:spacing w:after="0"/>
              <w:rPr>
                <w:sz w:val="21"/>
                <w:szCs w:val="21"/>
                <w:color w:val="auto"/>
              </w:rPr>
            </w:pPr>
          </w:p>
        </w:tc>
        <w:tc>
          <w:tcPr>
            <w:tcW w:w="800" w:type="dxa"/>
            <w:vAlign w:val="bottom"/>
            <w:shd w:val="clear" w:color="auto" w:fill="D5DCE4"/>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0.31</w:t>
            </w:r>
          </w:p>
        </w:tc>
        <w:tc>
          <w:tcPr>
            <w:tcW w:w="80" w:type="dxa"/>
            <w:vAlign w:val="bottom"/>
            <w:shd w:val="clear" w:color="auto" w:fill="D5DCE4"/>
          </w:tcPr>
          <w:p>
            <w:pPr>
              <w:spacing w:after="0"/>
              <w:rPr>
                <w:sz w:val="21"/>
                <w:szCs w:val="21"/>
                <w:color w:val="auto"/>
              </w:rPr>
            </w:pPr>
          </w:p>
        </w:tc>
        <w:tc>
          <w:tcPr>
            <w:tcW w:w="21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(5.9)%</w:t>
            </w:r>
          </w:p>
        </w:tc>
      </w:tr>
      <w:tr>
        <w:trPr>
          <w:trHeight w:val="216"/>
        </w:trPr>
        <w:tc>
          <w:tcPr>
            <w:tcW w:w="4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43"/>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Total Fees per Million</w:t>
            </w:r>
          </w:p>
        </w:tc>
        <w:tc>
          <w:tcPr>
            <w:tcW w:w="1200" w:type="dxa"/>
            <w:vAlign w:val="bottom"/>
            <w:shd w:val="clear" w:color="auto" w:fill="D5DCE4"/>
          </w:tcPr>
          <w:p>
            <w:pPr>
              <w:jc w:val="right"/>
              <w:ind w:right="1019"/>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2.78</w:t>
            </w:r>
          </w:p>
        </w:tc>
        <w:tc>
          <w:tcPr>
            <w:tcW w:w="80" w:type="dxa"/>
            <w:vAlign w:val="bottom"/>
            <w:shd w:val="clear" w:color="auto" w:fill="D5DCE4"/>
          </w:tcPr>
          <w:p>
            <w:pPr>
              <w:spacing w:after="0"/>
              <w:rPr>
                <w:sz w:val="21"/>
                <w:szCs w:val="21"/>
                <w:color w:val="auto"/>
              </w:rPr>
            </w:pPr>
          </w:p>
        </w:tc>
        <w:tc>
          <w:tcPr>
            <w:tcW w:w="800" w:type="dxa"/>
            <w:vAlign w:val="bottom"/>
            <w:shd w:val="clear" w:color="auto" w:fill="D5DCE4"/>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2.70</w:t>
            </w:r>
          </w:p>
        </w:tc>
        <w:tc>
          <w:tcPr>
            <w:tcW w:w="80" w:type="dxa"/>
            <w:vAlign w:val="bottom"/>
            <w:shd w:val="clear" w:color="auto" w:fill="D5DCE4"/>
          </w:tcPr>
          <w:p>
            <w:pPr>
              <w:spacing w:after="0"/>
              <w:rPr>
                <w:sz w:val="21"/>
                <w:szCs w:val="21"/>
                <w:color w:val="auto"/>
              </w:rPr>
            </w:pPr>
          </w:p>
        </w:tc>
        <w:tc>
          <w:tcPr>
            <w:tcW w:w="21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3.1 %</w:t>
            </w:r>
          </w:p>
        </w:tc>
      </w:tr>
      <w:tr>
        <w:trPr>
          <w:trHeight w:val="302"/>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 xml:space="preserve">Total Fees per Million excluding Other Rates Derivatives </w:t>
            </w:r>
            <w:r>
              <w:rPr>
                <w:rFonts w:ascii="Arial" w:cs="Arial" w:eastAsia="Arial" w:hAnsi="Arial"/>
                <w:sz w:val="21"/>
                <w:szCs w:val="21"/>
                <w:b w:val="1"/>
                <w:bCs w:val="1"/>
                <w:color w:val="auto"/>
                <w:vertAlign w:val="superscript"/>
              </w:rPr>
              <w:t>(3)</w:t>
            </w:r>
          </w:p>
        </w:tc>
        <w:tc>
          <w:tcPr>
            <w:tcW w:w="1200" w:type="dxa"/>
            <w:vAlign w:val="bottom"/>
          </w:tcPr>
          <w:p>
            <w:pPr>
              <w:jc w:val="right"/>
              <w:ind w:right="10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3.14</w:t>
            </w:r>
          </w:p>
        </w:tc>
        <w:tc>
          <w:tcPr>
            <w:tcW w:w="80" w:type="dxa"/>
            <w:vAlign w:val="bottom"/>
          </w:tcPr>
          <w:p>
            <w:pPr>
              <w:spacing w:after="0"/>
              <w:rPr>
                <w:sz w:val="24"/>
                <w:szCs w:val="24"/>
                <w:color w:val="auto"/>
              </w:rPr>
            </w:pPr>
          </w:p>
        </w:tc>
        <w:tc>
          <w:tcPr>
            <w:tcW w:w="800" w:type="dxa"/>
            <w:vAlign w:val="bottom"/>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2.95</w:t>
            </w:r>
          </w:p>
        </w:tc>
        <w:tc>
          <w:tcPr>
            <w:tcW w:w="8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6"/>
                <w:szCs w:val="16"/>
                <w:b w:val="1"/>
                <w:bCs w:val="1"/>
                <w:color w:val="auto"/>
              </w:rPr>
              <w:t>6.7 %</w:t>
            </w:r>
          </w:p>
        </w:tc>
      </w:tr>
    </w:tbl>
    <w:p>
      <w:pPr>
        <w:spacing w:after="0" w:line="25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Includes Swaps/Swaptions of tenor less than 1 year and Rates Futures.</w:t>
      </w:r>
    </w:p>
    <w:p>
      <w:pPr>
        <w:spacing w:after="0" w:line="21" w:lineRule="exact"/>
        <w:rPr>
          <w:rFonts w:ascii="Arial" w:cs="Arial" w:eastAsia="Arial" w:hAnsi="Arial"/>
          <w:sz w:val="12"/>
          <w:szCs w:val="12"/>
          <w:color w:val="auto"/>
        </w:rPr>
      </w:pPr>
    </w:p>
    <w:p>
      <w:pPr>
        <w:ind w:left="660" w:hanging="328"/>
        <w:spacing w:after="0"/>
        <w:tabs>
          <w:tab w:leader="none" w:pos="6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“Cash Credit” category represents the “Credit” asset class excluding (1) Credit Derivatives and (2) U.S. High Grade and High Yield electronically processed (“EP”) activity.</w:t>
      </w:r>
    </w:p>
    <w:p>
      <w:pPr>
        <w:spacing w:after="0" w:line="10" w:lineRule="exact"/>
        <w:rPr>
          <w:rFonts w:ascii="Arial" w:cs="Arial" w:eastAsia="Arial" w:hAnsi="Arial"/>
          <w:sz w:val="12"/>
          <w:szCs w:val="12"/>
          <w:color w:val="auto"/>
        </w:rPr>
      </w:pPr>
    </w:p>
    <w:p>
      <w:pPr>
        <w:ind w:left="660" w:hanging="328"/>
        <w:spacing w:after="0"/>
        <w:tabs>
          <w:tab w:leader="none" w:pos="6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Included to contextualize the impact of short-tenored Swaps/Swaptions and Rates Futures on totals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8</w:t>
      </w:r>
    </w:p>
    <w:p>
      <w:pPr>
        <w:sectPr>
          <w:pgSz w:w="11900" w:h="16838" w:orient="portrait"/>
          <w:cols w:equalWidth="0" w:num="1">
            <w:col w:w="11240"/>
          </w:cols>
          <w:pgMar w:left="320" w:top="773"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AVERAGE DAILY VOLUME (UNAUDITED)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4"/>
          </w:tcPr>
          <w:p>
            <w:pPr>
              <w:ind w:left="740"/>
              <w:spacing w:after="0"/>
              <w:rPr>
                <w:sz w:val="20"/>
                <w:szCs w:val="20"/>
                <w:color w:val="auto"/>
              </w:rPr>
            </w:pPr>
            <w:r>
              <w:rPr>
                <w:rFonts w:ascii="Arial" w:cs="Arial" w:eastAsia="Arial" w:hAnsi="Arial"/>
                <w:sz w:val="16"/>
                <w:szCs w:val="16"/>
                <w:b w:val="1"/>
                <w:bCs w:val="1"/>
                <w:color w:val="auto"/>
              </w:rPr>
              <w:t>2022 Q2</w:t>
            </w:r>
          </w:p>
        </w:tc>
        <w:tc>
          <w:tcPr>
            <w:tcW w:w="400" w:type="dxa"/>
            <w:vAlign w:val="bottom"/>
          </w:tcPr>
          <w:p>
            <w:pPr>
              <w:spacing w:after="0"/>
              <w:rPr>
                <w:sz w:val="19"/>
                <w:szCs w:val="19"/>
                <w:color w:val="auto"/>
              </w:rPr>
            </w:pPr>
          </w:p>
        </w:tc>
        <w:tc>
          <w:tcPr>
            <w:tcW w:w="1400" w:type="dxa"/>
            <w:vAlign w:val="bottom"/>
            <w:gridSpan w:val="2"/>
          </w:tcPr>
          <w:p>
            <w:pPr>
              <w:ind w:left="680"/>
              <w:spacing w:after="0"/>
              <w:rPr>
                <w:sz w:val="20"/>
                <w:szCs w:val="20"/>
                <w:color w:val="auto"/>
              </w:rPr>
            </w:pPr>
            <w:r>
              <w:rPr>
                <w:rFonts w:ascii="Arial" w:cs="Arial" w:eastAsia="Arial" w:hAnsi="Arial"/>
                <w:sz w:val="16"/>
                <w:szCs w:val="16"/>
                <w:b w:val="1"/>
                <w:bCs w:val="1"/>
                <w:color w:val="auto"/>
              </w:rPr>
              <w:t>2021 Q2</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ind w:left="440"/>
              <w:spacing w:after="0"/>
              <w:rPr>
                <w:sz w:val="20"/>
                <w:szCs w:val="20"/>
                <w:color w:val="auto"/>
              </w:rPr>
            </w:pPr>
            <w:r>
              <w:rPr>
                <w:rFonts w:ascii="Arial" w:cs="Arial" w:eastAsia="Arial" w:hAnsi="Arial"/>
                <w:sz w:val="16"/>
                <w:szCs w:val="16"/>
                <w:b w:val="1"/>
                <w:bCs w:val="1"/>
                <w:color w:val="auto"/>
              </w:rPr>
              <w:t>YoY</w:t>
            </w:r>
          </w:p>
        </w:tc>
        <w:tc>
          <w:tcPr>
            <w:tcW w:w="0" w:type="dxa"/>
            <w:vAlign w:val="bottom"/>
          </w:tcPr>
          <w:p>
            <w:pPr>
              <w:spacing w:after="0"/>
              <w:rPr>
                <w:sz w:val="1"/>
                <w:szCs w:val="1"/>
                <w:color w:val="auto"/>
              </w:rPr>
            </w:pPr>
          </w:p>
        </w:tc>
      </w:tr>
      <w:tr>
        <w:trPr>
          <w:trHeight w:val="247"/>
        </w:trPr>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Asset Class</w:t>
            </w:r>
          </w:p>
        </w:tc>
        <w:tc>
          <w:tcPr>
            <w:tcW w:w="29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Product</w:t>
            </w:r>
          </w:p>
        </w:tc>
        <w:tc>
          <w:tcPr>
            <w:tcW w:w="120" w:type="dxa"/>
            <w:vAlign w:val="bottom"/>
            <w:tcBorders>
              <w:bottom w:val="single" w:sz="8" w:color="D5DCE4"/>
            </w:tcBorders>
          </w:tcPr>
          <w:p>
            <w:pPr>
              <w:spacing w:after="0"/>
              <w:rPr>
                <w:sz w:val="21"/>
                <w:szCs w:val="21"/>
                <w:color w:val="auto"/>
              </w:rPr>
            </w:pPr>
          </w:p>
        </w:tc>
        <w:tc>
          <w:tcPr>
            <w:tcW w:w="13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ADV (USD mm)</w:t>
            </w: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Volume (USD mm)</w:t>
            </w:r>
          </w:p>
        </w:tc>
        <w:tc>
          <w:tcPr>
            <w:tcW w:w="100" w:type="dxa"/>
            <w:vAlign w:val="bottom"/>
            <w:tcBorders>
              <w:bottom w:val="single" w:sz="8" w:color="D5DCE4"/>
            </w:tcBorders>
          </w:tcPr>
          <w:p>
            <w:pPr>
              <w:spacing w:after="0"/>
              <w:rPr>
                <w:sz w:val="21"/>
                <w:szCs w:val="21"/>
                <w:color w:val="auto"/>
              </w:rPr>
            </w:pPr>
          </w:p>
        </w:tc>
        <w:tc>
          <w:tcPr>
            <w:tcW w:w="280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ADV (USD mm)  Volume (USD mm)</w:t>
            </w:r>
          </w:p>
        </w:tc>
        <w:tc>
          <w:tcPr>
            <w:tcW w:w="100" w:type="dxa"/>
            <w:vAlign w:val="bottom"/>
            <w:tcBorders>
              <w:bottom w:val="single" w:sz="8" w:color="D5DCE4"/>
            </w:tcBorders>
          </w:tcPr>
          <w:p>
            <w:pPr>
              <w:spacing w:after="0"/>
              <w:rPr>
                <w:sz w:val="21"/>
                <w:szCs w:val="21"/>
                <w:color w:val="auto"/>
              </w:rPr>
            </w:pPr>
          </w:p>
        </w:tc>
        <w:tc>
          <w:tcPr>
            <w:tcW w:w="124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ADV</w:t>
            </w:r>
          </w:p>
        </w:tc>
        <w:tc>
          <w:tcPr>
            <w:tcW w:w="0" w:type="dxa"/>
            <w:vAlign w:val="bottom"/>
          </w:tcPr>
          <w:p>
            <w:pPr>
              <w:spacing w:after="0"/>
              <w:rPr>
                <w:sz w:val="1"/>
                <w:szCs w:val="1"/>
                <w:color w:val="auto"/>
              </w:rPr>
            </w:pPr>
          </w:p>
        </w:tc>
      </w:tr>
      <w:tr>
        <w:trPr>
          <w:trHeight w:val="240"/>
        </w:trPr>
        <w:tc>
          <w:tcPr>
            <w:tcW w:w="1240" w:type="dxa"/>
            <w:vAlign w:val="bottom"/>
            <w:tcBorders>
              <w:right w:val="single" w:sz="8" w:color="D5DCE4"/>
            </w:tcBorders>
            <w:shd w:val="clear" w:color="auto" w:fill="D5DCE4"/>
          </w:tcPr>
          <w:p>
            <w:pPr>
              <w:ind w:left="20"/>
              <w:spacing w:after="0"/>
              <w:rPr>
                <w:sz w:val="20"/>
                <w:szCs w:val="20"/>
                <w:color w:val="auto"/>
              </w:rPr>
            </w:pPr>
            <w:r>
              <w:rPr>
                <w:rFonts w:ascii="Arial" w:cs="Arial" w:eastAsia="Arial" w:hAnsi="Arial"/>
                <w:sz w:val="16"/>
                <w:szCs w:val="16"/>
                <w:b w:val="1"/>
                <w:bCs w:val="1"/>
                <w:color w:val="auto"/>
              </w:rPr>
              <w:t>Rates</w:t>
            </w:r>
          </w:p>
        </w:tc>
        <w:tc>
          <w:tcPr>
            <w:tcW w:w="304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300" w:type="dxa"/>
            <w:vAlign w:val="bottom"/>
            <w:shd w:val="clear" w:color="auto" w:fill="D5DCE4"/>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341,351</w:t>
            </w:r>
          </w:p>
        </w:tc>
        <w:tc>
          <w:tcPr>
            <w:tcW w:w="160" w:type="dxa"/>
            <w:vAlign w:val="bottom"/>
            <w:shd w:val="clear" w:color="auto" w:fill="D5DCE4"/>
          </w:tcPr>
          <w:p>
            <w:pPr>
              <w:spacing w:after="0"/>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21,125,468</w:t>
            </w:r>
          </w:p>
        </w:tc>
        <w:tc>
          <w:tcPr>
            <w:tcW w:w="100" w:type="dxa"/>
            <w:vAlign w:val="bottom"/>
            <w:tcBorders>
              <w:right w:val="single" w:sz="8" w:color="D5DCE4"/>
            </w:tcBorders>
            <w:shd w:val="clear" w:color="auto" w:fill="D5DCE4"/>
          </w:tcPr>
          <w:p>
            <w:pPr>
              <w:spacing w:after="0"/>
              <w:rPr>
                <w:sz w:val="20"/>
                <w:szCs w:val="20"/>
                <w:color w:val="auto"/>
              </w:rPr>
            </w:pPr>
          </w:p>
        </w:tc>
        <w:tc>
          <w:tcPr>
            <w:tcW w:w="400" w:type="dxa"/>
            <w:vAlign w:val="bottom"/>
            <w:shd w:val="clear" w:color="auto" w:fill="D5DCE4"/>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318,996</w:t>
            </w:r>
          </w:p>
        </w:tc>
        <w:tc>
          <w:tcPr>
            <w:tcW w:w="440" w:type="dxa"/>
            <w:vAlign w:val="bottom"/>
            <w:shd w:val="clear" w:color="auto" w:fill="D5DCE4"/>
          </w:tcPr>
          <w:p>
            <w:pPr>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20,346,393</w:t>
            </w:r>
          </w:p>
        </w:tc>
        <w:tc>
          <w:tcPr>
            <w:tcW w:w="100" w:type="dxa"/>
            <w:vAlign w:val="bottom"/>
            <w:tcBorders>
              <w:right w:val="single" w:sz="8" w:color="D5DCE4"/>
            </w:tcBorders>
            <w:shd w:val="clear" w:color="auto" w:fill="D5DCE4"/>
          </w:tcPr>
          <w:p>
            <w:pPr>
              <w:spacing w:after="0"/>
              <w:rPr>
                <w:sz w:val="20"/>
                <w:szCs w:val="20"/>
                <w:color w:val="auto"/>
              </w:rPr>
            </w:pPr>
          </w:p>
        </w:tc>
        <w:tc>
          <w:tcPr>
            <w:tcW w:w="12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7.01 %</w:t>
            </w:r>
          </w:p>
        </w:tc>
        <w:tc>
          <w:tcPr>
            <w:tcW w:w="0" w:type="dxa"/>
            <w:vAlign w:val="bottom"/>
          </w:tcPr>
          <w:p>
            <w:pPr>
              <w:spacing w:after="0"/>
              <w:rPr>
                <w:sz w:val="1"/>
                <w:szCs w:val="1"/>
                <w:color w:val="auto"/>
              </w:rPr>
            </w:pPr>
          </w:p>
        </w:tc>
      </w:tr>
      <w:tr>
        <w:trPr>
          <w:trHeight w:val="235"/>
        </w:trPr>
        <w:tc>
          <w:tcPr>
            <w:tcW w:w="1240" w:type="dxa"/>
            <w:vAlign w:val="bottom"/>
          </w:tcPr>
          <w:p>
            <w:pPr>
              <w:spacing w:after="0"/>
              <w:rPr>
                <w:sz w:val="20"/>
                <w:szCs w:val="20"/>
                <w:color w:val="auto"/>
              </w:rPr>
            </w:pPr>
          </w:p>
        </w:tc>
        <w:tc>
          <w:tcPr>
            <w:tcW w:w="304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U.S. Government Bonds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131,936</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8,180,022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106,904</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6,841,840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23.42 %</w:t>
            </w:r>
          </w:p>
        </w:tc>
        <w:tc>
          <w:tcPr>
            <w:tcW w:w="0" w:type="dxa"/>
            <w:vAlign w:val="bottom"/>
          </w:tcPr>
          <w:p>
            <w:pPr>
              <w:spacing w:after="0"/>
              <w:rPr>
                <w:sz w:val="1"/>
                <w:szCs w:val="1"/>
                <w:color w:val="auto"/>
              </w:rPr>
            </w:pPr>
          </w:p>
        </w:tc>
      </w:tr>
      <w:tr>
        <w:trPr>
          <w:trHeight w:val="251"/>
        </w:trPr>
        <w:tc>
          <w:tcPr>
            <w:tcW w:w="1240" w:type="dxa"/>
            <w:vAlign w:val="bottom"/>
            <w:tcBorders>
              <w:right w:val="single" w:sz="8" w:color="D5DCE4"/>
            </w:tcBorders>
            <w:shd w:val="clear" w:color="auto" w:fill="D5DCE4"/>
          </w:tcPr>
          <w:p>
            <w:pPr>
              <w:spacing w:after="0"/>
              <w:rPr>
                <w:sz w:val="21"/>
                <w:szCs w:val="21"/>
                <w:color w:val="auto"/>
              </w:rPr>
            </w:pPr>
          </w:p>
        </w:tc>
        <w:tc>
          <w:tcPr>
            <w:tcW w:w="30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European Government Bonds</w:t>
            </w:r>
          </w:p>
        </w:tc>
        <w:tc>
          <w:tcPr>
            <w:tcW w:w="30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35,429</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2,161,176</w:t>
            </w:r>
          </w:p>
        </w:tc>
        <w:tc>
          <w:tcPr>
            <w:tcW w:w="100" w:type="dxa"/>
            <w:vAlign w:val="bottom"/>
            <w:tcBorders>
              <w:right w:val="single" w:sz="8" w:color="D5DCE4"/>
            </w:tcBorders>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9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30,515</w:t>
            </w:r>
          </w:p>
        </w:tc>
        <w:tc>
          <w:tcPr>
            <w:tcW w:w="44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1,891,937</w:t>
            </w:r>
          </w:p>
        </w:tc>
        <w:tc>
          <w:tcPr>
            <w:tcW w:w="100" w:type="dxa"/>
            <w:vAlign w:val="bottom"/>
            <w:tcBorders>
              <w:right w:val="single" w:sz="8" w:color="D5DCE4"/>
            </w:tcBorders>
            <w:shd w:val="clear" w:color="auto" w:fill="D5DCE4"/>
          </w:tcPr>
          <w:p>
            <w:pPr>
              <w:spacing w:after="0"/>
              <w:rPr>
                <w:sz w:val="21"/>
                <w:szCs w:val="21"/>
                <w:color w:val="auto"/>
              </w:rPr>
            </w:pPr>
          </w:p>
        </w:tc>
        <w:tc>
          <w:tcPr>
            <w:tcW w:w="12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16.10 %</w:t>
            </w:r>
          </w:p>
        </w:tc>
        <w:tc>
          <w:tcPr>
            <w:tcW w:w="0" w:type="dxa"/>
            <w:vAlign w:val="bottom"/>
          </w:tcPr>
          <w:p>
            <w:pPr>
              <w:spacing w:after="0"/>
              <w:rPr>
                <w:sz w:val="1"/>
                <w:szCs w:val="1"/>
                <w:color w:val="auto"/>
              </w:rPr>
            </w:pPr>
          </w:p>
        </w:tc>
      </w:tr>
      <w:tr>
        <w:trPr>
          <w:trHeight w:val="235"/>
        </w:trPr>
        <w:tc>
          <w:tcPr>
            <w:tcW w:w="1240" w:type="dxa"/>
            <w:vAlign w:val="bottom"/>
          </w:tcPr>
          <w:p>
            <w:pPr>
              <w:spacing w:after="0"/>
              <w:rPr>
                <w:sz w:val="20"/>
                <w:szCs w:val="20"/>
                <w:color w:val="auto"/>
              </w:rPr>
            </w:pPr>
          </w:p>
        </w:tc>
        <w:tc>
          <w:tcPr>
            <w:tcW w:w="304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Mortgages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168,603</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10,453,372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177,443</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11,356,322</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251"/>
        </w:trPr>
        <w:tc>
          <w:tcPr>
            <w:tcW w:w="1240" w:type="dxa"/>
            <w:vAlign w:val="bottom"/>
            <w:tcBorders>
              <w:right w:val="single" w:sz="8" w:color="D5DCE4"/>
            </w:tcBorders>
            <w:shd w:val="clear" w:color="auto" w:fill="D5DCE4"/>
          </w:tcPr>
          <w:p>
            <w:pPr>
              <w:spacing w:after="0"/>
              <w:rPr>
                <w:sz w:val="21"/>
                <w:szCs w:val="21"/>
                <w:color w:val="auto"/>
              </w:rPr>
            </w:pPr>
          </w:p>
        </w:tc>
        <w:tc>
          <w:tcPr>
            <w:tcW w:w="30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Other Government Bonds</w:t>
            </w:r>
          </w:p>
        </w:tc>
        <w:tc>
          <w:tcPr>
            <w:tcW w:w="30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5,384</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330,898</w:t>
            </w:r>
          </w:p>
        </w:tc>
        <w:tc>
          <w:tcPr>
            <w:tcW w:w="100" w:type="dxa"/>
            <w:vAlign w:val="bottom"/>
            <w:tcBorders>
              <w:right w:val="single" w:sz="8" w:color="D5DCE4"/>
            </w:tcBorders>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9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4,135</w:t>
            </w:r>
          </w:p>
        </w:tc>
        <w:tc>
          <w:tcPr>
            <w:tcW w:w="44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256,293</w:t>
            </w:r>
          </w:p>
        </w:tc>
        <w:tc>
          <w:tcPr>
            <w:tcW w:w="100" w:type="dxa"/>
            <w:vAlign w:val="bottom"/>
            <w:tcBorders>
              <w:right w:val="single" w:sz="8" w:color="D5DCE4"/>
            </w:tcBorders>
            <w:shd w:val="clear" w:color="auto" w:fill="D5DCE4"/>
          </w:tcPr>
          <w:p>
            <w:pPr>
              <w:spacing w:after="0"/>
              <w:rPr>
                <w:sz w:val="21"/>
                <w:szCs w:val="21"/>
                <w:color w:val="auto"/>
              </w:rPr>
            </w:pPr>
          </w:p>
        </w:tc>
        <w:tc>
          <w:tcPr>
            <w:tcW w:w="12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30.20 %</w:t>
            </w:r>
          </w:p>
        </w:tc>
        <w:tc>
          <w:tcPr>
            <w:tcW w:w="0" w:type="dxa"/>
            <w:vAlign w:val="bottom"/>
          </w:tcPr>
          <w:p>
            <w:pPr>
              <w:spacing w:after="0"/>
              <w:rPr>
                <w:sz w:val="1"/>
                <w:szCs w:val="1"/>
                <w:color w:val="auto"/>
              </w:rPr>
            </w:pPr>
          </w:p>
        </w:tc>
      </w:tr>
      <w:tr>
        <w:trPr>
          <w:trHeight w:val="239"/>
        </w:trPr>
        <w:tc>
          <w:tcPr>
            <w:tcW w:w="1240" w:type="dxa"/>
            <w:vAlign w:val="bottom"/>
          </w:tcPr>
          <w:p>
            <w:pPr>
              <w:spacing w:after="0"/>
              <w:rPr>
                <w:sz w:val="20"/>
                <w:szCs w:val="20"/>
                <w:color w:val="auto"/>
              </w:rPr>
            </w:pPr>
          </w:p>
        </w:tc>
        <w:tc>
          <w:tcPr>
            <w:tcW w:w="304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367,604</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22,616,945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auto"/>
              </w:rPr>
              <w:t>256,648</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16,209,757</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43.23 %</w:t>
            </w:r>
          </w:p>
        </w:tc>
        <w:tc>
          <w:tcPr>
            <w:tcW w:w="0" w:type="dxa"/>
            <w:vAlign w:val="bottom"/>
          </w:tcPr>
          <w:p>
            <w:pPr>
              <w:spacing w:after="0"/>
              <w:rPr>
                <w:sz w:val="1"/>
                <w:szCs w:val="1"/>
                <w:color w:val="auto"/>
              </w:rPr>
            </w:pPr>
          </w:p>
        </w:tc>
      </w:tr>
      <w:tr>
        <w:trPr>
          <w:trHeight w:val="247"/>
        </w:trPr>
        <w:tc>
          <w:tcPr>
            <w:tcW w:w="1240" w:type="dxa"/>
            <w:vAlign w:val="bottom"/>
            <w:tcBorders>
              <w:right w:val="single" w:sz="8" w:color="D5DCE4"/>
            </w:tcBorders>
            <w:shd w:val="clear" w:color="auto" w:fill="D5DCE4"/>
          </w:tcPr>
          <w:p>
            <w:pPr>
              <w:spacing w:after="0"/>
              <w:rPr>
                <w:sz w:val="21"/>
                <w:szCs w:val="21"/>
                <w:color w:val="auto"/>
              </w:rPr>
            </w:pPr>
          </w:p>
        </w:tc>
        <w:tc>
          <w:tcPr>
            <w:tcW w:w="30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Swaps/Swaptions ≥ 1Y</w:t>
            </w:r>
          </w:p>
        </w:tc>
        <w:tc>
          <w:tcPr>
            <w:tcW w:w="30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221,191</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13,602,492</w:t>
            </w:r>
          </w:p>
        </w:tc>
        <w:tc>
          <w:tcPr>
            <w:tcW w:w="100" w:type="dxa"/>
            <w:vAlign w:val="bottom"/>
            <w:tcBorders>
              <w:right w:val="single" w:sz="8" w:color="D5DCE4"/>
            </w:tcBorders>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9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165,825</w:t>
            </w:r>
          </w:p>
        </w:tc>
        <w:tc>
          <w:tcPr>
            <w:tcW w:w="44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10,441,873</w:t>
            </w:r>
          </w:p>
        </w:tc>
        <w:tc>
          <w:tcPr>
            <w:tcW w:w="100" w:type="dxa"/>
            <w:vAlign w:val="bottom"/>
            <w:tcBorders>
              <w:right w:val="single" w:sz="8" w:color="D5DCE4"/>
            </w:tcBorders>
            <w:shd w:val="clear" w:color="auto" w:fill="D5DCE4"/>
          </w:tcPr>
          <w:p>
            <w:pPr>
              <w:spacing w:after="0"/>
              <w:rPr>
                <w:sz w:val="21"/>
                <w:szCs w:val="21"/>
                <w:color w:val="auto"/>
              </w:rPr>
            </w:pPr>
          </w:p>
        </w:tc>
        <w:tc>
          <w:tcPr>
            <w:tcW w:w="12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33.39 %</w:t>
            </w:r>
          </w:p>
        </w:tc>
        <w:tc>
          <w:tcPr>
            <w:tcW w:w="0" w:type="dxa"/>
            <w:vAlign w:val="bottom"/>
          </w:tcPr>
          <w:p>
            <w:pPr>
              <w:spacing w:after="0"/>
              <w:rPr>
                <w:sz w:val="1"/>
                <w:szCs w:val="1"/>
                <w:color w:val="auto"/>
              </w:rPr>
            </w:pPr>
          </w:p>
        </w:tc>
      </w:tr>
      <w:tr>
        <w:trPr>
          <w:trHeight w:val="235"/>
        </w:trPr>
        <w:tc>
          <w:tcPr>
            <w:tcW w:w="1240" w:type="dxa"/>
            <w:vAlign w:val="bottom"/>
          </w:tcPr>
          <w:p>
            <w:pPr>
              <w:spacing w:after="0"/>
              <w:rPr>
                <w:sz w:val="20"/>
                <w:szCs w:val="20"/>
                <w:color w:val="auto"/>
              </w:rPr>
            </w:pPr>
          </w:p>
        </w:tc>
        <w:tc>
          <w:tcPr>
            <w:tcW w:w="304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Swaps/Swaptions &lt; 1Y</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145,004</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8,927,045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89,975</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5,713,635</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61.16 %</w:t>
            </w:r>
          </w:p>
        </w:tc>
        <w:tc>
          <w:tcPr>
            <w:tcW w:w="0" w:type="dxa"/>
            <w:vAlign w:val="bottom"/>
          </w:tcPr>
          <w:p>
            <w:pPr>
              <w:spacing w:after="0"/>
              <w:rPr>
                <w:sz w:val="1"/>
                <w:szCs w:val="1"/>
                <w:color w:val="auto"/>
              </w:rPr>
            </w:pPr>
          </w:p>
        </w:tc>
      </w:tr>
      <w:tr>
        <w:trPr>
          <w:trHeight w:val="251"/>
        </w:trPr>
        <w:tc>
          <w:tcPr>
            <w:tcW w:w="1240" w:type="dxa"/>
            <w:vAlign w:val="bottom"/>
            <w:tcBorders>
              <w:right w:val="single" w:sz="8" w:color="D5DCE4"/>
            </w:tcBorders>
            <w:shd w:val="clear" w:color="auto" w:fill="D5DCE4"/>
          </w:tcPr>
          <w:p>
            <w:pPr>
              <w:spacing w:after="0"/>
              <w:rPr>
                <w:sz w:val="21"/>
                <w:szCs w:val="21"/>
                <w:color w:val="auto"/>
              </w:rPr>
            </w:pPr>
          </w:p>
        </w:tc>
        <w:tc>
          <w:tcPr>
            <w:tcW w:w="30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Futures</w:t>
            </w:r>
          </w:p>
        </w:tc>
        <w:tc>
          <w:tcPr>
            <w:tcW w:w="30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1,410</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87,408</w:t>
            </w:r>
          </w:p>
        </w:tc>
        <w:tc>
          <w:tcPr>
            <w:tcW w:w="100" w:type="dxa"/>
            <w:vAlign w:val="bottom"/>
            <w:tcBorders>
              <w:right w:val="single" w:sz="8" w:color="D5DCE4"/>
            </w:tcBorders>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9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848</w:t>
            </w:r>
          </w:p>
        </w:tc>
        <w:tc>
          <w:tcPr>
            <w:tcW w:w="44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54,248</w:t>
            </w:r>
          </w:p>
        </w:tc>
        <w:tc>
          <w:tcPr>
            <w:tcW w:w="100" w:type="dxa"/>
            <w:vAlign w:val="bottom"/>
            <w:tcBorders>
              <w:right w:val="single" w:sz="8" w:color="D5DCE4"/>
            </w:tcBorders>
            <w:shd w:val="clear" w:color="auto" w:fill="D5DCE4"/>
          </w:tcPr>
          <w:p>
            <w:pPr>
              <w:spacing w:after="0"/>
              <w:rPr>
                <w:sz w:val="21"/>
                <w:szCs w:val="21"/>
                <w:color w:val="auto"/>
              </w:rPr>
            </w:pPr>
          </w:p>
        </w:tc>
        <w:tc>
          <w:tcPr>
            <w:tcW w:w="12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66.31 %</w:t>
            </w:r>
          </w:p>
        </w:tc>
        <w:tc>
          <w:tcPr>
            <w:tcW w:w="0" w:type="dxa"/>
            <w:vAlign w:val="bottom"/>
          </w:tcPr>
          <w:p>
            <w:pPr>
              <w:spacing w:after="0"/>
              <w:rPr>
                <w:sz w:val="1"/>
                <w:szCs w:val="1"/>
                <w:color w:val="auto"/>
              </w:rPr>
            </w:pPr>
          </w:p>
        </w:tc>
      </w:tr>
      <w:tr>
        <w:trPr>
          <w:trHeight w:val="233"/>
        </w:trPr>
        <w:tc>
          <w:tcPr>
            <w:tcW w:w="1240" w:type="dxa"/>
            <w:vAlign w:val="bottom"/>
            <w:tcBorders>
              <w:bottom w:val="single" w:sz="8" w:color="D5DCE4"/>
            </w:tcBorders>
          </w:tcPr>
          <w:p>
            <w:pPr>
              <w:spacing w:after="0"/>
              <w:rPr>
                <w:sz w:val="20"/>
                <w:szCs w:val="20"/>
                <w:color w:val="auto"/>
              </w:rPr>
            </w:pPr>
          </w:p>
        </w:tc>
        <w:tc>
          <w:tcPr>
            <w:tcW w:w="3040" w:type="dxa"/>
            <w:vAlign w:val="bottom"/>
            <w:tcBorders>
              <w:bottom w:val="single" w:sz="8" w:color="D5DCE4"/>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708,956</w:t>
            </w:r>
          </w:p>
        </w:tc>
        <w:tc>
          <w:tcPr>
            <w:tcW w:w="1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43,742,413</w:t>
            </w:r>
          </w:p>
        </w:tc>
        <w:tc>
          <w:tcPr>
            <w:tcW w:w="100" w:type="dxa"/>
            <w:vAlign w:val="bottom"/>
            <w:tcBorders>
              <w:bottom w:val="single" w:sz="8" w:color="D5DCE4"/>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575,644</w:t>
            </w:r>
          </w:p>
        </w:tc>
        <w:tc>
          <w:tcPr>
            <w:tcW w:w="4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36,556,150</w:t>
            </w:r>
          </w:p>
        </w:tc>
        <w:tc>
          <w:tcPr>
            <w:tcW w:w="100" w:type="dxa"/>
            <w:vAlign w:val="bottom"/>
            <w:tcBorders>
              <w:bottom w:val="single" w:sz="8" w:color="D5DCE4"/>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23.16 %</w:t>
            </w:r>
          </w:p>
        </w:tc>
        <w:tc>
          <w:tcPr>
            <w:tcW w:w="0" w:type="dxa"/>
            <w:vAlign w:val="bottom"/>
          </w:tcPr>
          <w:p>
            <w:pPr>
              <w:spacing w:after="0"/>
              <w:rPr>
                <w:sz w:val="1"/>
                <w:szCs w:val="1"/>
                <w:color w:val="auto"/>
              </w:rPr>
            </w:pPr>
          </w:p>
        </w:tc>
      </w:tr>
      <w:tr>
        <w:trPr>
          <w:trHeight w:val="240"/>
        </w:trPr>
        <w:tc>
          <w:tcPr>
            <w:tcW w:w="1240" w:type="dxa"/>
            <w:vAlign w:val="bottom"/>
            <w:tcBorders>
              <w:right w:val="single" w:sz="8" w:color="D5DCE4"/>
            </w:tcBorders>
            <w:shd w:val="clear" w:color="auto" w:fill="D5DCE4"/>
          </w:tcPr>
          <w:p>
            <w:pPr>
              <w:ind w:left="20"/>
              <w:spacing w:after="0"/>
              <w:rPr>
                <w:sz w:val="20"/>
                <w:szCs w:val="20"/>
                <w:color w:val="auto"/>
              </w:rPr>
            </w:pPr>
            <w:r>
              <w:rPr>
                <w:rFonts w:ascii="Arial" w:cs="Arial" w:eastAsia="Arial" w:hAnsi="Arial"/>
                <w:sz w:val="16"/>
                <w:szCs w:val="16"/>
                <w:b w:val="1"/>
                <w:bCs w:val="1"/>
                <w:color w:val="auto"/>
              </w:rPr>
              <w:t>Credit</w:t>
            </w:r>
          </w:p>
        </w:tc>
        <w:tc>
          <w:tcPr>
            <w:tcW w:w="304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300" w:type="dxa"/>
            <w:vAlign w:val="bottom"/>
            <w:shd w:val="clear" w:color="auto" w:fill="D5DCE4"/>
          </w:tcPr>
          <w:p>
            <w:pPr>
              <w:spacing w:after="0"/>
              <w:rPr>
                <w:sz w:val="20"/>
                <w:szCs w:val="20"/>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10,173</w:t>
            </w:r>
          </w:p>
        </w:tc>
        <w:tc>
          <w:tcPr>
            <w:tcW w:w="160" w:type="dxa"/>
            <w:vAlign w:val="bottom"/>
            <w:shd w:val="clear" w:color="auto" w:fill="D5DCE4"/>
          </w:tcPr>
          <w:p>
            <w:pPr>
              <w:spacing w:after="0"/>
              <w:rPr>
                <w:sz w:val="20"/>
                <w:szCs w:val="20"/>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624,892</w:t>
            </w:r>
          </w:p>
        </w:tc>
        <w:tc>
          <w:tcPr>
            <w:tcW w:w="100" w:type="dxa"/>
            <w:vAlign w:val="bottom"/>
            <w:tcBorders>
              <w:right w:val="single" w:sz="8" w:color="D5DCE4"/>
            </w:tcBorders>
            <w:shd w:val="clear" w:color="auto" w:fill="D5DCE4"/>
          </w:tcPr>
          <w:p>
            <w:pPr>
              <w:spacing w:after="0"/>
              <w:rPr>
                <w:sz w:val="20"/>
                <w:szCs w:val="20"/>
                <w:color w:val="auto"/>
              </w:rPr>
            </w:pPr>
          </w:p>
        </w:tc>
        <w:tc>
          <w:tcPr>
            <w:tcW w:w="400" w:type="dxa"/>
            <w:vAlign w:val="bottom"/>
            <w:shd w:val="clear" w:color="auto" w:fill="D5DCE4"/>
          </w:tcPr>
          <w:p>
            <w:pPr>
              <w:spacing w:after="0"/>
              <w:rPr>
                <w:sz w:val="20"/>
                <w:szCs w:val="20"/>
                <w:color w:val="auto"/>
              </w:rPr>
            </w:pPr>
          </w:p>
        </w:tc>
        <w:tc>
          <w:tcPr>
            <w:tcW w:w="9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9,519</w:t>
            </w:r>
          </w:p>
        </w:tc>
        <w:tc>
          <w:tcPr>
            <w:tcW w:w="440" w:type="dxa"/>
            <w:vAlign w:val="bottom"/>
            <w:shd w:val="clear" w:color="auto" w:fill="D5DCE4"/>
          </w:tcPr>
          <w:p>
            <w:pPr>
              <w:spacing w:after="0"/>
              <w:rPr>
                <w:sz w:val="20"/>
                <w:szCs w:val="20"/>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599,766</w:t>
            </w:r>
          </w:p>
        </w:tc>
        <w:tc>
          <w:tcPr>
            <w:tcW w:w="100" w:type="dxa"/>
            <w:vAlign w:val="bottom"/>
            <w:tcBorders>
              <w:right w:val="single" w:sz="8" w:color="D5DCE4"/>
            </w:tcBorders>
            <w:shd w:val="clear" w:color="auto" w:fill="D5DCE4"/>
          </w:tcPr>
          <w:p>
            <w:pPr>
              <w:spacing w:after="0"/>
              <w:rPr>
                <w:sz w:val="20"/>
                <w:szCs w:val="20"/>
                <w:color w:val="auto"/>
              </w:rPr>
            </w:pPr>
          </w:p>
        </w:tc>
        <w:tc>
          <w:tcPr>
            <w:tcW w:w="12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6.87 %</w:t>
            </w:r>
          </w:p>
        </w:tc>
        <w:tc>
          <w:tcPr>
            <w:tcW w:w="0" w:type="dxa"/>
            <w:vAlign w:val="bottom"/>
          </w:tcPr>
          <w:p>
            <w:pPr>
              <w:spacing w:after="0"/>
              <w:rPr>
                <w:sz w:val="1"/>
                <w:szCs w:val="1"/>
                <w:color w:val="auto"/>
              </w:rPr>
            </w:pPr>
          </w:p>
        </w:tc>
      </w:tr>
      <w:tr>
        <w:trPr>
          <w:trHeight w:val="235"/>
        </w:trPr>
        <w:tc>
          <w:tcPr>
            <w:tcW w:w="1240" w:type="dxa"/>
            <w:vAlign w:val="bottom"/>
          </w:tcPr>
          <w:p>
            <w:pPr>
              <w:spacing w:after="0"/>
              <w:rPr>
                <w:sz w:val="20"/>
                <w:szCs w:val="20"/>
                <w:color w:val="auto"/>
              </w:rPr>
            </w:pPr>
          </w:p>
        </w:tc>
        <w:tc>
          <w:tcPr>
            <w:tcW w:w="304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U.S. High Grade - Fully Electronic</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3,256</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201,877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2,857</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182,873</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13.95 %</w:t>
            </w:r>
          </w:p>
        </w:tc>
        <w:tc>
          <w:tcPr>
            <w:tcW w:w="0" w:type="dxa"/>
            <w:vAlign w:val="bottom"/>
          </w:tcPr>
          <w:p>
            <w:pPr>
              <w:spacing w:after="0"/>
              <w:rPr>
                <w:sz w:val="1"/>
                <w:szCs w:val="1"/>
                <w:color w:val="auto"/>
              </w:rPr>
            </w:pPr>
          </w:p>
        </w:tc>
      </w:tr>
      <w:tr>
        <w:trPr>
          <w:trHeight w:val="212"/>
        </w:trPr>
        <w:tc>
          <w:tcPr>
            <w:tcW w:w="1240" w:type="dxa"/>
            <w:vAlign w:val="bottom"/>
            <w:tcBorders>
              <w:right w:val="single" w:sz="8" w:color="D5DCE4"/>
            </w:tcBorders>
            <w:shd w:val="clear" w:color="auto" w:fill="D5DCE4"/>
          </w:tcPr>
          <w:p>
            <w:pPr>
              <w:spacing w:after="0"/>
              <w:rPr>
                <w:sz w:val="18"/>
                <w:szCs w:val="18"/>
                <w:color w:val="auto"/>
              </w:rPr>
            </w:pPr>
          </w:p>
        </w:tc>
        <w:tc>
          <w:tcPr>
            <w:tcW w:w="30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U.S. High Grade - Electronically</w:t>
            </w:r>
          </w:p>
        </w:tc>
        <w:tc>
          <w:tcPr>
            <w:tcW w:w="300" w:type="dxa"/>
            <w:vAlign w:val="bottom"/>
            <w:shd w:val="clear" w:color="auto" w:fill="D5DCE4"/>
          </w:tcPr>
          <w:p>
            <w:pPr>
              <w:spacing w:after="0"/>
              <w:rPr>
                <w:sz w:val="18"/>
                <w:szCs w:val="18"/>
                <w:color w:val="auto"/>
              </w:rPr>
            </w:pPr>
          </w:p>
        </w:tc>
        <w:tc>
          <w:tcPr>
            <w:tcW w:w="1020" w:type="dxa"/>
            <w:vAlign w:val="bottom"/>
            <w:tcBorders>
              <w:right w:val="single" w:sz="8" w:color="D5DCE4"/>
            </w:tcBorders>
            <w:vMerge w:val="restart"/>
            <w:shd w:val="clear" w:color="auto" w:fill="D5DCE4"/>
          </w:tcPr>
          <w:p>
            <w:pPr>
              <w:jc w:val="right"/>
              <w:spacing w:after="0"/>
              <w:rPr>
                <w:sz w:val="20"/>
                <w:szCs w:val="20"/>
                <w:color w:val="auto"/>
              </w:rPr>
            </w:pPr>
            <w:r>
              <w:rPr>
                <w:rFonts w:ascii="Arial" w:cs="Arial" w:eastAsia="Arial" w:hAnsi="Arial"/>
                <w:sz w:val="16"/>
                <w:szCs w:val="16"/>
                <w:color w:val="auto"/>
              </w:rPr>
              <w:t>2,652</w:t>
            </w:r>
          </w:p>
        </w:tc>
        <w:tc>
          <w:tcPr>
            <w:tcW w:w="160" w:type="dxa"/>
            <w:vAlign w:val="bottom"/>
            <w:shd w:val="clear" w:color="auto" w:fill="D5DCE4"/>
          </w:tcPr>
          <w:p>
            <w:pPr>
              <w:spacing w:after="0"/>
              <w:rPr>
                <w:sz w:val="18"/>
                <w:szCs w:val="18"/>
                <w:color w:val="auto"/>
              </w:rPr>
            </w:pPr>
          </w:p>
        </w:tc>
        <w:tc>
          <w:tcPr>
            <w:tcW w:w="126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164,397</w:t>
            </w:r>
          </w:p>
        </w:tc>
        <w:tc>
          <w:tcPr>
            <w:tcW w:w="100" w:type="dxa"/>
            <w:vAlign w:val="bottom"/>
            <w:tcBorders>
              <w:right w:val="single" w:sz="8" w:color="D5DCE4"/>
            </w:tcBorders>
            <w:shd w:val="clear" w:color="auto" w:fill="D5DCE4"/>
          </w:tcPr>
          <w:p>
            <w:pPr>
              <w:spacing w:after="0"/>
              <w:rPr>
                <w:sz w:val="18"/>
                <w:szCs w:val="18"/>
                <w:color w:val="auto"/>
              </w:rPr>
            </w:pPr>
          </w:p>
        </w:tc>
        <w:tc>
          <w:tcPr>
            <w:tcW w:w="400" w:type="dxa"/>
            <w:vAlign w:val="bottom"/>
            <w:shd w:val="clear" w:color="auto" w:fill="D5DCE4"/>
          </w:tcPr>
          <w:p>
            <w:pPr>
              <w:spacing w:after="0"/>
              <w:rPr>
                <w:sz w:val="18"/>
                <w:szCs w:val="18"/>
                <w:color w:val="auto"/>
              </w:rPr>
            </w:pPr>
          </w:p>
        </w:tc>
        <w:tc>
          <w:tcPr>
            <w:tcW w:w="960" w:type="dxa"/>
            <w:vAlign w:val="bottom"/>
            <w:tcBorders>
              <w:right w:val="single" w:sz="8" w:color="D5DCE4"/>
            </w:tcBorders>
            <w:vMerge w:val="restart"/>
            <w:shd w:val="clear" w:color="auto" w:fill="D5DCE4"/>
          </w:tcPr>
          <w:p>
            <w:pPr>
              <w:jc w:val="right"/>
              <w:ind w:right="19"/>
              <w:spacing w:after="0"/>
              <w:rPr>
                <w:sz w:val="20"/>
                <w:szCs w:val="20"/>
                <w:color w:val="auto"/>
              </w:rPr>
            </w:pPr>
            <w:r>
              <w:rPr>
                <w:rFonts w:ascii="Arial" w:cs="Arial" w:eastAsia="Arial" w:hAnsi="Arial"/>
                <w:sz w:val="16"/>
                <w:szCs w:val="16"/>
                <w:color w:val="auto"/>
              </w:rPr>
              <w:t>2,231</w:t>
            </w:r>
          </w:p>
        </w:tc>
        <w:tc>
          <w:tcPr>
            <w:tcW w:w="440" w:type="dxa"/>
            <w:vAlign w:val="bottom"/>
            <w:shd w:val="clear" w:color="auto" w:fill="D5DCE4"/>
          </w:tcPr>
          <w:p>
            <w:pPr>
              <w:spacing w:after="0"/>
              <w:rPr>
                <w:sz w:val="18"/>
                <w:szCs w:val="18"/>
                <w:color w:val="auto"/>
              </w:rPr>
            </w:pPr>
          </w:p>
        </w:tc>
        <w:tc>
          <w:tcPr>
            <w:tcW w:w="100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142,770</w:t>
            </w:r>
          </w:p>
        </w:tc>
        <w:tc>
          <w:tcPr>
            <w:tcW w:w="100" w:type="dxa"/>
            <w:vAlign w:val="bottom"/>
            <w:tcBorders>
              <w:right w:val="single" w:sz="8" w:color="D5DCE4"/>
            </w:tcBorders>
            <w:shd w:val="clear" w:color="auto" w:fill="D5DCE4"/>
          </w:tcPr>
          <w:p>
            <w:pPr>
              <w:spacing w:after="0"/>
              <w:rPr>
                <w:sz w:val="18"/>
                <w:szCs w:val="18"/>
                <w:color w:val="auto"/>
              </w:rPr>
            </w:pPr>
          </w:p>
        </w:tc>
        <w:tc>
          <w:tcPr>
            <w:tcW w:w="1240" w:type="dxa"/>
            <w:vAlign w:val="bottom"/>
            <w:tcBorders>
              <w:right w:val="single" w:sz="8" w:color="D5DCE4"/>
            </w:tcBorders>
            <w:vMerge w:val="restart"/>
            <w:shd w:val="clear" w:color="auto" w:fill="D5DCE4"/>
          </w:tcPr>
          <w:p>
            <w:pPr>
              <w:jc w:val="right"/>
              <w:spacing w:after="0"/>
              <w:rPr>
                <w:sz w:val="20"/>
                <w:szCs w:val="20"/>
                <w:color w:val="auto"/>
              </w:rPr>
            </w:pPr>
            <w:r>
              <w:rPr>
                <w:rFonts w:ascii="Arial" w:cs="Arial" w:eastAsia="Arial" w:hAnsi="Arial"/>
                <w:sz w:val="16"/>
                <w:szCs w:val="16"/>
                <w:color w:val="auto"/>
              </w:rPr>
              <w:t>18.86 %</w:t>
            </w:r>
          </w:p>
        </w:tc>
        <w:tc>
          <w:tcPr>
            <w:tcW w:w="0" w:type="dxa"/>
            <w:vAlign w:val="bottom"/>
          </w:tcPr>
          <w:p>
            <w:pPr>
              <w:spacing w:after="0"/>
              <w:rPr>
                <w:sz w:val="1"/>
                <w:szCs w:val="1"/>
                <w:color w:val="auto"/>
              </w:rPr>
            </w:pPr>
          </w:p>
        </w:tc>
      </w:tr>
      <w:tr>
        <w:trPr>
          <w:trHeight w:val="118"/>
        </w:trPr>
        <w:tc>
          <w:tcPr>
            <w:tcW w:w="1240" w:type="dxa"/>
            <w:vAlign w:val="bottom"/>
            <w:tcBorders>
              <w:right w:val="single" w:sz="8" w:color="D5DCE4"/>
            </w:tcBorders>
            <w:shd w:val="clear" w:color="auto" w:fill="D5DCE4"/>
          </w:tcPr>
          <w:p>
            <w:pPr>
              <w:spacing w:after="0"/>
              <w:rPr>
                <w:sz w:val="10"/>
                <w:szCs w:val="10"/>
                <w:color w:val="auto"/>
              </w:rPr>
            </w:pPr>
          </w:p>
        </w:tc>
        <w:tc>
          <w:tcPr>
            <w:tcW w:w="3040" w:type="dxa"/>
            <w:vAlign w:val="bottom"/>
            <w:tcBorders>
              <w:right w:val="single" w:sz="8" w:color="D5DCE4"/>
            </w:tcBorders>
            <w:gridSpan w:val="2"/>
            <w:vMerge w:val="restart"/>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Processed</w:t>
            </w:r>
          </w:p>
        </w:tc>
        <w:tc>
          <w:tcPr>
            <w:tcW w:w="300" w:type="dxa"/>
            <w:vAlign w:val="bottom"/>
            <w:shd w:val="clear" w:color="auto" w:fill="D5DCE4"/>
          </w:tcPr>
          <w:p>
            <w:pPr>
              <w:spacing w:after="0"/>
              <w:rPr>
                <w:sz w:val="10"/>
                <w:szCs w:val="10"/>
                <w:color w:val="auto"/>
              </w:rPr>
            </w:pPr>
          </w:p>
        </w:tc>
        <w:tc>
          <w:tcPr>
            <w:tcW w:w="1020" w:type="dxa"/>
            <w:vAlign w:val="bottom"/>
            <w:tcBorders>
              <w:right w:val="single" w:sz="8" w:color="D5DCE4"/>
            </w:tcBorders>
            <w:vMerge w:val="continue"/>
            <w:shd w:val="clear" w:color="auto" w:fill="D5DCE4"/>
          </w:tcPr>
          <w:p>
            <w:pPr>
              <w:spacing w:after="0"/>
              <w:rPr>
                <w:sz w:val="10"/>
                <w:szCs w:val="10"/>
                <w:color w:val="auto"/>
              </w:rPr>
            </w:pPr>
          </w:p>
        </w:tc>
        <w:tc>
          <w:tcPr>
            <w:tcW w:w="160" w:type="dxa"/>
            <w:vAlign w:val="bottom"/>
            <w:shd w:val="clear" w:color="auto" w:fill="D5DCE4"/>
          </w:tcPr>
          <w:p>
            <w:pPr>
              <w:spacing w:after="0"/>
              <w:rPr>
                <w:sz w:val="10"/>
                <w:szCs w:val="10"/>
                <w:color w:val="auto"/>
              </w:rPr>
            </w:pPr>
          </w:p>
        </w:tc>
        <w:tc>
          <w:tcPr>
            <w:tcW w:w="1260" w:type="dxa"/>
            <w:vAlign w:val="bottom"/>
            <w:vMerge w:val="continue"/>
            <w:shd w:val="clear" w:color="auto" w:fill="D5DCE4"/>
          </w:tcPr>
          <w:p>
            <w:pPr>
              <w:spacing w:after="0"/>
              <w:rPr>
                <w:sz w:val="10"/>
                <w:szCs w:val="10"/>
                <w:color w:val="auto"/>
              </w:rPr>
            </w:pPr>
          </w:p>
        </w:tc>
        <w:tc>
          <w:tcPr>
            <w:tcW w:w="100" w:type="dxa"/>
            <w:vAlign w:val="bottom"/>
            <w:tcBorders>
              <w:right w:val="single" w:sz="8" w:color="D5DCE4"/>
            </w:tcBorders>
            <w:shd w:val="clear" w:color="auto" w:fill="D5DCE4"/>
          </w:tcPr>
          <w:p>
            <w:pPr>
              <w:spacing w:after="0"/>
              <w:rPr>
                <w:sz w:val="10"/>
                <w:szCs w:val="10"/>
                <w:color w:val="auto"/>
              </w:rPr>
            </w:pPr>
          </w:p>
        </w:tc>
        <w:tc>
          <w:tcPr>
            <w:tcW w:w="400" w:type="dxa"/>
            <w:vAlign w:val="bottom"/>
            <w:shd w:val="clear" w:color="auto" w:fill="D5DCE4"/>
          </w:tcPr>
          <w:p>
            <w:pPr>
              <w:spacing w:after="0"/>
              <w:rPr>
                <w:sz w:val="10"/>
                <w:szCs w:val="10"/>
                <w:color w:val="auto"/>
              </w:rPr>
            </w:pPr>
          </w:p>
        </w:tc>
        <w:tc>
          <w:tcPr>
            <w:tcW w:w="960" w:type="dxa"/>
            <w:vAlign w:val="bottom"/>
            <w:tcBorders>
              <w:right w:val="single" w:sz="8" w:color="D5DCE4"/>
            </w:tcBorders>
            <w:vMerge w:val="continue"/>
            <w:shd w:val="clear" w:color="auto" w:fill="D5DCE4"/>
          </w:tcPr>
          <w:p>
            <w:pPr>
              <w:spacing w:after="0"/>
              <w:rPr>
                <w:sz w:val="10"/>
                <w:szCs w:val="10"/>
                <w:color w:val="auto"/>
              </w:rPr>
            </w:pPr>
          </w:p>
        </w:tc>
        <w:tc>
          <w:tcPr>
            <w:tcW w:w="440" w:type="dxa"/>
            <w:vAlign w:val="bottom"/>
            <w:shd w:val="clear" w:color="auto" w:fill="D5DCE4"/>
          </w:tcPr>
          <w:p>
            <w:pPr>
              <w:spacing w:after="0"/>
              <w:rPr>
                <w:sz w:val="10"/>
                <w:szCs w:val="10"/>
                <w:color w:val="auto"/>
              </w:rPr>
            </w:pPr>
          </w:p>
        </w:tc>
        <w:tc>
          <w:tcPr>
            <w:tcW w:w="1000" w:type="dxa"/>
            <w:vAlign w:val="bottom"/>
            <w:vMerge w:val="continue"/>
            <w:shd w:val="clear" w:color="auto" w:fill="D5DCE4"/>
          </w:tcPr>
          <w:p>
            <w:pPr>
              <w:spacing w:after="0"/>
              <w:rPr>
                <w:sz w:val="10"/>
                <w:szCs w:val="10"/>
                <w:color w:val="auto"/>
              </w:rPr>
            </w:pPr>
          </w:p>
        </w:tc>
        <w:tc>
          <w:tcPr>
            <w:tcW w:w="100" w:type="dxa"/>
            <w:vAlign w:val="bottom"/>
            <w:tcBorders>
              <w:right w:val="single" w:sz="8" w:color="D5DCE4"/>
            </w:tcBorders>
            <w:shd w:val="clear" w:color="auto" w:fill="D5DCE4"/>
          </w:tcPr>
          <w:p>
            <w:pPr>
              <w:spacing w:after="0"/>
              <w:rPr>
                <w:sz w:val="10"/>
                <w:szCs w:val="10"/>
                <w:color w:val="auto"/>
              </w:rPr>
            </w:pPr>
          </w:p>
        </w:tc>
        <w:tc>
          <w:tcPr>
            <w:tcW w:w="1240" w:type="dxa"/>
            <w:vAlign w:val="bottom"/>
            <w:tcBorders>
              <w:right w:val="single" w:sz="8" w:color="D5DCE4"/>
            </w:tcBorders>
            <w:vMerge w:val="continue"/>
            <w:shd w:val="clear" w:color="auto" w:fill="D5DCE4"/>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240" w:type="dxa"/>
            <w:vAlign w:val="bottom"/>
            <w:tcBorders>
              <w:bottom w:val="single" w:sz="8" w:color="D5DCE4"/>
              <w:right w:val="single" w:sz="8" w:color="D5DCE4"/>
            </w:tcBorders>
            <w:shd w:val="clear" w:color="auto" w:fill="D5DCE4"/>
          </w:tcPr>
          <w:p>
            <w:pPr>
              <w:spacing w:after="0"/>
              <w:rPr>
                <w:sz w:val="9"/>
                <w:szCs w:val="9"/>
                <w:color w:val="auto"/>
              </w:rPr>
            </w:pPr>
          </w:p>
        </w:tc>
        <w:tc>
          <w:tcPr>
            <w:tcW w:w="3040" w:type="dxa"/>
            <w:vAlign w:val="bottom"/>
            <w:tcBorders>
              <w:bottom w:val="single" w:sz="8" w:color="D5DCE4"/>
              <w:right w:val="single" w:sz="8" w:color="D5DCE4"/>
            </w:tcBorders>
            <w:gridSpan w:val="2"/>
            <w:vMerge w:val="continue"/>
            <w:shd w:val="clear" w:color="auto" w:fill="D5DCE4"/>
          </w:tcPr>
          <w:p>
            <w:pPr>
              <w:spacing w:after="0"/>
              <w:rPr>
                <w:sz w:val="9"/>
                <w:szCs w:val="9"/>
                <w:color w:val="auto"/>
              </w:rPr>
            </w:pPr>
          </w:p>
        </w:tc>
        <w:tc>
          <w:tcPr>
            <w:tcW w:w="300" w:type="dxa"/>
            <w:vAlign w:val="bottom"/>
            <w:tcBorders>
              <w:bottom w:val="single" w:sz="8" w:color="D5DCE4"/>
            </w:tcBorders>
            <w:shd w:val="clear" w:color="auto" w:fill="D5DCE4"/>
          </w:tcPr>
          <w:p>
            <w:pPr>
              <w:spacing w:after="0"/>
              <w:rPr>
                <w:sz w:val="9"/>
                <w:szCs w:val="9"/>
                <w:color w:val="auto"/>
              </w:rPr>
            </w:pPr>
          </w:p>
        </w:tc>
        <w:tc>
          <w:tcPr>
            <w:tcW w:w="1020" w:type="dxa"/>
            <w:vAlign w:val="bottom"/>
            <w:tcBorders>
              <w:bottom w:val="single" w:sz="8" w:color="D5DCE4"/>
              <w:right w:val="single" w:sz="8" w:color="D5DCE4"/>
            </w:tcBorders>
            <w:shd w:val="clear" w:color="auto" w:fill="D5DCE4"/>
          </w:tcPr>
          <w:p>
            <w:pPr>
              <w:spacing w:after="0"/>
              <w:rPr>
                <w:sz w:val="9"/>
                <w:szCs w:val="9"/>
                <w:color w:val="auto"/>
              </w:rPr>
            </w:pPr>
          </w:p>
        </w:tc>
        <w:tc>
          <w:tcPr>
            <w:tcW w:w="160" w:type="dxa"/>
            <w:vAlign w:val="bottom"/>
            <w:tcBorders>
              <w:bottom w:val="single" w:sz="8" w:color="D5DCE4"/>
            </w:tcBorders>
            <w:shd w:val="clear" w:color="auto" w:fill="D5DCE4"/>
          </w:tcPr>
          <w:p>
            <w:pPr>
              <w:spacing w:after="0"/>
              <w:rPr>
                <w:sz w:val="9"/>
                <w:szCs w:val="9"/>
                <w:color w:val="auto"/>
              </w:rPr>
            </w:pPr>
          </w:p>
        </w:tc>
        <w:tc>
          <w:tcPr>
            <w:tcW w:w="1260" w:type="dxa"/>
            <w:vAlign w:val="bottom"/>
            <w:tcBorders>
              <w:bottom w:val="single" w:sz="8" w:color="D5DCE4"/>
            </w:tcBorders>
            <w:shd w:val="clear" w:color="auto" w:fill="D5DCE4"/>
          </w:tcPr>
          <w:p>
            <w:pPr>
              <w:spacing w:after="0"/>
              <w:rPr>
                <w:sz w:val="9"/>
                <w:szCs w:val="9"/>
                <w:color w:val="auto"/>
              </w:rPr>
            </w:pPr>
          </w:p>
        </w:tc>
        <w:tc>
          <w:tcPr>
            <w:tcW w:w="100" w:type="dxa"/>
            <w:vAlign w:val="bottom"/>
            <w:tcBorders>
              <w:bottom w:val="single" w:sz="8" w:color="D5DCE4"/>
              <w:right w:val="single" w:sz="8" w:color="D5DCE4"/>
            </w:tcBorders>
            <w:shd w:val="clear" w:color="auto" w:fill="D5DCE4"/>
          </w:tcPr>
          <w:p>
            <w:pPr>
              <w:spacing w:after="0"/>
              <w:rPr>
                <w:sz w:val="9"/>
                <w:szCs w:val="9"/>
                <w:color w:val="auto"/>
              </w:rPr>
            </w:pPr>
          </w:p>
        </w:tc>
        <w:tc>
          <w:tcPr>
            <w:tcW w:w="400" w:type="dxa"/>
            <w:vAlign w:val="bottom"/>
            <w:tcBorders>
              <w:bottom w:val="single" w:sz="8" w:color="D5DCE4"/>
            </w:tcBorders>
            <w:shd w:val="clear" w:color="auto" w:fill="D5DCE4"/>
          </w:tcPr>
          <w:p>
            <w:pPr>
              <w:spacing w:after="0"/>
              <w:rPr>
                <w:sz w:val="9"/>
                <w:szCs w:val="9"/>
                <w:color w:val="auto"/>
              </w:rPr>
            </w:pPr>
          </w:p>
        </w:tc>
        <w:tc>
          <w:tcPr>
            <w:tcW w:w="960" w:type="dxa"/>
            <w:vAlign w:val="bottom"/>
            <w:tcBorders>
              <w:bottom w:val="single" w:sz="8" w:color="D5DCE4"/>
              <w:right w:val="single" w:sz="8" w:color="D5DCE4"/>
            </w:tcBorders>
            <w:shd w:val="clear" w:color="auto" w:fill="D5DCE4"/>
          </w:tcPr>
          <w:p>
            <w:pPr>
              <w:spacing w:after="0"/>
              <w:rPr>
                <w:sz w:val="9"/>
                <w:szCs w:val="9"/>
                <w:color w:val="auto"/>
              </w:rPr>
            </w:pPr>
          </w:p>
        </w:tc>
        <w:tc>
          <w:tcPr>
            <w:tcW w:w="440" w:type="dxa"/>
            <w:vAlign w:val="bottom"/>
            <w:tcBorders>
              <w:bottom w:val="single" w:sz="8" w:color="D5DCE4"/>
            </w:tcBorders>
            <w:shd w:val="clear" w:color="auto" w:fill="D5DCE4"/>
          </w:tcPr>
          <w:p>
            <w:pPr>
              <w:spacing w:after="0"/>
              <w:rPr>
                <w:sz w:val="9"/>
                <w:szCs w:val="9"/>
                <w:color w:val="auto"/>
              </w:rPr>
            </w:pPr>
          </w:p>
        </w:tc>
        <w:tc>
          <w:tcPr>
            <w:tcW w:w="1000" w:type="dxa"/>
            <w:vAlign w:val="bottom"/>
            <w:tcBorders>
              <w:bottom w:val="single" w:sz="8" w:color="D5DCE4"/>
            </w:tcBorders>
            <w:shd w:val="clear" w:color="auto" w:fill="D5DCE4"/>
          </w:tcPr>
          <w:p>
            <w:pPr>
              <w:spacing w:after="0"/>
              <w:rPr>
                <w:sz w:val="9"/>
                <w:szCs w:val="9"/>
                <w:color w:val="auto"/>
              </w:rPr>
            </w:pPr>
          </w:p>
        </w:tc>
        <w:tc>
          <w:tcPr>
            <w:tcW w:w="100" w:type="dxa"/>
            <w:vAlign w:val="bottom"/>
            <w:tcBorders>
              <w:bottom w:val="single" w:sz="8" w:color="D5DCE4"/>
              <w:right w:val="single" w:sz="8" w:color="D5DCE4"/>
            </w:tcBorders>
            <w:shd w:val="clear" w:color="auto" w:fill="D5DCE4"/>
          </w:tcPr>
          <w:p>
            <w:pPr>
              <w:spacing w:after="0"/>
              <w:rPr>
                <w:sz w:val="9"/>
                <w:szCs w:val="9"/>
                <w:color w:val="auto"/>
              </w:rPr>
            </w:pPr>
          </w:p>
        </w:tc>
        <w:tc>
          <w:tcPr>
            <w:tcW w:w="1240" w:type="dxa"/>
            <w:vAlign w:val="bottom"/>
            <w:tcBorders>
              <w:bottom w:val="single" w:sz="8" w:color="D5DCE4"/>
              <w:right w:val="single" w:sz="8" w:color="D5DCE4"/>
            </w:tcBorders>
            <w:shd w:val="clear" w:color="auto" w:fill="D5DCE4"/>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240" w:type="dxa"/>
            <w:vAlign w:val="bottom"/>
          </w:tcPr>
          <w:p>
            <w:pPr>
              <w:spacing w:after="0"/>
              <w:rPr>
                <w:sz w:val="20"/>
                <w:szCs w:val="20"/>
                <w:color w:val="auto"/>
              </w:rPr>
            </w:pPr>
          </w:p>
        </w:tc>
        <w:tc>
          <w:tcPr>
            <w:tcW w:w="304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U.S. High Yield - Fully Electronic</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653</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40,488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477</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30,506</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37.00 %</w:t>
            </w:r>
          </w:p>
        </w:tc>
        <w:tc>
          <w:tcPr>
            <w:tcW w:w="0" w:type="dxa"/>
            <w:vAlign w:val="bottom"/>
          </w:tcPr>
          <w:p>
            <w:pPr>
              <w:spacing w:after="0"/>
              <w:rPr>
                <w:sz w:val="1"/>
                <w:szCs w:val="1"/>
                <w:color w:val="auto"/>
              </w:rPr>
            </w:pPr>
          </w:p>
        </w:tc>
      </w:tr>
      <w:tr>
        <w:trPr>
          <w:trHeight w:val="212"/>
        </w:trPr>
        <w:tc>
          <w:tcPr>
            <w:tcW w:w="1240" w:type="dxa"/>
            <w:vAlign w:val="bottom"/>
            <w:tcBorders>
              <w:right w:val="single" w:sz="8" w:color="D5DCE4"/>
            </w:tcBorders>
            <w:shd w:val="clear" w:color="auto" w:fill="D5DCE4"/>
          </w:tcPr>
          <w:p>
            <w:pPr>
              <w:spacing w:after="0"/>
              <w:rPr>
                <w:sz w:val="18"/>
                <w:szCs w:val="18"/>
                <w:color w:val="auto"/>
              </w:rPr>
            </w:pPr>
          </w:p>
        </w:tc>
        <w:tc>
          <w:tcPr>
            <w:tcW w:w="30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U.S. High Yield - Electronically</w:t>
            </w:r>
          </w:p>
        </w:tc>
        <w:tc>
          <w:tcPr>
            <w:tcW w:w="300" w:type="dxa"/>
            <w:vAlign w:val="bottom"/>
            <w:shd w:val="clear" w:color="auto" w:fill="D5DCE4"/>
          </w:tcPr>
          <w:p>
            <w:pPr>
              <w:spacing w:after="0"/>
              <w:rPr>
                <w:sz w:val="18"/>
                <w:szCs w:val="18"/>
                <w:color w:val="auto"/>
              </w:rPr>
            </w:pPr>
          </w:p>
        </w:tc>
        <w:tc>
          <w:tcPr>
            <w:tcW w:w="1020" w:type="dxa"/>
            <w:vAlign w:val="bottom"/>
            <w:tcBorders>
              <w:right w:val="single" w:sz="8" w:color="D5DCE4"/>
            </w:tcBorders>
            <w:vMerge w:val="restart"/>
            <w:shd w:val="clear" w:color="auto" w:fill="D5DCE4"/>
          </w:tcPr>
          <w:p>
            <w:pPr>
              <w:jc w:val="right"/>
              <w:spacing w:after="0"/>
              <w:rPr>
                <w:sz w:val="20"/>
                <w:szCs w:val="20"/>
                <w:color w:val="auto"/>
              </w:rPr>
            </w:pPr>
            <w:r>
              <w:rPr>
                <w:rFonts w:ascii="Arial" w:cs="Arial" w:eastAsia="Arial" w:hAnsi="Arial"/>
                <w:sz w:val="16"/>
                <w:szCs w:val="16"/>
                <w:color w:val="auto"/>
              </w:rPr>
              <w:t>353</w:t>
            </w:r>
          </w:p>
        </w:tc>
        <w:tc>
          <w:tcPr>
            <w:tcW w:w="160" w:type="dxa"/>
            <w:vAlign w:val="bottom"/>
            <w:shd w:val="clear" w:color="auto" w:fill="D5DCE4"/>
          </w:tcPr>
          <w:p>
            <w:pPr>
              <w:spacing w:after="0"/>
              <w:rPr>
                <w:sz w:val="18"/>
                <w:szCs w:val="18"/>
                <w:color w:val="auto"/>
              </w:rPr>
            </w:pPr>
          </w:p>
        </w:tc>
        <w:tc>
          <w:tcPr>
            <w:tcW w:w="126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21,910</w:t>
            </w:r>
          </w:p>
        </w:tc>
        <w:tc>
          <w:tcPr>
            <w:tcW w:w="100" w:type="dxa"/>
            <w:vAlign w:val="bottom"/>
            <w:tcBorders>
              <w:right w:val="single" w:sz="8" w:color="D5DCE4"/>
            </w:tcBorders>
            <w:shd w:val="clear" w:color="auto" w:fill="D5DCE4"/>
          </w:tcPr>
          <w:p>
            <w:pPr>
              <w:spacing w:after="0"/>
              <w:rPr>
                <w:sz w:val="18"/>
                <w:szCs w:val="18"/>
                <w:color w:val="auto"/>
              </w:rPr>
            </w:pPr>
          </w:p>
        </w:tc>
        <w:tc>
          <w:tcPr>
            <w:tcW w:w="400" w:type="dxa"/>
            <w:vAlign w:val="bottom"/>
            <w:shd w:val="clear" w:color="auto" w:fill="D5DCE4"/>
          </w:tcPr>
          <w:p>
            <w:pPr>
              <w:spacing w:after="0"/>
              <w:rPr>
                <w:sz w:val="18"/>
                <w:szCs w:val="18"/>
                <w:color w:val="auto"/>
              </w:rPr>
            </w:pPr>
          </w:p>
        </w:tc>
        <w:tc>
          <w:tcPr>
            <w:tcW w:w="960" w:type="dxa"/>
            <w:vAlign w:val="bottom"/>
            <w:tcBorders>
              <w:right w:val="single" w:sz="8" w:color="D5DCE4"/>
            </w:tcBorders>
            <w:vMerge w:val="restart"/>
            <w:shd w:val="clear" w:color="auto" w:fill="D5DCE4"/>
          </w:tcPr>
          <w:p>
            <w:pPr>
              <w:jc w:val="right"/>
              <w:ind w:right="19"/>
              <w:spacing w:after="0"/>
              <w:rPr>
                <w:sz w:val="20"/>
                <w:szCs w:val="20"/>
                <w:color w:val="auto"/>
              </w:rPr>
            </w:pPr>
            <w:r>
              <w:rPr>
                <w:rFonts w:ascii="Arial" w:cs="Arial" w:eastAsia="Arial" w:hAnsi="Arial"/>
                <w:sz w:val="16"/>
                <w:szCs w:val="16"/>
                <w:color w:val="auto"/>
              </w:rPr>
              <w:t>359</w:t>
            </w:r>
          </w:p>
        </w:tc>
        <w:tc>
          <w:tcPr>
            <w:tcW w:w="440" w:type="dxa"/>
            <w:vAlign w:val="bottom"/>
            <w:shd w:val="clear" w:color="auto" w:fill="D5DCE4"/>
          </w:tcPr>
          <w:p>
            <w:pPr>
              <w:spacing w:after="0"/>
              <w:rPr>
                <w:sz w:val="18"/>
                <w:szCs w:val="18"/>
                <w:color w:val="auto"/>
              </w:rPr>
            </w:pPr>
          </w:p>
        </w:tc>
        <w:tc>
          <w:tcPr>
            <w:tcW w:w="100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22,975</w:t>
            </w:r>
          </w:p>
        </w:tc>
        <w:tc>
          <w:tcPr>
            <w:tcW w:w="100" w:type="dxa"/>
            <w:vAlign w:val="bottom"/>
            <w:tcBorders>
              <w:right w:val="single" w:sz="8" w:color="D5DCE4"/>
            </w:tcBorders>
            <w:shd w:val="clear" w:color="auto" w:fill="D5DCE4"/>
          </w:tcPr>
          <w:p>
            <w:pPr>
              <w:spacing w:after="0"/>
              <w:rPr>
                <w:sz w:val="18"/>
                <w:szCs w:val="18"/>
                <w:color w:val="auto"/>
              </w:rPr>
            </w:pPr>
          </w:p>
        </w:tc>
        <w:tc>
          <w:tcPr>
            <w:tcW w:w="1240" w:type="dxa"/>
            <w:vAlign w:val="bottom"/>
            <w:tcBorders>
              <w:right w:val="single" w:sz="8" w:color="D5DCE4"/>
            </w:tcBorders>
            <w:vMerge w:val="restart"/>
            <w:shd w:val="clear" w:color="auto" w:fill="D5DCE4"/>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118"/>
        </w:trPr>
        <w:tc>
          <w:tcPr>
            <w:tcW w:w="1240" w:type="dxa"/>
            <w:vAlign w:val="bottom"/>
            <w:tcBorders>
              <w:right w:val="single" w:sz="8" w:color="D5DCE4"/>
            </w:tcBorders>
            <w:shd w:val="clear" w:color="auto" w:fill="D5DCE4"/>
          </w:tcPr>
          <w:p>
            <w:pPr>
              <w:spacing w:after="0"/>
              <w:rPr>
                <w:sz w:val="10"/>
                <w:szCs w:val="10"/>
                <w:color w:val="auto"/>
              </w:rPr>
            </w:pPr>
          </w:p>
        </w:tc>
        <w:tc>
          <w:tcPr>
            <w:tcW w:w="3040" w:type="dxa"/>
            <w:vAlign w:val="bottom"/>
            <w:tcBorders>
              <w:right w:val="single" w:sz="8" w:color="D5DCE4"/>
            </w:tcBorders>
            <w:gridSpan w:val="2"/>
            <w:vMerge w:val="restart"/>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Processed</w:t>
            </w:r>
          </w:p>
        </w:tc>
        <w:tc>
          <w:tcPr>
            <w:tcW w:w="300" w:type="dxa"/>
            <w:vAlign w:val="bottom"/>
            <w:shd w:val="clear" w:color="auto" w:fill="D5DCE4"/>
          </w:tcPr>
          <w:p>
            <w:pPr>
              <w:spacing w:after="0"/>
              <w:rPr>
                <w:sz w:val="10"/>
                <w:szCs w:val="10"/>
                <w:color w:val="auto"/>
              </w:rPr>
            </w:pPr>
          </w:p>
        </w:tc>
        <w:tc>
          <w:tcPr>
            <w:tcW w:w="1020" w:type="dxa"/>
            <w:vAlign w:val="bottom"/>
            <w:tcBorders>
              <w:right w:val="single" w:sz="8" w:color="D5DCE4"/>
            </w:tcBorders>
            <w:vMerge w:val="continue"/>
            <w:shd w:val="clear" w:color="auto" w:fill="D5DCE4"/>
          </w:tcPr>
          <w:p>
            <w:pPr>
              <w:spacing w:after="0"/>
              <w:rPr>
                <w:sz w:val="10"/>
                <w:szCs w:val="10"/>
                <w:color w:val="auto"/>
              </w:rPr>
            </w:pPr>
          </w:p>
        </w:tc>
        <w:tc>
          <w:tcPr>
            <w:tcW w:w="160" w:type="dxa"/>
            <w:vAlign w:val="bottom"/>
            <w:shd w:val="clear" w:color="auto" w:fill="D5DCE4"/>
          </w:tcPr>
          <w:p>
            <w:pPr>
              <w:spacing w:after="0"/>
              <w:rPr>
                <w:sz w:val="10"/>
                <w:szCs w:val="10"/>
                <w:color w:val="auto"/>
              </w:rPr>
            </w:pPr>
          </w:p>
        </w:tc>
        <w:tc>
          <w:tcPr>
            <w:tcW w:w="1260" w:type="dxa"/>
            <w:vAlign w:val="bottom"/>
            <w:vMerge w:val="continue"/>
            <w:shd w:val="clear" w:color="auto" w:fill="D5DCE4"/>
          </w:tcPr>
          <w:p>
            <w:pPr>
              <w:spacing w:after="0"/>
              <w:rPr>
                <w:sz w:val="10"/>
                <w:szCs w:val="10"/>
                <w:color w:val="auto"/>
              </w:rPr>
            </w:pPr>
          </w:p>
        </w:tc>
        <w:tc>
          <w:tcPr>
            <w:tcW w:w="100" w:type="dxa"/>
            <w:vAlign w:val="bottom"/>
            <w:tcBorders>
              <w:right w:val="single" w:sz="8" w:color="D5DCE4"/>
            </w:tcBorders>
            <w:shd w:val="clear" w:color="auto" w:fill="D5DCE4"/>
          </w:tcPr>
          <w:p>
            <w:pPr>
              <w:spacing w:after="0"/>
              <w:rPr>
                <w:sz w:val="10"/>
                <w:szCs w:val="10"/>
                <w:color w:val="auto"/>
              </w:rPr>
            </w:pPr>
          </w:p>
        </w:tc>
        <w:tc>
          <w:tcPr>
            <w:tcW w:w="400" w:type="dxa"/>
            <w:vAlign w:val="bottom"/>
            <w:shd w:val="clear" w:color="auto" w:fill="D5DCE4"/>
          </w:tcPr>
          <w:p>
            <w:pPr>
              <w:spacing w:after="0"/>
              <w:rPr>
                <w:sz w:val="10"/>
                <w:szCs w:val="10"/>
                <w:color w:val="auto"/>
              </w:rPr>
            </w:pPr>
          </w:p>
        </w:tc>
        <w:tc>
          <w:tcPr>
            <w:tcW w:w="960" w:type="dxa"/>
            <w:vAlign w:val="bottom"/>
            <w:tcBorders>
              <w:right w:val="single" w:sz="8" w:color="D5DCE4"/>
            </w:tcBorders>
            <w:vMerge w:val="continue"/>
            <w:shd w:val="clear" w:color="auto" w:fill="D5DCE4"/>
          </w:tcPr>
          <w:p>
            <w:pPr>
              <w:spacing w:after="0"/>
              <w:rPr>
                <w:sz w:val="10"/>
                <w:szCs w:val="10"/>
                <w:color w:val="auto"/>
              </w:rPr>
            </w:pPr>
          </w:p>
        </w:tc>
        <w:tc>
          <w:tcPr>
            <w:tcW w:w="440" w:type="dxa"/>
            <w:vAlign w:val="bottom"/>
            <w:shd w:val="clear" w:color="auto" w:fill="D5DCE4"/>
          </w:tcPr>
          <w:p>
            <w:pPr>
              <w:spacing w:after="0"/>
              <w:rPr>
                <w:sz w:val="10"/>
                <w:szCs w:val="10"/>
                <w:color w:val="auto"/>
              </w:rPr>
            </w:pPr>
          </w:p>
        </w:tc>
        <w:tc>
          <w:tcPr>
            <w:tcW w:w="1000" w:type="dxa"/>
            <w:vAlign w:val="bottom"/>
            <w:vMerge w:val="continue"/>
            <w:shd w:val="clear" w:color="auto" w:fill="D5DCE4"/>
          </w:tcPr>
          <w:p>
            <w:pPr>
              <w:spacing w:after="0"/>
              <w:rPr>
                <w:sz w:val="10"/>
                <w:szCs w:val="10"/>
                <w:color w:val="auto"/>
              </w:rPr>
            </w:pPr>
          </w:p>
        </w:tc>
        <w:tc>
          <w:tcPr>
            <w:tcW w:w="100" w:type="dxa"/>
            <w:vAlign w:val="bottom"/>
            <w:tcBorders>
              <w:right w:val="single" w:sz="8" w:color="D5DCE4"/>
            </w:tcBorders>
            <w:shd w:val="clear" w:color="auto" w:fill="D5DCE4"/>
          </w:tcPr>
          <w:p>
            <w:pPr>
              <w:spacing w:after="0"/>
              <w:rPr>
                <w:sz w:val="10"/>
                <w:szCs w:val="10"/>
                <w:color w:val="auto"/>
              </w:rPr>
            </w:pPr>
          </w:p>
        </w:tc>
        <w:tc>
          <w:tcPr>
            <w:tcW w:w="1240" w:type="dxa"/>
            <w:vAlign w:val="bottom"/>
            <w:tcBorders>
              <w:right w:val="single" w:sz="8" w:color="D5DCE4"/>
            </w:tcBorders>
            <w:vMerge w:val="continue"/>
            <w:shd w:val="clear" w:color="auto" w:fill="D5DCE4"/>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240" w:type="dxa"/>
            <w:vAlign w:val="bottom"/>
            <w:tcBorders>
              <w:bottom w:val="single" w:sz="8" w:color="D5DCE4"/>
              <w:right w:val="single" w:sz="8" w:color="D5DCE4"/>
            </w:tcBorders>
            <w:shd w:val="clear" w:color="auto" w:fill="D5DCE4"/>
          </w:tcPr>
          <w:p>
            <w:pPr>
              <w:spacing w:after="0"/>
              <w:rPr>
                <w:sz w:val="9"/>
                <w:szCs w:val="9"/>
                <w:color w:val="auto"/>
              </w:rPr>
            </w:pPr>
          </w:p>
        </w:tc>
        <w:tc>
          <w:tcPr>
            <w:tcW w:w="3040" w:type="dxa"/>
            <w:vAlign w:val="bottom"/>
            <w:tcBorders>
              <w:bottom w:val="single" w:sz="8" w:color="D5DCE4"/>
              <w:right w:val="single" w:sz="8" w:color="D5DCE4"/>
            </w:tcBorders>
            <w:gridSpan w:val="2"/>
            <w:vMerge w:val="continue"/>
            <w:shd w:val="clear" w:color="auto" w:fill="D5DCE4"/>
          </w:tcPr>
          <w:p>
            <w:pPr>
              <w:spacing w:after="0"/>
              <w:rPr>
                <w:sz w:val="9"/>
                <w:szCs w:val="9"/>
                <w:color w:val="auto"/>
              </w:rPr>
            </w:pPr>
          </w:p>
        </w:tc>
        <w:tc>
          <w:tcPr>
            <w:tcW w:w="300" w:type="dxa"/>
            <w:vAlign w:val="bottom"/>
            <w:tcBorders>
              <w:bottom w:val="single" w:sz="8" w:color="D5DCE4"/>
            </w:tcBorders>
            <w:shd w:val="clear" w:color="auto" w:fill="D5DCE4"/>
          </w:tcPr>
          <w:p>
            <w:pPr>
              <w:spacing w:after="0"/>
              <w:rPr>
                <w:sz w:val="9"/>
                <w:szCs w:val="9"/>
                <w:color w:val="auto"/>
              </w:rPr>
            </w:pPr>
          </w:p>
        </w:tc>
        <w:tc>
          <w:tcPr>
            <w:tcW w:w="1020" w:type="dxa"/>
            <w:vAlign w:val="bottom"/>
            <w:tcBorders>
              <w:bottom w:val="single" w:sz="8" w:color="D5DCE4"/>
              <w:right w:val="single" w:sz="8" w:color="D5DCE4"/>
            </w:tcBorders>
            <w:shd w:val="clear" w:color="auto" w:fill="D5DCE4"/>
          </w:tcPr>
          <w:p>
            <w:pPr>
              <w:spacing w:after="0"/>
              <w:rPr>
                <w:sz w:val="9"/>
                <w:szCs w:val="9"/>
                <w:color w:val="auto"/>
              </w:rPr>
            </w:pPr>
          </w:p>
        </w:tc>
        <w:tc>
          <w:tcPr>
            <w:tcW w:w="160" w:type="dxa"/>
            <w:vAlign w:val="bottom"/>
            <w:tcBorders>
              <w:bottom w:val="single" w:sz="8" w:color="D5DCE4"/>
            </w:tcBorders>
            <w:shd w:val="clear" w:color="auto" w:fill="D5DCE4"/>
          </w:tcPr>
          <w:p>
            <w:pPr>
              <w:spacing w:after="0"/>
              <w:rPr>
                <w:sz w:val="9"/>
                <w:szCs w:val="9"/>
                <w:color w:val="auto"/>
              </w:rPr>
            </w:pPr>
          </w:p>
        </w:tc>
        <w:tc>
          <w:tcPr>
            <w:tcW w:w="1260" w:type="dxa"/>
            <w:vAlign w:val="bottom"/>
            <w:tcBorders>
              <w:bottom w:val="single" w:sz="8" w:color="D5DCE4"/>
            </w:tcBorders>
            <w:shd w:val="clear" w:color="auto" w:fill="D5DCE4"/>
          </w:tcPr>
          <w:p>
            <w:pPr>
              <w:spacing w:after="0"/>
              <w:rPr>
                <w:sz w:val="9"/>
                <w:szCs w:val="9"/>
                <w:color w:val="auto"/>
              </w:rPr>
            </w:pPr>
          </w:p>
        </w:tc>
        <w:tc>
          <w:tcPr>
            <w:tcW w:w="100" w:type="dxa"/>
            <w:vAlign w:val="bottom"/>
            <w:tcBorders>
              <w:bottom w:val="single" w:sz="8" w:color="D5DCE4"/>
              <w:right w:val="single" w:sz="8" w:color="D5DCE4"/>
            </w:tcBorders>
            <w:shd w:val="clear" w:color="auto" w:fill="D5DCE4"/>
          </w:tcPr>
          <w:p>
            <w:pPr>
              <w:spacing w:after="0"/>
              <w:rPr>
                <w:sz w:val="9"/>
                <w:szCs w:val="9"/>
                <w:color w:val="auto"/>
              </w:rPr>
            </w:pPr>
          </w:p>
        </w:tc>
        <w:tc>
          <w:tcPr>
            <w:tcW w:w="400" w:type="dxa"/>
            <w:vAlign w:val="bottom"/>
            <w:tcBorders>
              <w:bottom w:val="single" w:sz="8" w:color="D5DCE4"/>
            </w:tcBorders>
            <w:shd w:val="clear" w:color="auto" w:fill="D5DCE4"/>
          </w:tcPr>
          <w:p>
            <w:pPr>
              <w:spacing w:after="0"/>
              <w:rPr>
                <w:sz w:val="9"/>
                <w:szCs w:val="9"/>
                <w:color w:val="auto"/>
              </w:rPr>
            </w:pPr>
          </w:p>
        </w:tc>
        <w:tc>
          <w:tcPr>
            <w:tcW w:w="960" w:type="dxa"/>
            <w:vAlign w:val="bottom"/>
            <w:tcBorders>
              <w:bottom w:val="single" w:sz="8" w:color="D5DCE4"/>
              <w:right w:val="single" w:sz="8" w:color="D5DCE4"/>
            </w:tcBorders>
            <w:shd w:val="clear" w:color="auto" w:fill="D5DCE4"/>
          </w:tcPr>
          <w:p>
            <w:pPr>
              <w:spacing w:after="0"/>
              <w:rPr>
                <w:sz w:val="9"/>
                <w:szCs w:val="9"/>
                <w:color w:val="auto"/>
              </w:rPr>
            </w:pPr>
          </w:p>
        </w:tc>
        <w:tc>
          <w:tcPr>
            <w:tcW w:w="440" w:type="dxa"/>
            <w:vAlign w:val="bottom"/>
            <w:tcBorders>
              <w:bottom w:val="single" w:sz="8" w:color="D5DCE4"/>
            </w:tcBorders>
            <w:shd w:val="clear" w:color="auto" w:fill="D5DCE4"/>
          </w:tcPr>
          <w:p>
            <w:pPr>
              <w:spacing w:after="0"/>
              <w:rPr>
                <w:sz w:val="9"/>
                <w:szCs w:val="9"/>
                <w:color w:val="auto"/>
              </w:rPr>
            </w:pPr>
          </w:p>
        </w:tc>
        <w:tc>
          <w:tcPr>
            <w:tcW w:w="1000" w:type="dxa"/>
            <w:vAlign w:val="bottom"/>
            <w:tcBorders>
              <w:bottom w:val="single" w:sz="8" w:color="D5DCE4"/>
            </w:tcBorders>
            <w:shd w:val="clear" w:color="auto" w:fill="D5DCE4"/>
          </w:tcPr>
          <w:p>
            <w:pPr>
              <w:spacing w:after="0"/>
              <w:rPr>
                <w:sz w:val="9"/>
                <w:szCs w:val="9"/>
                <w:color w:val="auto"/>
              </w:rPr>
            </w:pPr>
          </w:p>
        </w:tc>
        <w:tc>
          <w:tcPr>
            <w:tcW w:w="100" w:type="dxa"/>
            <w:vAlign w:val="bottom"/>
            <w:tcBorders>
              <w:bottom w:val="single" w:sz="8" w:color="D5DCE4"/>
              <w:right w:val="single" w:sz="8" w:color="D5DCE4"/>
            </w:tcBorders>
            <w:shd w:val="clear" w:color="auto" w:fill="D5DCE4"/>
          </w:tcPr>
          <w:p>
            <w:pPr>
              <w:spacing w:after="0"/>
              <w:rPr>
                <w:sz w:val="9"/>
                <w:szCs w:val="9"/>
                <w:color w:val="auto"/>
              </w:rPr>
            </w:pPr>
          </w:p>
        </w:tc>
        <w:tc>
          <w:tcPr>
            <w:tcW w:w="1240" w:type="dxa"/>
            <w:vAlign w:val="bottom"/>
            <w:tcBorders>
              <w:bottom w:val="single" w:sz="8" w:color="D5DCE4"/>
              <w:right w:val="single" w:sz="8" w:color="D5DCE4"/>
            </w:tcBorders>
            <w:shd w:val="clear" w:color="auto" w:fill="D5DCE4"/>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240" w:type="dxa"/>
            <w:vAlign w:val="bottom"/>
          </w:tcPr>
          <w:p>
            <w:pPr>
              <w:spacing w:after="0"/>
              <w:rPr>
                <w:sz w:val="20"/>
                <w:szCs w:val="20"/>
                <w:color w:val="auto"/>
              </w:rPr>
            </w:pPr>
          </w:p>
        </w:tc>
        <w:tc>
          <w:tcPr>
            <w:tcW w:w="304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European Credit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1,741</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106,178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1,911</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118,454</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(8.89)%</w:t>
            </w:r>
          </w:p>
        </w:tc>
        <w:tc>
          <w:tcPr>
            <w:tcW w:w="0" w:type="dxa"/>
            <w:vAlign w:val="bottom"/>
          </w:tcPr>
          <w:p>
            <w:pPr>
              <w:spacing w:after="0"/>
              <w:rPr>
                <w:sz w:val="1"/>
                <w:szCs w:val="1"/>
                <w:color w:val="auto"/>
              </w:rPr>
            </w:pPr>
          </w:p>
        </w:tc>
      </w:tr>
      <w:tr>
        <w:trPr>
          <w:trHeight w:val="251"/>
        </w:trPr>
        <w:tc>
          <w:tcPr>
            <w:tcW w:w="1240" w:type="dxa"/>
            <w:vAlign w:val="bottom"/>
            <w:tcBorders>
              <w:right w:val="single" w:sz="8" w:color="D5DCE4"/>
            </w:tcBorders>
            <w:shd w:val="clear" w:color="auto" w:fill="D5DCE4"/>
          </w:tcPr>
          <w:p>
            <w:pPr>
              <w:spacing w:after="0"/>
              <w:rPr>
                <w:sz w:val="21"/>
                <w:szCs w:val="21"/>
                <w:color w:val="auto"/>
              </w:rPr>
            </w:pPr>
          </w:p>
        </w:tc>
        <w:tc>
          <w:tcPr>
            <w:tcW w:w="30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Municipal Bonds</w:t>
            </w:r>
          </w:p>
        </w:tc>
        <w:tc>
          <w:tcPr>
            <w:tcW w:w="30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394</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24,444</w:t>
            </w:r>
          </w:p>
        </w:tc>
        <w:tc>
          <w:tcPr>
            <w:tcW w:w="100" w:type="dxa"/>
            <w:vAlign w:val="bottom"/>
            <w:tcBorders>
              <w:right w:val="single" w:sz="8" w:color="D5DCE4"/>
            </w:tcBorders>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9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193</w:t>
            </w:r>
          </w:p>
        </w:tc>
        <w:tc>
          <w:tcPr>
            <w:tcW w:w="44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12,367</w:t>
            </w:r>
          </w:p>
        </w:tc>
        <w:tc>
          <w:tcPr>
            <w:tcW w:w="100" w:type="dxa"/>
            <w:vAlign w:val="bottom"/>
            <w:tcBorders>
              <w:right w:val="single" w:sz="8" w:color="D5DCE4"/>
            </w:tcBorders>
            <w:shd w:val="clear" w:color="auto" w:fill="D5DCE4"/>
          </w:tcPr>
          <w:p>
            <w:pPr>
              <w:spacing w:after="0"/>
              <w:rPr>
                <w:sz w:val="21"/>
                <w:szCs w:val="21"/>
                <w:color w:val="auto"/>
              </w:rPr>
            </w:pPr>
          </w:p>
        </w:tc>
        <w:tc>
          <w:tcPr>
            <w:tcW w:w="12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104.04 %</w:t>
            </w:r>
          </w:p>
        </w:tc>
        <w:tc>
          <w:tcPr>
            <w:tcW w:w="0" w:type="dxa"/>
            <w:vAlign w:val="bottom"/>
          </w:tcPr>
          <w:p>
            <w:pPr>
              <w:spacing w:after="0"/>
              <w:rPr>
                <w:sz w:val="1"/>
                <w:szCs w:val="1"/>
                <w:color w:val="auto"/>
              </w:rPr>
            </w:pPr>
          </w:p>
        </w:tc>
      </w:tr>
      <w:tr>
        <w:trPr>
          <w:trHeight w:val="235"/>
        </w:trPr>
        <w:tc>
          <w:tcPr>
            <w:tcW w:w="1240" w:type="dxa"/>
            <w:vAlign w:val="bottom"/>
          </w:tcPr>
          <w:p>
            <w:pPr>
              <w:spacing w:after="0"/>
              <w:rPr>
                <w:sz w:val="20"/>
                <w:szCs w:val="20"/>
                <w:color w:val="auto"/>
              </w:rPr>
            </w:pPr>
          </w:p>
        </w:tc>
        <w:tc>
          <w:tcPr>
            <w:tcW w:w="304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Chinese Bonds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1,001</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58,041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1,373</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82,377</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(27.11)%</w:t>
            </w:r>
          </w:p>
        </w:tc>
        <w:tc>
          <w:tcPr>
            <w:tcW w:w="0" w:type="dxa"/>
            <w:vAlign w:val="bottom"/>
          </w:tcPr>
          <w:p>
            <w:pPr>
              <w:spacing w:after="0"/>
              <w:rPr>
                <w:sz w:val="1"/>
                <w:szCs w:val="1"/>
                <w:color w:val="auto"/>
              </w:rPr>
            </w:pPr>
          </w:p>
        </w:tc>
      </w:tr>
      <w:tr>
        <w:trPr>
          <w:trHeight w:val="251"/>
        </w:trPr>
        <w:tc>
          <w:tcPr>
            <w:tcW w:w="1240" w:type="dxa"/>
            <w:vAlign w:val="bottom"/>
            <w:tcBorders>
              <w:right w:val="single" w:sz="8" w:color="D5DCE4"/>
            </w:tcBorders>
            <w:shd w:val="clear" w:color="auto" w:fill="D5DCE4"/>
          </w:tcPr>
          <w:p>
            <w:pPr>
              <w:spacing w:after="0"/>
              <w:rPr>
                <w:sz w:val="21"/>
                <w:szCs w:val="21"/>
                <w:color w:val="auto"/>
              </w:rPr>
            </w:pPr>
          </w:p>
        </w:tc>
        <w:tc>
          <w:tcPr>
            <w:tcW w:w="30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Other Credit Bonds</w:t>
            </w:r>
          </w:p>
        </w:tc>
        <w:tc>
          <w:tcPr>
            <w:tcW w:w="30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123</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7,556</w:t>
            </w:r>
          </w:p>
        </w:tc>
        <w:tc>
          <w:tcPr>
            <w:tcW w:w="100" w:type="dxa"/>
            <w:vAlign w:val="bottom"/>
            <w:tcBorders>
              <w:right w:val="single" w:sz="8" w:color="D5DCE4"/>
            </w:tcBorders>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9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118</w:t>
            </w:r>
          </w:p>
        </w:tc>
        <w:tc>
          <w:tcPr>
            <w:tcW w:w="44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7,444</w:t>
            </w:r>
          </w:p>
        </w:tc>
        <w:tc>
          <w:tcPr>
            <w:tcW w:w="100" w:type="dxa"/>
            <w:vAlign w:val="bottom"/>
            <w:tcBorders>
              <w:right w:val="single" w:sz="8" w:color="D5DCE4"/>
            </w:tcBorders>
            <w:shd w:val="clear" w:color="auto" w:fill="D5DCE4"/>
          </w:tcPr>
          <w:p>
            <w:pPr>
              <w:spacing w:after="0"/>
              <w:rPr>
                <w:sz w:val="21"/>
                <w:szCs w:val="21"/>
                <w:color w:val="auto"/>
              </w:rPr>
            </w:pPr>
          </w:p>
        </w:tc>
        <w:tc>
          <w:tcPr>
            <w:tcW w:w="12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4.27 %</w:t>
            </w:r>
          </w:p>
        </w:tc>
        <w:tc>
          <w:tcPr>
            <w:tcW w:w="0" w:type="dxa"/>
            <w:vAlign w:val="bottom"/>
          </w:tcPr>
          <w:p>
            <w:pPr>
              <w:spacing w:after="0"/>
              <w:rPr>
                <w:sz w:val="1"/>
                <w:szCs w:val="1"/>
                <w:color w:val="auto"/>
              </w:rPr>
            </w:pPr>
          </w:p>
        </w:tc>
      </w:tr>
      <w:tr>
        <w:trPr>
          <w:trHeight w:val="239"/>
        </w:trPr>
        <w:tc>
          <w:tcPr>
            <w:tcW w:w="1240" w:type="dxa"/>
            <w:vAlign w:val="bottom"/>
          </w:tcPr>
          <w:p>
            <w:pPr>
              <w:spacing w:after="0"/>
              <w:rPr>
                <w:sz w:val="20"/>
                <w:szCs w:val="20"/>
                <w:color w:val="auto"/>
              </w:rPr>
            </w:pPr>
          </w:p>
        </w:tc>
        <w:tc>
          <w:tcPr>
            <w:tcW w:w="304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16,477</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1,013,032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auto"/>
              </w:rPr>
              <w:t>8,566</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540,584</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92.34 %</w:t>
            </w:r>
          </w:p>
        </w:tc>
        <w:tc>
          <w:tcPr>
            <w:tcW w:w="0" w:type="dxa"/>
            <w:vAlign w:val="bottom"/>
          </w:tcPr>
          <w:p>
            <w:pPr>
              <w:spacing w:after="0"/>
              <w:rPr>
                <w:sz w:val="1"/>
                <w:szCs w:val="1"/>
                <w:color w:val="auto"/>
              </w:rPr>
            </w:pPr>
          </w:p>
        </w:tc>
      </w:tr>
      <w:tr>
        <w:trPr>
          <w:trHeight w:val="247"/>
        </w:trPr>
        <w:tc>
          <w:tcPr>
            <w:tcW w:w="1240" w:type="dxa"/>
            <w:vAlign w:val="bottom"/>
            <w:tcBorders>
              <w:right w:val="single" w:sz="8" w:color="D5DCE4"/>
            </w:tcBorders>
            <w:shd w:val="clear" w:color="auto" w:fill="D5DCE4"/>
          </w:tcPr>
          <w:p>
            <w:pPr>
              <w:spacing w:after="0"/>
              <w:rPr>
                <w:sz w:val="21"/>
                <w:szCs w:val="21"/>
                <w:color w:val="auto"/>
              </w:rPr>
            </w:pPr>
          </w:p>
        </w:tc>
        <w:tc>
          <w:tcPr>
            <w:tcW w:w="30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Swaps</w:t>
            </w:r>
          </w:p>
        </w:tc>
        <w:tc>
          <w:tcPr>
            <w:tcW w:w="30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16,477</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1,013,032</w:t>
            </w:r>
          </w:p>
        </w:tc>
        <w:tc>
          <w:tcPr>
            <w:tcW w:w="100" w:type="dxa"/>
            <w:vAlign w:val="bottom"/>
            <w:tcBorders>
              <w:right w:val="single" w:sz="8" w:color="D5DCE4"/>
            </w:tcBorders>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9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8,566</w:t>
            </w:r>
          </w:p>
        </w:tc>
        <w:tc>
          <w:tcPr>
            <w:tcW w:w="44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540,584</w:t>
            </w:r>
          </w:p>
        </w:tc>
        <w:tc>
          <w:tcPr>
            <w:tcW w:w="100" w:type="dxa"/>
            <w:vAlign w:val="bottom"/>
            <w:tcBorders>
              <w:right w:val="single" w:sz="8" w:color="D5DCE4"/>
            </w:tcBorders>
            <w:shd w:val="clear" w:color="auto" w:fill="D5DCE4"/>
          </w:tcPr>
          <w:p>
            <w:pPr>
              <w:spacing w:after="0"/>
              <w:rPr>
                <w:sz w:val="21"/>
                <w:szCs w:val="21"/>
                <w:color w:val="auto"/>
              </w:rPr>
            </w:pPr>
          </w:p>
        </w:tc>
        <w:tc>
          <w:tcPr>
            <w:tcW w:w="12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92.34 %</w:t>
            </w:r>
          </w:p>
        </w:tc>
        <w:tc>
          <w:tcPr>
            <w:tcW w:w="0" w:type="dxa"/>
            <w:vAlign w:val="bottom"/>
          </w:tcPr>
          <w:p>
            <w:pPr>
              <w:spacing w:after="0"/>
              <w:rPr>
                <w:sz w:val="1"/>
                <w:szCs w:val="1"/>
                <w:color w:val="auto"/>
              </w:rPr>
            </w:pPr>
          </w:p>
        </w:tc>
      </w:tr>
      <w:tr>
        <w:trPr>
          <w:trHeight w:val="233"/>
        </w:trPr>
        <w:tc>
          <w:tcPr>
            <w:tcW w:w="1240" w:type="dxa"/>
            <w:vAlign w:val="bottom"/>
            <w:tcBorders>
              <w:bottom w:val="single" w:sz="8" w:color="D5DCE4"/>
            </w:tcBorders>
          </w:tcPr>
          <w:p>
            <w:pPr>
              <w:spacing w:after="0"/>
              <w:rPr>
                <w:sz w:val="20"/>
                <w:szCs w:val="20"/>
                <w:color w:val="auto"/>
              </w:rPr>
            </w:pPr>
          </w:p>
        </w:tc>
        <w:tc>
          <w:tcPr>
            <w:tcW w:w="3040" w:type="dxa"/>
            <w:vAlign w:val="bottom"/>
            <w:tcBorders>
              <w:bottom w:val="single" w:sz="8" w:color="D5DCE4"/>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26,650</w:t>
            </w:r>
          </w:p>
        </w:tc>
        <w:tc>
          <w:tcPr>
            <w:tcW w:w="1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1,637,924</w:t>
            </w:r>
          </w:p>
        </w:tc>
        <w:tc>
          <w:tcPr>
            <w:tcW w:w="100" w:type="dxa"/>
            <w:vAlign w:val="bottom"/>
            <w:tcBorders>
              <w:bottom w:val="single" w:sz="8" w:color="D5DCE4"/>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18,085</w:t>
            </w:r>
          </w:p>
        </w:tc>
        <w:tc>
          <w:tcPr>
            <w:tcW w:w="4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1,140,350</w:t>
            </w:r>
          </w:p>
        </w:tc>
        <w:tc>
          <w:tcPr>
            <w:tcW w:w="100" w:type="dxa"/>
            <w:vAlign w:val="bottom"/>
            <w:tcBorders>
              <w:bottom w:val="single" w:sz="8" w:color="D5DCE4"/>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47.36 %</w:t>
            </w:r>
          </w:p>
        </w:tc>
        <w:tc>
          <w:tcPr>
            <w:tcW w:w="0" w:type="dxa"/>
            <w:vAlign w:val="bottom"/>
          </w:tcPr>
          <w:p>
            <w:pPr>
              <w:spacing w:after="0"/>
              <w:rPr>
                <w:sz w:val="1"/>
                <w:szCs w:val="1"/>
                <w:color w:val="auto"/>
              </w:rPr>
            </w:pPr>
          </w:p>
        </w:tc>
      </w:tr>
      <w:tr>
        <w:trPr>
          <w:trHeight w:val="240"/>
        </w:trPr>
        <w:tc>
          <w:tcPr>
            <w:tcW w:w="1240" w:type="dxa"/>
            <w:vAlign w:val="bottom"/>
            <w:tcBorders>
              <w:right w:val="single" w:sz="8" w:color="D5DCE4"/>
            </w:tcBorders>
            <w:shd w:val="clear" w:color="auto" w:fill="D5DCE4"/>
          </w:tcPr>
          <w:p>
            <w:pPr>
              <w:ind w:left="20"/>
              <w:spacing w:after="0"/>
              <w:rPr>
                <w:sz w:val="20"/>
                <w:szCs w:val="20"/>
                <w:color w:val="auto"/>
              </w:rPr>
            </w:pPr>
            <w:r>
              <w:rPr>
                <w:rFonts w:ascii="Arial" w:cs="Arial" w:eastAsia="Arial" w:hAnsi="Arial"/>
                <w:sz w:val="16"/>
                <w:szCs w:val="16"/>
                <w:b w:val="1"/>
                <w:bCs w:val="1"/>
                <w:color w:val="auto"/>
              </w:rPr>
              <w:t>Equities</w:t>
            </w:r>
          </w:p>
        </w:tc>
        <w:tc>
          <w:tcPr>
            <w:tcW w:w="304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300" w:type="dxa"/>
            <w:vAlign w:val="bottom"/>
            <w:shd w:val="clear" w:color="auto" w:fill="D5DCE4"/>
          </w:tcPr>
          <w:p>
            <w:pPr>
              <w:spacing w:after="0"/>
              <w:rPr>
                <w:sz w:val="20"/>
                <w:szCs w:val="20"/>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9,945</w:t>
            </w:r>
          </w:p>
        </w:tc>
        <w:tc>
          <w:tcPr>
            <w:tcW w:w="160" w:type="dxa"/>
            <w:vAlign w:val="bottom"/>
            <w:shd w:val="clear" w:color="auto" w:fill="D5DCE4"/>
          </w:tcPr>
          <w:p>
            <w:pPr>
              <w:spacing w:after="0"/>
              <w:rPr>
                <w:sz w:val="20"/>
                <w:szCs w:val="20"/>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613,836</w:t>
            </w:r>
          </w:p>
        </w:tc>
        <w:tc>
          <w:tcPr>
            <w:tcW w:w="100" w:type="dxa"/>
            <w:vAlign w:val="bottom"/>
            <w:tcBorders>
              <w:right w:val="single" w:sz="8" w:color="D5DCE4"/>
            </w:tcBorders>
            <w:shd w:val="clear" w:color="auto" w:fill="D5DCE4"/>
          </w:tcPr>
          <w:p>
            <w:pPr>
              <w:spacing w:after="0"/>
              <w:rPr>
                <w:sz w:val="20"/>
                <w:szCs w:val="20"/>
                <w:color w:val="auto"/>
              </w:rPr>
            </w:pPr>
          </w:p>
        </w:tc>
        <w:tc>
          <w:tcPr>
            <w:tcW w:w="400" w:type="dxa"/>
            <w:vAlign w:val="bottom"/>
            <w:shd w:val="clear" w:color="auto" w:fill="D5DCE4"/>
          </w:tcPr>
          <w:p>
            <w:pPr>
              <w:spacing w:after="0"/>
              <w:rPr>
                <w:sz w:val="20"/>
                <w:szCs w:val="20"/>
                <w:color w:val="auto"/>
              </w:rPr>
            </w:pPr>
          </w:p>
        </w:tc>
        <w:tc>
          <w:tcPr>
            <w:tcW w:w="9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8,239</w:t>
            </w:r>
          </w:p>
        </w:tc>
        <w:tc>
          <w:tcPr>
            <w:tcW w:w="440" w:type="dxa"/>
            <w:vAlign w:val="bottom"/>
            <w:shd w:val="clear" w:color="auto" w:fill="D5DCE4"/>
          </w:tcPr>
          <w:p>
            <w:pPr>
              <w:spacing w:after="0"/>
              <w:rPr>
                <w:sz w:val="20"/>
                <w:szCs w:val="20"/>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516,731</w:t>
            </w:r>
          </w:p>
        </w:tc>
        <w:tc>
          <w:tcPr>
            <w:tcW w:w="100" w:type="dxa"/>
            <w:vAlign w:val="bottom"/>
            <w:tcBorders>
              <w:right w:val="single" w:sz="8" w:color="D5DCE4"/>
            </w:tcBorders>
            <w:shd w:val="clear" w:color="auto" w:fill="D5DCE4"/>
          </w:tcPr>
          <w:p>
            <w:pPr>
              <w:spacing w:after="0"/>
              <w:rPr>
                <w:sz w:val="20"/>
                <w:szCs w:val="20"/>
                <w:color w:val="auto"/>
              </w:rPr>
            </w:pPr>
          </w:p>
        </w:tc>
        <w:tc>
          <w:tcPr>
            <w:tcW w:w="12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20.70 %</w:t>
            </w:r>
          </w:p>
        </w:tc>
        <w:tc>
          <w:tcPr>
            <w:tcW w:w="0" w:type="dxa"/>
            <w:vAlign w:val="bottom"/>
          </w:tcPr>
          <w:p>
            <w:pPr>
              <w:spacing w:after="0"/>
              <w:rPr>
                <w:sz w:val="1"/>
                <w:szCs w:val="1"/>
                <w:color w:val="auto"/>
              </w:rPr>
            </w:pPr>
          </w:p>
        </w:tc>
      </w:tr>
      <w:tr>
        <w:trPr>
          <w:trHeight w:val="235"/>
        </w:trPr>
        <w:tc>
          <w:tcPr>
            <w:tcW w:w="1240" w:type="dxa"/>
            <w:vAlign w:val="bottom"/>
          </w:tcPr>
          <w:p>
            <w:pPr>
              <w:spacing w:after="0"/>
              <w:rPr>
                <w:sz w:val="20"/>
                <w:szCs w:val="20"/>
                <w:color w:val="auto"/>
              </w:rPr>
            </w:pPr>
          </w:p>
        </w:tc>
        <w:tc>
          <w:tcPr>
            <w:tcW w:w="304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U.S. ETFs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7,201</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446,492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5,885</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370,742</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22.37 %</w:t>
            </w:r>
          </w:p>
        </w:tc>
        <w:tc>
          <w:tcPr>
            <w:tcW w:w="0" w:type="dxa"/>
            <w:vAlign w:val="bottom"/>
          </w:tcPr>
          <w:p>
            <w:pPr>
              <w:spacing w:after="0"/>
              <w:rPr>
                <w:sz w:val="1"/>
                <w:szCs w:val="1"/>
                <w:color w:val="auto"/>
              </w:rPr>
            </w:pPr>
          </w:p>
        </w:tc>
      </w:tr>
      <w:tr>
        <w:trPr>
          <w:trHeight w:val="251"/>
        </w:trPr>
        <w:tc>
          <w:tcPr>
            <w:tcW w:w="1240" w:type="dxa"/>
            <w:vAlign w:val="bottom"/>
            <w:tcBorders>
              <w:right w:val="single" w:sz="8" w:color="D5DCE4"/>
            </w:tcBorders>
            <w:shd w:val="clear" w:color="auto" w:fill="D5DCE4"/>
          </w:tcPr>
          <w:p>
            <w:pPr>
              <w:spacing w:after="0"/>
              <w:rPr>
                <w:sz w:val="21"/>
                <w:szCs w:val="21"/>
                <w:color w:val="auto"/>
              </w:rPr>
            </w:pPr>
          </w:p>
        </w:tc>
        <w:tc>
          <w:tcPr>
            <w:tcW w:w="30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European ETFs</w:t>
            </w:r>
          </w:p>
        </w:tc>
        <w:tc>
          <w:tcPr>
            <w:tcW w:w="30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2,743</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167,344</w:t>
            </w:r>
          </w:p>
        </w:tc>
        <w:tc>
          <w:tcPr>
            <w:tcW w:w="100" w:type="dxa"/>
            <w:vAlign w:val="bottom"/>
            <w:tcBorders>
              <w:right w:val="single" w:sz="8" w:color="D5DCE4"/>
            </w:tcBorders>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9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2,355</w:t>
            </w:r>
          </w:p>
        </w:tc>
        <w:tc>
          <w:tcPr>
            <w:tcW w:w="44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145,988</w:t>
            </w:r>
          </w:p>
        </w:tc>
        <w:tc>
          <w:tcPr>
            <w:tcW w:w="100" w:type="dxa"/>
            <w:vAlign w:val="bottom"/>
            <w:tcBorders>
              <w:right w:val="single" w:sz="8" w:color="D5DCE4"/>
            </w:tcBorders>
            <w:shd w:val="clear" w:color="auto" w:fill="D5DCE4"/>
          </w:tcPr>
          <w:p>
            <w:pPr>
              <w:spacing w:after="0"/>
              <w:rPr>
                <w:sz w:val="21"/>
                <w:szCs w:val="21"/>
                <w:color w:val="auto"/>
              </w:rPr>
            </w:pPr>
          </w:p>
        </w:tc>
        <w:tc>
          <w:tcPr>
            <w:tcW w:w="12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16.51 %</w:t>
            </w:r>
          </w:p>
        </w:tc>
        <w:tc>
          <w:tcPr>
            <w:tcW w:w="0" w:type="dxa"/>
            <w:vAlign w:val="bottom"/>
          </w:tcPr>
          <w:p>
            <w:pPr>
              <w:spacing w:after="0"/>
              <w:rPr>
                <w:sz w:val="1"/>
                <w:szCs w:val="1"/>
                <w:color w:val="auto"/>
              </w:rPr>
            </w:pPr>
          </w:p>
        </w:tc>
      </w:tr>
      <w:tr>
        <w:trPr>
          <w:trHeight w:val="239"/>
        </w:trPr>
        <w:tc>
          <w:tcPr>
            <w:tcW w:w="1240" w:type="dxa"/>
            <w:vAlign w:val="bottom"/>
          </w:tcPr>
          <w:p>
            <w:pPr>
              <w:spacing w:after="0"/>
              <w:rPr>
                <w:sz w:val="20"/>
                <w:szCs w:val="20"/>
                <w:color w:val="auto"/>
              </w:rPr>
            </w:pPr>
          </w:p>
        </w:tc>
        <w:tc>
          <w:tcPr>
            <w:tcW w:w="304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6,761</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418,547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auto"/>
              </w:rPr>
              <w:t>7,815</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490,800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(13.49)%</w:t>
            </w:r>
          </w:p>
        </w:tc>
        <w:tc>
          <w:tcPr>
            <w:tcW w:w="0" w:type="dxa"/>
            <w:vAlign w:val="bottom"/>
          </w:tcPr>
          <w:p>
            <w:pPr>
              <w:spacing w:after="0"/>
              <w:rPr>
                <w:sz w:val="1"/>
                <w:szCs w:val="1"/>
                <w:color w:val="auto"/>
              </w:rPr>
            </w:pPr>
          </w:p>
        </w:tc>
      </w:tr>
      <w:tr>
        <w:trPr>
          <w:trHeight w:val="247"/>
        </w:trPr>
        <w:tc>
          <w:tcPr>
            <w:tcW w:w="1240" w:type="dxa"/>
            <w:vAlign w:val="bottom"/>
            <w:tcBorders>
              <w:right w:val="single" w:sz="8" w:color="D5DCE4"/>
            </w:tcBorders>
            <w:shd w:val="clear" w:color="auto" w:fill="D5DCE4"/>
          </w:tcPr>
          <w:p>
            <w:pPr>
              <w:spacing w:after="0"/>
              <w:rPr>
                <w:sz w:val="21"/>
                <w:szCs w:val="21"/>
                <w:color w:val="auto"/>
              </w:rPr>
            </w:pPr>
          </w:p>
        </w:tc>
        <w:tc>
          <w:tcPr>
            <w:tcW w:w="30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Convertibles/Swaps/Options</w:t>
            </w:r>
          </w:p>
        </w:tc>
        <w:tc>
          <w:tcPr>
            <w:tcW w:w="30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3,273</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202,579</w:t>
            </w:r>
          </w:p>
        </w:tc>
        <w:tc>
          <w:tcPr>
            <w:tcW w:w="100" w:type="dxa"/>
            <w:vAlign w:val="bottom"/>
            <w:tcBorders>
              <w:right w:val="single" w:sz="8" w:color="D5DCE4"/>
            </w:tcBorders>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9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3,850</w:t>
            </w:r>
          </w:p>
        </w:tc>
        <w:tc>
          <w:tcPr>
            <w:tcW w:w="44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241,047</w:t>
            </w:r>
          </w:p>
        </w:tc>
        <w:tc>
          <w:tcPr>
            <w:tcW w:w="100" w:type="dxa"/>
            <w:vAlign w:val="bottom"/>
            <w:tcBorders>
              <w:right w:val="single" w:sz="8" w:color="D5DCE4"/>
            </w:tcBorders>
            <w:shd w:val="clear" w:color="auto" w:fill="D5DCE4"/>
          </w:tcPr>
          <w:p>
            <w:pPr>
              <w:spacing w:after="0"/>
              <w:rPr>
                <w:sz w:val="21"/>
                <w:szCs w:val="21"/>
                <w:color w:val="auto"/>
              </w:rPr>
            </w:pPr>
          </w:p>
        </w:tc>
        <w:tc>
          <w:tcPr>
            <w:tcW w:w="12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(14.97)%</w:t>
            </w: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p>
        </w:tc>
        <w:tc>
          <w:tcPr>
            <w:tcW w:w="304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Futures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3,488</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215,968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3,965</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249,752</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(12.05)%</w:t>
            </w:r>
          </w:p>
        </w:tc>
        <w:tc>
          <w:tcPr>
            <w:tcW w:w="0" w:type="dxa"/>
            <w:vAlign w:val="bottom"/>
          </w:tcPr>
          <w:p>
            <w:pPr>
              <w:spacing w:after="0"/>
              <w:rPr>
                <w:sz w:val="1"/>
                <w:szCs w:val="1"/>
                <w:color w:val="auto"/>
              </w:rPr>
            </w:pPr>
          </w:p>
        </w:tc>
      </w:tr>
      <w:tr>
        <w:trPr>
          <w:trHeight w:val="243"/>
        </w:trPr>
        <w:tc>
          <w:tcPr>
            <w:tcW w:w="1240" w:type="dxa"/>
            <w:vAlign w:val="bottom"/>
            <w:tcBorders>
              <w:top w:val="single" w:sz="8" w:color="D5DCE4"/>
              <w:right w:val="single" w:sz="8" w:color="D5DCE4"/>
            </w:tcBorders>
            <w:shd w:val="clear" w:color="auto" w:fill="D5DCE4"/>
          </w:tcPr>
          <w:p>
            <w:pPr>
              <w:spacing w:after="0"/>
              <w:rPr>
                <w:sz w:val="21"/>
                <w:szCs w:val="21"/>
                <w:color w:val="auto"/>
              </w:rPr>
            </w:pPr>
          </w:p>
        </w:tc>
        <w:tc>
          <w:tcPr>
            <w:tcW w:w="3040" w:type="dxa"/>
            <w:vAlign w:val="bottom"/>
            <w:tcBorders>
              <w:top w:val="single" w:sz="8" w:color="D5DCE4"/>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300" w:type="dxa"/>
            <w:vAlign w:val="bottom"/>
            <w:tcBorders>
              <w:top w:val="single" w:sz="8" w:color="auto"/>
              <w:bottom w:val="single" w:sz="8" w:color="auto"/>
            </w:tcBorders>
            <w:shd w:val="clear" w:color="auto" w:fill="D5DCE4"/>
          </w:tcPr>
          <w:p>
            <w:pPr>
              <w:spacing w:after="0"/>
              <w:rPr>
                <w:sz w:val="21"/>
                <w:szCs w:val="21"/>
                <w:color w:val="auto"/>
              </w:rPr>
            </w:pPr>
          </w:p>
        </w:tc>
        <w:tc>
          <w:tcPr>
            <w:tcW w:w="1020" w:type="dxa"/>
            <w:vAlign w:val="bottom"/>
            <w:tcBorders>
              <w:top w:val="single" w:sz="8" w:color="auto"/>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16,706</w:t>
            </w:r>
          </w:p>
        </w:tc>
        <w:tc>
          <w:tcPr>
            <w:tcW w:w="160" w:type="dxa"/>
            <w:vAlign w:val="bottom"/>
            <w:tcBorders>
              <w:top w:val="single" w:sz="8" w:color="auto"/>
              <w:bottom w:val="single" w:sz="8" w:color="auto"/>
            </w:tcBorders>
            <w:shd w:val="clear" w:color="auto" w:fill="D5DCE4"/>
          </w:tcPr>
          <w:p>
            <w:pPr>
              <w:spacing w:after="0"/>
              <w:rPr>
                <w:sz w:val="21"/>
                <w:szCs w:val="21"/>
                <w:color w:val="auto"/>
              </w:rPr>
            </w:pPr>
          </w:p>
        </w:tc>
        <w:tc>
          <w:tcPr>
            <w:tcW w:w="126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1,032,383</w:t>
            </w:r>
          </w:p>
        </w:tc>
        <w:tc>
          <w:tcPr>
            <w:tcW w:w="100" w:type="dxa"/>
            <w:vAlign w:val="bottom"/>
            <w:tcBorders>
              <w:top w:val="single" w:sz="8" w:color="D5DCE4"/>
              <w:right w:val="single" w:sz="8" w:color="D5DCE4"/>
            </w:tcBorders>
            <w:shd w:val="clear" w:color="auto" w:fill="D5DCE4"/>
          </w:tcPr>
          <w:p>
            <w:pPr>
              <w:spacing w:after="0"/>
              <w:rPr>
                <w:sz w:val="21"/>
                <w:szCs w:val="21"/>
                <w:color w:val="auto"/>
              </w:rPr>
            </w:pPr>
          </w:p>
        </w:tc>
        <w:tc>
          <w:tcPr>
            <w:tcW w:w="400" w:type="dxa"/>
            <w:vAlign w:val="bottom"/>
            <w:tcBorders>
              <w:top w:val="single" w:sz="8" w:color="auto"/>
              <w:bottom w:val="single" w:sz="8" w:color="auto"/>
            </w:tcBorders>
            <w:shd w:val="clear" w:color="auto" w:fill="D5DCE4"/>
          </w:tcPr>
          <w:p>
            <w:pPr>
              <w:spacing w:after="0"/>
              <w:rPr>
                <w:sz w:val="21"/>
                <w:szCs w:val="21"/>
                <w:color w:val="auto"/>
              </w:rPr>
            </w:pPr>
          </w:p>
        </w:tc>
        <w:tc>
          <w:tcPr>
            <w:tcW w:w="960" w:type="dxa"/>
            <w:vAlign w:val="bottom"/>
            <w:tcBorders>
              <w:top w:val="single" w:sz="8" w:color="auto"/>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16,055</w:t>
            </w:r>
          </w:p>
        </w:tc>
        <w:tc>
          <w:tcPr>
            <w:tcW w:w="440" w:type="dxa"/>
            <w:vAlign w:val="bottom"/>
            <w:tcBorders>
              <w:top w:val="single" w:sz="8" w:color="auto"/>
              <w:bottom w:val="single" w:sz="8" w:color="auto"/>
            </w:tcBorders>
            <w:shd w:val="clear" w:color="auto" w:fill="D5DCE4"/>
          </w:tcPr>
          <w:p>
            <w:pPr>
              <w:spacing w:after="0"/>
              <w:rPr>
                <w:sz w:val="21"/>
                <w:szCs w:val="21"/>
                <w:color w:val="auto"/>
              </w:rPr>
            </w:pPr>
          </w:p>
        </w:tc>
        <w:tc>
          <w:tcPr>
            <w:tcW w:w="100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1,007,530</w:t>
            </w:r>
          </w:p>
        </w:tc>
        <w:tc>
          <w:tcPr>
            <w:tcW w:w="100" w:type="dxa"/>
            <w:vAlign w:val="bottom"/>
            <w:tcBorders>
              <w:top w:val="single" w:sz="8" w:color="D5DCE4"/>
              <w:right w:val="single" w:sz="8" w:color="D5DCE4"/>
            </w:tcBorders>
            <w:shd w:val="clear" w:color="auto" w:fill="D5DCE4"/>
          </w:tcPr>
          <w:p>
            <w:pPr>
              <w:spacing w:after="0"/>
              <w:rPr>
                <w:sz w:val="21"/>
                <w:szCs w:val="21"/>
                <w:color w:val="auto"/>
              </w:rPr>
            </w:pPr>
          </w:p>
        </w:tc>
        <w:tc>
          <w:tcPr>
            <w:tcW w:w="1240" w:type="dxa"/>
            <w:vAlign w:val="bottom"/>
            <w:tcBorders>
              <w:top w:val="single" w:sz="8" w:color="auto"/>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4.06 %</w:t>
            </w:r>
          </w:p>
        </w:tc>
        <w:tc>
          <w:tcPr>
            <w:tcW w:w="0" w:type="dxa"/>
            <w:vAlign w:val="bottom"/>
          </w:tcPr>
          <w:p>
            <w:pPr>
              <w:spacing w:after="0"/>
              <w:rPr>
                <w:sz w:val="1"/>
                <w:szCs w:val="1"/>
                <w:color w:val="auto"/>
              </w:rPr>
            </w:pPr>
          </w:p>
        </w:tc>
      </w:tr>
      <w:tr>
        <w:trPr>
          <w:trHeight w:val="233"/>
        </w:trPr>
        <w:tc>
          <w:tcPr>
            <w:tcW w:w="4280" w:type="dxa"/>
            <w:vAlign w:val="bottom"/>
            <w:gridSpan w:val="3"/>
          </w:tcPr>
          <w:p>
            <w:pPr>
              <w:ind w:left="20"/>
              <w:spacing w:after="0"/>
              <w:rPr>
                <w:sz w:val="20"/>
                <w:szCs w:val="20"/>
                <w:color w:val="auto"/>
              </w:rPr>
            </w:pPr>
            <w:r>
              <w:rPr>
                <w:rFonts w:ascii="Arial" w:cs="Arial" w:eastAsia="Arial" w:hAnsi="Arial"/>
                <w:sz w:val="16"/>
                <w:szCs w:val="16"/>
                <w:b w:val="1"/>
                <w:bCs w:val="1"/>
                <w:color w:val="auto"/>
              </w:rPr>
              <w:t>Money Markets Cash</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424,016</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26,207,624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auto"/>
              </w:rPr>
              <w:t>366,978</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23,326,831</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15.54 %</w:t>
            </w:r>
          </w:p>
        </w:tc>
        <w:tc>
          <w:tcPr>
            <w:tcW w:w="0" w:type="dxa"/>
            <w:vAlign w:val="bottom"/>
          </w:tcPr>
          <w:p>
            <w:pPr>
              <w:spacing w:after="0"/>
              <w:rPr>
                <w:sz w:val="1"/>
                <w:szCs w:val="1"/>
                <w:color w:val="auto"/>
              </w:rPr>
            </w:pPr>
          </w:p>
        </w:tc>
      </w:tr>
      <w:tr>
        <w:trPr>
          <w:trHeight w:val="247"/>
        </w:trPr>
        <w:tc>
          <w:tcPr>
            <w:tcW w:w="1240" w:type="dxa"/>
            <w:vAlign w:val="bottom"/>
            <w:tcBorders>
              <w:right w:val="single" w:sz="8" w:color="D5DCE4"/>
            </w:tcBorders>
            <w:shd w:val="clear" w:color="auto" w:fill="D5DCE4"/>
          </w:tcPr>
          <w:p>
            <w:pPr>
              <w:spacing w:after="0"/>
              <w:rPr>
                <w:sz w:val="21"/>
                <w:szCs w:val="21"/>
                <w:color w:val="auto"/>
              </w:rPr>
            </w:pPr>
          </w:p>
        </w:tc>
        <w:tc>
          <w:tcPr>
            <w:tcW w:w="30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Repurchase Agreements (Repo)</w:t>
            </w:r>
          </w:p>
        </w:tc>
        <w:tc>
          <w:tcPr>
            <w:tcW w:w="30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405,685</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25,071,439</w:t>
            </w:r>
          </w:p>
        </w:tc>
        <w:tc>
          <w:tcPr>
            <w:tcW w:w="100" w:type="dxa"/>
            <w:vAlign w:val="bottom"/>
            <w:tcBorders>
              <w:right w:val="single" w:sz="8" w:color="D5DCE4"/>
            </w:tcBorders>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9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353,361</w:t>
            </w:r>
          </w:p>
        </w:tc>
        <w:tc>
          <w:tcPr>
            <w:tcW w:w="44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22,456,390</w:t>
            </w:r>
          </w:p>
        </w:tc>
        <w:tc>
          <w:tcPr>
            <w:tcW w:w="100" w:type="dxa"/>
            <w:vAlign w:val="bottom"/>
            <w:tcBorders>
              <w:right w:val="single" w:sz="8" w:color="D5DCE4"/>
            </w:tcBorders>
            <w:shd w:val="clear" w:color="auto" w:fill="D5DCE4"/>
          </w:tcPr>
          <w:p>
            <w:pPr>
              <w:spacing w:after="0"/>
              <w:rPr>
                <w:sz w:val="21"/>
                <w:szCs w:val="21"/>
                <w:color w:val="auto"/>
              </w:rPr>
            </w:pPr>
          </w:p>
        </w:tc>
        <w:tc>
          <w:tcPr>
            <w:tcW w:w="12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14.81 %</w:t>
            </w:r>
          </w:p>
        </w:tc>
        <w:tc>
          <w:tcPr>
            <w:tcW w:w="0" w:type="dxa"/>
            <w:vAlign w:val="bottom"/>
          </w:tcPr>
          <w:p>
            <w:pPr>
              <w:spacing w:after="0"/>
              <w:rPr>
                <w:sz w:val="1"/>
                <w:szCs w:val="1"/>
                <w:color w:val="auto"/>
              </w:rPr>
            </w:pPr>
          </w:p>
        </w:tc>
      </w:tr>
      <w:tr>
        <w:trPr>
          <w:trHeight w:val="237"/>
        </w:trPr>
        <w:tc>
          <w:tcPr>
            <w:tcW w:w="1240" w:type="dxa"/>
            <w:vAlign w:val="bottom"/>
          </w:tcPr>
          <w:p>
            <w:pPr>
              <w:spacing w:after="0"/>
              <w:rPr>
                <w:sz w:val="20"/>
                <w:szCs w:val="20"/>
                <w:color w:val="auto"/>
              </w:rPr>
            </w:pPr>
          </w:p>
        </w:tc>
        <w:tc>
          <w:tcPr>
            <w:tcW w:w="304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Other Money Markets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18,332</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1,136,185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13,617</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870,441</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34.62 %</w:t>
            </w:r>
          </w:p>
        </w:tc>
        <w:tc>
          <w:tcPr>
            <w:tcW w:w="0" w:type="dxa"/>
            <w:vAlign w:val="bottom"/>
          </w:tcPr>
          <w:p>
            <w:pPr>
              <w:spacing w:after="0"/>
              <w:rPr>
                <w:sz w:val="1"/>
                <w:szCs w:val="1"/>
                <w:color w:val="auto"/>
              </w:rPr>
            </w:pPr>
          </w:p>
        </w:tc>
      </w:tr>
      <w:tr>
        <w:trPr>
          <w:trHeight w:val="239"/>
        </w:trPr>
        <w:tc>
          <w:tcPr>
            <w:tcW w:w="1240" w:type="dxa"/>
            <w:vAlign w:val="bottom"/>
            <w:tcBorders>
              <w:top w:val="single" w:sz="8" w:color="D5DCE4"/>
              <w:right w:val="single" w:sz="8" w:color="D5DCE4"/>
            </w:tcBorders>
            <w:shd w:val="clear" w:color="auto" w:fill="D5DCE4"/>
          </w:tcPr>
          <w:p>
            <w:pPr>
              <w:spacing w:after="0"/>
              <w:rPr>
                <w:sz w:val="20"/>
                <w:szCs w:val="20"/>
                <w:color w:val="auto"/>
              </w:rPr>
            </w:pPr>
          </w:p>
        </w:tc>
        <w:tc>
          <w:tcPr>
            <w:tcW w:w="3040" w:type="dxa"/>
            <w:vAlign w:val="bottom"/>
            <w:tcBorders>
              <w:top w:val="single" w:sz="8" w:color="D5DCE4"/>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300" w:type="dxa"/>
            <w:vAlign w:val="bottom"/>
            <w:tcBorders>
              <w:top w:val="single" w:sz="8" w:color="auto"/>
              <w:bottom w:val="single" w:sz="8" w:color="auto"/>
            </w:tcBorders>
            <w:shd w:val="clear" w:color="auto" w:fill="D5DCE4"/>
          </w:tcPr>
          <w:p>
            <w:pPr>
              <w:spacing w:after="0"/>
              <w:rPr>
                <w:sz w:val="20"/>
                <w:szCs w:val="20"/>
                <w:color w:val="auto"/>
              </w:rPr>
            </w:pPr>
          </w:p>
        </w:tc>
        <w:tc>
          <w:tcPr>
            <w:tcW w:w="1020" w:type="dxa"/>
            <w:vAlign w:val="bottom"/>
            <w:tcBorders>
              <w:top w:val="single" w:sz="8" w:color="auto"/>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424,016</w:t>
            </w:r>
          </w:p>
        </w:tc>
        <w:tc>
          <w:tcPr>
            <w:tcW w:w="160" w:type="dxa"/>
            <w:vAlign w:val="bottom"/>
            <w:tcBorders>
              <w:top w:val="single" w:sz="8" w:color="auto"/>
              <w:bottom w:val="single" w:sz="8" w:color="auto"/>
            </w:tcBorders>
            <w:shd w:val="clear" w:color="auto" w:fill="D5DCE4"/>
          </w:tcPr>
          <w:p>
            <w:pPr>
              <w:spacing w:after="0"/>
              <w:rPr>
                <w:sz w:val="20"/>
                <w:szCs w:val="20"/>
                <w:color w:val="auto"/>
              </w:rPr>
            </w:pPr>
          </w:p>
        </w:tc>
        <w:tc>
          <w:tcPr>
            <w:tcW w:w="126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26,207,624</w:t>
            </w:r>
          </w:p>
        </w:tc>
        <w:tc>
          <w:tcPr>
            <w:tcW w:w="100" w:type="dxa"/>
            <w:vAlign w:val="bottom"/>
            <w:tcBorders>
              <w:top w:val="single" w:sz="8" w:color="D5DCE4"/>
              <w:right w:val="single" w:sz="8" w:color="D5DCE4"/>
            </w:tcBorders>
            <w:shd w:val="clear" w:color="auto" w:fill="D5DCE4"/>
          </w:tcPr>
          <w:p>
            <w:pPr>
              <w:spacing w:after="0"/>
              <w:rPr>
                <w:sz w:val="20"/>
                <w:szCs w:val="20"/>
                <w:color w:val="auto"/>
              </w:rPr>
            </w:pPr>
          </w:p>
        </w:tc>
        <w:tc>
          <w:tcPr>
            <w:tcW w:w="400" w:type="dxa"/>
            <w:vAlign w:val="bottom"/>
            <w:tcBorders>
              <w:top w:val="single" w:sz="8" w:color="auto"/>
              <w:bottom w:val="single" w:sz="8" w:color="auto"/>
            </w:tcBorders>
            <w:shd w:val="clear" w:color="auto" w:fill="D5DCE4"/>
          </w:tcPr>
          <w:p>
            <w:pPr>
              <w:spacing w:after="0"/>
              <w:rPr>
                <w:sz w:val="20"/>
                <w:szCs w:val="20"/>
                <w:color w:val="auto"/>
              </w:rPr>
            </w:pPr>
          </w:p>
        </w:tc>
        <w:tc>
          <w:tcPr>
            <w:tcW w:w="960" w:type="dxa"/>
            <w:vAlign w:val="bottom"/>
            <w:tcBorders>
              <w:top w:val="single" w:sz="8" w:color="auto"/>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366,978</w:t>
            </w:r>
          </w:p>
        </w:tc>
        <w:tc>
          <w:tcPr>
            <w:tcW w:w="440" w:type="dxa"/>
            <w:vAlign w:val="bottom"/>
            <w:tcBorders>
              <w:top w:val="single" w:sz="8" w:color="auto"/>
              <w:bottom w:val="single" w:sz="8" w:color="auto"/>
            </w:tcBorders>
            <w:shd w:val="clear" w:color="auto" w:fill="D5DCE4"/>
          </w:tcPr>
          <w:p>
            <w:pPr>
              <w:spacing w:after="0"/>
              <w:rPr>
                <w:sz w:val="20"/>
                <w:szCs w:val="20"/>
                <w:color w:val="auto"/>
              </w:rPr>
            </w:pPr>
          </w:p>
        </w:tc>
        <w:tc>
          <w:tcPr>
            <w:tcW w:w="100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23,326,831</w:t>
            </w:r>
          </w:p>
        </w:tc>
        <w:tc>
          <w:tcPr>
            <w:tcW w:w="100" w:type="dxa"/>
            <w:vAlign w:val="bottom"/>
            <w:tcBorders>
              <w:top w:val="single" w:sz="8" w:color="D5DCE4"/>
              <w:right w:val="single" w:sz="8" w:color="D5DCE4"/>
            </w:tcBorders>
            <w:shd w:val="clear" w:color="auto" w:fill="D5DCE4"/>
          </w:tcPr>
          <w:p>
            <w:pPr>
              <w:spacing w:after="0"/>
              <w:rPr>
                <w:sz w:val="20"/>
                <w:szCs w:val="20"/>
                <w:color w:val="auto"/>
              </w:rPr>
            </w:pPr>
          </w:p>
        </w:tc>
        <w:tc>
          <w:tcPr>
            <w:tcW w:w="1240" w:type="dxa"/>
            <w:vAlign w:val="bottom"/>
            <w:tcBorders>
              <w:top w:val="single" w:sz="8" w:color="auto"/>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15.54 %</w:t>
            </w:r>
          </w:p>
        </w:tc>
        <w:tc>
          <w:tcPr>
            <w:tcW w:w="0" w:type="dxa"/>
            <w:vAlign w:val="bottom"/>
          </w:tcPr>
          <w:p>
            <w:pPr>
              <w:spacing w:after="0"/>
              <w:rPr>
                <w:sz w:val="1"/>
                <w:szCs w:val="1"/>
                <w:color w:val="auto"/>
              </w:rPr>
            </w:pPr>
          </w:p>
        </w:tc>
      </w:tr>
      <w:tr>
        <w:trPr>
          <w:trHeight w:val="200"/>
        </w:trPr>
        <w:tc>
          <w:tcPr>
            <w:tcW w:w="1240" w:type="dxa"/>
            <w:vAlign w:val="bottom"/>
            <w:tcBorders>
              <w:bottom w:val="single" w:sz="8" w:color="D5DCE4"/>
            </w:tcBorders>
          </w:tcPr>
          <w:p>
            <w:pPr>
              <w:spacing w:after="0"/>
              <w:rPr>
                <w:sz w:val="17"/>
                <w:szCs w:val="17"/>
                <w:color w:val="auto"/>
              </w:rPr>
            </w:pPr>
          </w:p>
        </w:tc>
        <w:tc>
          <w:tcPr>
            <w:tcW w:w="2920" w:type="dxa"/>
            <w:vAlign w:val="bottom"/>
            <w:tcBorders>
              <w:bottom w:val="single" w:sz="8" w:color="D5DCE4"/>
            </w:tcBorders>
          </w:tcPr>
          <w:p>
            <w:pPr>
              <w:spacing w:after="0"/>
              <w:rPr>
                <w:sz w:val="17"/>
                <w:szCs w:val="17"/>
                <w:color w:val="auto"/>
              </w:rPr>
            </w:pPr>
          </w:p>
        </w:tc>
        <w:tc>
          <w:tcPr>
            <w:tcW w:w="120" w:type="dxa"/>
            <w:vAlign w:val="bottom"/>
            <w:tcBorders>
              <w:bottom w:val="single" w:sz="8" w:color="D5DCE4"/>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240" w:type="dxa"/>
            <w:vAlign w:val="bottom"/>
            <w:tcBorders>
              <w:right w:val="single" w:sz="8" w:color="D5DCE4"/>
            </w:tcBorders>
            <w:shd w:val="clear" w:color="auto" w:fill="D5DCE4"/>
          </w:tcPr>
          <w:p>
            <w:pPr>
              <w:spacing w:after="0"/>
              <w:rPr>
                <w:sz w:val="16"/>
                <w:szCs w:val="16"/>
                <w:color w:val="auto"/>
              </w:rPr>
            </w:pPr>
          </w:p>
        </w:tc>
        <w:tc>
          <w:tcPr>
            <w:tcW w:w="2920" w:type="dxa"/>
            <w:vAlign w:val="bottom"/>
            <w:shd w:val="clear" w:color="auto" w:fill="D5DCE4"/>
          </w:tcPr>
          <w:p>
            <w:pPr>
              <w:spacing w:after="0"/>
              <w:rPr>
                <w:sz w:val="16"/>
                <w:szCs w:val="16"/>
                <w:color w:val="auto"/>
              </w:rPr>
            </w:pPr>
          </w:p>
        </w:tc>
        <w:tc>
          <w:tcPr>
            <w:tcW w:w="120" w:type="dxa"/>
            <w:vAlign w:val="bottom"/>
            <w:tcBorders>
              <w:right w:val="single" w:sz="8" w:color="auto"/>
            </w:tcBorders>
            <w:shd w:val="clear" w:color="auto" w:fill="D5DCE4"/>
          </w:tcPr>
          <w:p>
            <w:pPr>
              <w:spacing w:after="0"/>
              <w:rPr>
                <w:sz w:val="16"/>
                <w:szCs w:val="16"/>
                <w:color w:val="auto"/>
              </w:rPr>
            </w:pPr>
          </w:p>
        </w:tc>
        <w:tc>
          <w:tcPr>
            <w:tcW w:w="300" w:type="dxa"/>
            <w:vAlign w:val="bottom"/>
            <w:shd w:val="clear" w:color="auto" w:fill="D5DCE4"/>
          </w:tcPr>
          <w:p>
            <w:pPr>
              <w:spacing w:after="0"/>
              <w:rPr>
                <w:sz w:val="16"/>
                <w:szCs w:val="16"/>
                <w:color w:val="auto"/>
              </w:rPr>
            </w:pPr>
          </w:p>
        </w:tc>
        <w:tc>
          <w:tcPr>
            <w:tcW w:w="1020" w:type="dxa"/>
            <w:vAlign w:val="bottom"/>
            <w:tcBorders>
              <w:right w:val="single" w:sz="8" w:color="auto"/>
            </w:tcBorders>
            <w:shd w:val="clear" w:color="auto" w:fill="D5DCE4"/>
          </w:tcPr>
          <w:p>
            <w:pPr>
              <w:spacing w:after="0"/>
              <w:rPr>
                <w:sz w:val="16"/>
                <w:szCs w:val="16"/>
                <w:color w:val="auto"/>
              </w:rPr>
            </w:pPr>
          </w:p>
        </w:tc>
        <w:tc>
          <w:tcPr>
            <w:tcW w:w="160" w:type="dxa"/>
            <w:vAlign w:val="bottom"/>
            <w:shd w:val="clear" w:color="auto" w:fill="D5DCE4"/>
          </w:tcPr>
          <w:p>
            <w:pPr>
              <w:spacing w:after="0"/>
              <w:rPr>
                <w:sz w:val="16"/>
                <w:szCs w:val="16"/>
                <w:color w:val="auto"/>
              </w:rPr>
            </w:pPr>
          </w:p>
        </w:tc>
        <w:tc>
          <w:tcPr>
            <w:tcW w:w="1360" w:type="dxa"/>
            <w:vAlign w:val="bottom"/>
            <w:tcBorders>
              <w:right w:val="single" w:sz="8" w:color="auto"/>
            </w:tcBorders>
            <w:gridSpan w:val="2"/>
            <w:shd w:val="clear" w:color="auto" w:fill="D5DCE4"/>
          </w:tcPr>
          <w:p>
            <w:pPr>
              <w:jc w:val="center"/>
              <w:ind w:right="260"/>
              <w:spacing w:after="0"/>
              <w:rPr>
                <w:sz w:val="20"/>
                <w:szCs w:val="20"/>
                <w:color w:val="auto"/>
              </w:rPr>
            </w:pPr>
            <w:r>
              <w:rPr>
                <w:rFonts w:ascii="Arial" w:cs="Arial" w:eastAsia="Arial" w:hAnsi="Arial"/>
                <w:sz w:val="16"/>
                <w:szCs w:val="16"/>
                <w:b w:val="1"/>
                <w:bCs w:val="1"/>
                <w:color w:val="auto"/>
              </w:rPr>
              <w:t>Volume (USD</w:t>
            </w:r>
          </w:p>
        </w:tc>
        <w:tc>
          <w:tcPr>
            <w:tcW w:w="400" w:type="dxa"/>
            <w:vAlign w:val="bottom"/>
            <w:shd w:val="clear" w:color="auto" w:fill="D5DCE4"/>
          </w:tcPr>
          <w:p>
            <w:pPr>
              <w:spacing w:after="0"/>
              <w:rPr>
                <w:sz w:val="16"/>
                <w:szCs w:val="16"/>
                <w:color w:val="auto"/>
              </w:rPr>
            </w:pPr>
          </w:p>
        </w:tc>
        <w:tc>
          <w:tcPr>
            <w:tcW w:w="960" w:type="dxa"/>
            <w:vAlign w:val="bottom"/>
            <w:tcBorders>
              <w:right w:val="single" w:sz="8" w:color="auto"/>
            </w:tcBorders>
            <w:shd w:val="clear" w:color="auto" w:fill="D5DCE4"/>
          </w:tcPr>
          <w:p>
            <w:pPr>
              <w:spacing w:after="0"/>
              <w:rPr>
                <w:sz w:val="16"/>
                <w:szCs w:val="16"/>
                <w:color w:val="auto"/>
              </w:rPr>
            </w:pPr>
          </w:p>
        </w:tc>
        <w:tc>
          <w:tcPr>
            <w:tcW w:w="440" w:type="dxa"/>
            <w:vAlign w:val="bottom"/>
            <w:shd w:val="clear" w:color="auto" w:fill="D5DCE4"/>
          </w:tcPr>
          <w:p>
            <w:pPr>
              <w:spacing w:after="0"/>
              <w:rPr>
                <w:sz w:val="16"/>
                <w:szCs w:val="16"/>
                <w:color w:val="auto"/>
              </w:rPr>
            </w:pPr>
          </w:p>
        </w:tc>
        <w:tc>
          <w:tcPr>
            <w:tcW w:w="1000" w:type="dxa"/>
            <w:vAlign w:val="bottom"/>
            <w:shd w:val="clear" w:color="auto" w:fill="D5DCE4"/>
          </w:tcPr>
          <w:p>
            <w:pPr>
              <w:spacing w:after="0"/>
              <w:rPr>
                <w:sz w:val="16"/>
                <w:szCs w:val="16"/>
                <w:color w:val="auto"/>
              </w:rPr>
            </w:pPr>
          </w:p>
        </w:tc>
        <w:tc>
          <w:tcPr>
            <w:tcW w:w="100" w:type="dxa"/>
            <w:vAlign w:val="bottom"/>
            <w:tcBorders>
              <w:right w:val="single" w:sz="8" w:color="auto"/>
            </w:tcBorders>
            <w:shd w:val="clear" w:color="auto" w:fill="D5DCE4"/>
          </w:tcPr>
          <w:p>
            <w:pPr>
              <w:spacing w:after="0"/>
              <w:rPr>
                <w:sz w:val="16"/>
                <w:szCs w:val="16"/>
                <w:color w:val="auto"/>
              </w:rPr>
            </w:pPr>
          </w:p>
        </w:tc>
        <w:tc>
          <w:tcPr>
            <w:tcW w:w="1240" w:type="dxa"/>
            <w:vAlign w:val="bottom"/>
            <w:tcBorders>
              <w:right w:val="single" w:sz="8" w:color="auto"/>
            </w:tcBorders>
            <w:shd w:val="clear" w:color="auto" w:fill="D5DCE4"/>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240" w:type="dxa"/>
            <w:vAlign w:val="bottom"/>
            <w:tcBorders>
              <w:right w:val="single" w:sz="8" w:color="D5DCE4"/>
            </w:tcBorders>
            <w:shd w:val="clear" w:color="auto" w:fill="D5DCE4"/>
          </w:tcPr>
          <w:p>
            <w:pPr>
              <w:spacing w:after="0"/>
              <w:rPr>
                <w:sz w:val="20"/>
                <w:szCs w:val="20"/>
                <w:color w:val="auto"/>
              </w:rPr>
            </w:pPr>
          </w:p>
        </w:tc>
        <w:tc>
          <w:tcPr>
            <w:tcW w:w="2920" w:type="dxa"/>
            <w:vAlign w:val="bottom"/>
            <w:tcBorders>
              <w:bottom w:val="single" w:sz="8" w:color="auto"/>
            </w:tcBorders>
            <w:shd w:val="clear" w:color="auto" w:fill="D5DCE4"/>
          </w:tcPr>
          <w:p>
            <w:pPr>
              <w:spacing w:after="0"/>
              <w:rPr>
                <w:sz w:val="20"/>
                <w:szCs w:val="20"/>
                <w:color w:val="auto"/>
              </w:rPr>
            </w:pPr>
          </w:p>
        </w:tc>
        <w:tc>
          <w:tcPr>
            <w:tcW w:w="120" w:type="dxa"/>
            <w:vAlign w:val="bottom"/>
            <w:tcBorders>
              <w:bottom w:val="single" w:sz="8" w:color="auto"/>
              <w:right w:val="single" w:sz="8" w:color="auto"/>
            </w:tcBorders>
            <w:shd w:val="clear" w:color="auto" w:fill="D5DCE4"/>
          </w:tcPr>
          <w:p>
            <w:pPr>
              <w:spacing w:after="0"/>
              <w:rPr>
                <w:sz w:val="20"/>
                <w:szCs w:val="20"/>
                <w:color w:val="auto"/>
              </w:rPr>
            </w:pPr>
          </w:p>
        </w:tc>
        <w:tc>
          <w:tcPr>
            <w:tcW w:w="1320" w:type="dxa"/>
            <w:vAlign w:val="bottom"/>
            <w:tcBorders>
              <w:bottom w:val="single" w:sz="8" w:color="auto"/>
              <w:right w:val="single" w:sz="8" w:color="auto"/>
            </w:tcBorders>
            <w:gridSpan w:val="2"/>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ADV (USD mm)</w:t>
            </w:r>
          </w:p>
        </w:tc>
        <w:tc>
          <w:tcPr>
            <w:tcW w:w="160" w:type="dxa"/>
            <w:vAlign w:val="bottom"/>
            <w:tcBorders>
              <w:bottom w:val="single" w:sz="8" w:color="auto"/>
            </w:tcBorders>
            <w:shd w:val="clear" w:color="auto" w:fill="D5DCE4"/>
          </w:tcPr>
          <w:p>
            <w:pPr>
              <w:spacing w:after="0"/>
              <w:rPr>
                <w:sz w:val="20"/>
                <w:szCs w:val="20"/>
                <w:color w:val="auto"/>
              </w:rPr>
            </w:pPr>
          </w:p>
        </w:tc>
        <w:tc>
          <w:tcPr>
            <w:tcW w:w="1360" w:type="dxa"/>
            <w:vAlign w:val="bottom"/>
            <w:tcBorders>
              <w:bottom w:val="single" w:sz="8" w:color="auto"/>
              <w:right w:val="single" w:sz="8" w:color="auto"/>
            </w:tcBorders>
            <w:gridSpan w:val="2"/>
            <w:shd w:val="clear" w:color="auto" w:fill="D5DCE4"/>
          </w:tcPr>
          <w:p>
            <w:pPr>
              <w:jc w:val="center"/>
              <w:ind w:right="260"/>
              <w:spacing w:after="0"/>
              <w:rPr>
                <w:sz w:val="20"/>
                <w:szCs w:val="20"/>
                <w:color w:val="auto"/>
              </w:rPr>
            </w:pPr>
            <w:r>
              <w:rPr>
                <w:rFonts w:ascii="Arial" w:cs="Arial" w:eastAsia="Arial" w:hAnsi="Arial"/>
                <w:sz w:val="16"/>
                <w:szCs w:val="16"/>
                <w:b w:val="1"/>
                <w:bCs w:val="1"/>
                <w:color w:val="auto"/>
              </w:rPr>
              <w:t>mm)</w:t>
            </w:r>
          </w:p>
        </w:tc>
        <w:tc>
          <w:tcPr>
            <w:tcW w:w="1360" w:type="dxa"/>
            <w:vAlign w:val="bottom"/>
            <w:tcBorders>
              <w:bottom w:val="single" w:sz="8" w:color="auto"/>
              <w:right w:val="single" w:sz="8" w:color="auto"/>
            </w:tcBorders>
            <w:gridSpan w:val="2"/>
            <w:shd w:val="clear" w:color="auto" w:fill="D5DCE4"/>
          </w:tcPr>
          <w:p>
            <w:pPr>
              <w:ind w:left="80"/>
              <w:spacing w:after="0"/>
              <w:rPr>
                <w:sz w:val="20"/>
                <w:szCs w:val="20"/>
                <w:color w:val="auto"/>
              </w:rPr>
            </w:pPr>
            <w:r>
              <w:rPr>
                <w:rFonts w:ascii="Arial" w:cs="Arial" w:eastAsia="Arial" w:hAnsi="Arial"/>
                <w:sz w:val="16"/>
                <w:szCs w:val="16"/>
                <w:b w:val="1"/>
                <w:bCs w:val="1"/>
                <w:color w:val="auto"/>
              </w:rPr>
              <w:t>ADV (USD mm)</w:t>
            </w:r>
          </w:p>
        </w:tc>
        <w:tc>
          <w:tcPr>
            <w:tcW w:w="1540" w:type="dxa"/>
            <w:vAlign w:val="bottom"/>
            <w:tcBorders>
              <w:bottom w:val="single" w:sz="8" w:color="auto"/>
              <w:right w:val="single" w:sz="8" w:color="auto"/>
            </w:tcBorders>
            <w:gridSpan w:val="3"/>
            <w:shd w:val="clear" w:color="auto" w:fill="D5DCE4"/>
          </w:tcPr>
          <w:p>
            <w:pPr>
              <w:ind w:left="20"/>
              <w:spacing w:after="0"/>
              <w:rPr>
                <w:sz w:val="20"/>
                <w:szCs w:val="20"/>
                <w:color w:val="auto"/>
              </w:rPr>
            </w:pPr>
            <w:r>
              <w:rPr>
                <w:rFonts w:ascii="Arial" w:cs="Arial" w:eastAsia="Arial" w:hAnsi="Arial"/>
                <w:sz w:val="16"/>
                <w:szCs w:val="16"/>
                <w:b w:val="1"/>
                <w:bCs w:val="1"/>
                <w:color w:val="auto"/>
              </w:rPr>
              <w:t>Volume (USD mm)</w:t>
            </w:r>
          </w:p>
        </w:tc>
        <w:tc>
          <w:tcPr>
            <w:tcW w:w="1240" w:type="dxa"/>
            <w:vAlign w:val="bottom"/>
            <w:tcBorders>
              <w:bottom w:val="single" w:sz="8" w:color="auto"/>
              <w:right w:val="single" w:sz="8" w:color="auto"/>
            </w:tcBorders>
            <w:shd w:val="clear" w:color="auto" w:fill="D5DCE4"/>
          </w:tcPr>
          <w:p>
            <w:pPr>
              <w:ind w:left="460"/>
              <w:spacing w:after="0"/>
              <w:rPr>
                <w:sz w:val="20"/>
                <w:szCs w:val="20"/>
                <w:color w:val="auto"/>
              </w:rPr>
            </w:pPr>
            <w:r>
              <w:rPr>
                <w:rFonts w:ascii="Arial" w:cs="Arial" w:eastAsia="Arial" w:hAnsi="Arial"/>
                <w:sz w:val="16"/>
                <w:szCs w:val="16"/>
                <w:b w:val="1"/>
                <w:bCs w:val="1"/>
                <w:color w:val="auto"/>
              </w:rPr>
              <w:t>YoY</w:t>
            </w:r>
          </w:p>
        </w:tc>
        <w:tc>
          <w:tcPr>
            <w:tcW w:w="0" w:type="dxa"/>
            <w:vAlign w:val="bottom"/>
          </w:tcPr>
          <w:p>
            <w:pPr>
              <w:spacing w:after="0"/>
              <w:rPr>
                <w:sz w:val="1"/>
                <w:szCs w:val="1"/>
                <w:color w:val="auto"/>
              </w:rPr>
            </w:pPr>
          </w:p>
        </w:tc>
      </w:tr>
      <w:tr>
        <w:trPr>
          <w:trHeight w:val="236"/>
        </w:trPr>
        <w:tc>
          <w:tcPr>
            <w:tcW w:w="1240" w:type="dxa"/>
            <w:vAlign w:val="bottom"/>
            <w:tcBorders>
              <w:right w:val="single" w:sz="8" w:color="auto"/>
            </w:tcBorders>
          </w:tcPr>
          <w:p>
            <w:pPr>
              <w:spacing w:after="0"/>
              <w:rPr>
                <w:sz w:val="20"/>
                <w:szCs w:val="20"/>
                <w:color w:val="auto"/>
              </w:rPr>
            </w:pPr>
          </w:p>
        </w:tc>
        <w:tc>
          <w:tcPr>
            <w:tcW w:w="30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1,176,328</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72,620,344</w:t>
            </w:r>
          </w:p>
        </w:tc>
        <w:tc>
          <w:tcPr>
            <w:tcW w:w="10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976,762</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62,030,861</w:t>
            </w:r>
          </w:p>
        </w:tc>
        <w:tc>
          <w:tcPr>
            <w:tcW w:w="10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20.43 %</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access historical traded volumes, go to </w:t>
      </w:r>
      <w:r>
        <w:rPr>
          <w:rFonts w:ascii="Arial" w:cs="Arial" w:eastAsia="Arial" w:hAnsi="Arial"/>
          <w:sz w:val="16"/>
          <w:szCs w:val="16"/>
          <w:u w:val="single" w:color="auto"/>
          <w:color w:val="0E32E1"/>
        </w:rPr>
        <w:t>https://www.tradeweb.com/newsroom/monthly-activity-reports/</w:t>
      </w:r>
    </w:p>
    <w:p>
      <w:pPr>
        <w:spacing w:after="0" w:line="203" w:lineRule="exact"/>
        <w:rPr>
          <w:sz w:val="20"/>
          <w:szCs w:val="20"/>
          <w:color w:val="auto"/>
        </w:rPr>
      </w:pPr>
    </w:p>
    <w:p>
      <w:pPr>
        <w:ind w:left="10580"/>
        <w:spacing w:after="0"/>
        <w:rPr>
          <w:sz w:val="20"/>
          <w:szCs w:val="20"/>
          <w:color w:val="auto"/>
        </w:rPr>
      </w:pPr>
      <w:r>
        <w:rPr>
          <w:rFonts w:ascii="Arial" w:cs="Arial" w:eastAsia="Arial" w:hAnsi="Arial"/>
          <w:sz w:val="18"/>
          <w:szCs w:val="18"/>
          <w:color w:val="auto"/>
        </w:rPr>
        <w:t>Page | 9</w:t>
      </w:r>
    </w:p>
    <w:p>
      <w:pPr>
        <w:sectPr>
          <w:pgSz w:w="11900" w:h="16838" w:orient="portrait"/>
          <w:cols w:equalWidth="0" w:num="1">
            <w:col w:w="11260"/>
          </w:cols>
          <w:pgMar w:left="320" w:top="773" w:right="31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083566"/>
        </w:rPr>
        <w:t>FORWARD-LOOKING STATEMENTS</w:t>
      </w:r>
    </w:p>
    <w:p>
      <w:pPr>
        <w:spacing w:after="0" w:line="113"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This release contains forward-looking statements within the meaning of the federal securities laws. Statements related to, among other things, our guidance, including full-year 2022 guidance, and future performance, the industry and markets in which we operate, our expectations, beliefs, plans, strategies, objectives, prospects and assumptions and future events are forward-looking statements.</w:t>
      </w:r>
    </w:p>
    <w:p>
      <w:pPr>
        <w:spacing w:after="0" w:line="17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under the heading “Risk Factors” in documents of Tradeweb Markets Inc. on file with or furnished to the SEC, may cause our actual results, performance or achievements to differ materially from those expressed or implied by these forward-looking statements. Given these risks and uncertainties, you are cautioned not to place undue reliance on such forward-looking statements. The forward-looking statements contained in this release are not guarantees of future performance and our actual results of operations, financial condition or liquidity, and the development of the industry and markets in which we operate, may differ materially from the forward-looking statements contained in this release. In addition, even if our results of operations, financial condition, or liquidity, and events in the industry and markets in which we operate, are consistent with the forward-looking statements contained in this release, they may not be predictive of results or developments in future periods. 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BASIS OF PRESENTATION</w:t>
      </w:r>
    </w:p>
    <w:p>
      <w:pPr>
        <w:spacing w:after="0" w:line="127"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Tradeweb Markets Inc. (unless the context otherwise requires, together with its subsidiaries, referred to as “we,” “our,” “Tradeweb,” “Tradeweb Markets” or the “Company”) closed its IPO on April 8, 2019. As a result of certain reorganization transactions (the “Reorganization Transactions”) completed in connection with the IPO, on April 4, 2019, Tradeweb Markets Inc. became a holding company whose only material assets consist of its equity interest in Tradeweb Markets LLC (“TWM LLC”) and related deferred tax assets. As the sole manager of TWM LLC, Tradeweb Markets Inc. operates and controls all of the business and affairs of TWM LLC and, through TWM LLC and its subsidiaries, conducts its business. As a result of this control, and because Tradeweb Markets Inc. has a substantial financial interest in TWM LLC, Tradeweb Markets Inc. consolidates the financial results of TWM LLC and its subsidiaries.</w:t>
      </w:r>
    </w:p>
    <w:p>
      <w:pPr>
        <w:spacing w:after="0" w:line="203"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Numerical figures included in this release have been subject to rounding adjustments and as a result totals may not be the arithmetic aggregation of the amounts that precede them and figures expressed as percentages may not total 100%.</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Please refer to the Company's previously filed Annual Report on Form 10-K for capitalized terms not otherwise defined herein.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SOCIAL MEDIA</w:t>
      </w:r>
    </w:p>
    <w:p>
      <w:pPr>
        <w:spacing w:after="0" w:line="127"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Investors and others should note that Tradeweb Markets announces material financial and operational information using its investor relations website, press releases, SEC filings and public conference calls and webcasts. Information about Tradeweb Markets, its business and its results of operations may also be announced by posts on the Company’s accounts on the following social media channels: Instagram, LinkedIn and Twitter. The information that we post through these social media channels may be deemed material. As a result, we encourage investors, the media, and others interested in Tradeweb Markets to monitor these social media channels in addition to following our press releases, SEC filings and public conference calls and webcasts. These social media channels may be updated from time to time on our investor relations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10</w:t>
      </w:r>
    </w:p>
    <w:p>
      <w:pPr>
        <w:sectPr>
          <w:pgSz w:w="11900" w:h="16838" w:orient="portrait"/>
          <w:cols w:equalWidth="0" w:num="1">
            <w:col w:w="11240"/>
          </w:cols>
          <w:pgMar w:left="320" w:top="989"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083566"/>
        </w:rPr>
        <w:t>NON-GAAP FINANCIAL MEASURES</w:t>
      </w:r>
    </w:p>
    <w:p>
      <w:pPr>
        <w:spacing w:after="0" w:line="113"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This release contains “non-GAAP financial measures,” including Adjusted EBITDA, Adjusted EBITDA margin, Adjusted EBIT, Adjusted EBIT margin, Adjusted Net Income, Adjusted Diluted EPS, Adjusted Expenses and Free Cash Flow, which are supplemental financial measures that are not calculated or presented in accordance with GAAP. We make use of non-GAAP financial measures in evaluating our past results and future prospects. We present these non-GAAP financial measures because we believe they assist investors and analysts in comparing our operating performance across reporting periods on a consistent basis by excluding items that we do not believe are indicative of our core operating performance.</w:t>
      </w:r>
    </w:p>
    <w:p>
      <w:pPr>
        <w:spacing w:after="0" w:line="199"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195" w:lineRule="exact"/>
        <w:rPr>
          <w:sz w:val="20"/>
          <w:szCs w:val="20"/>
          <w:color w:val="auto"/>
        </w:rPr>
      </w:pPr>
    </w:p>
    <w:p>
      <w:pPr>
        <w:ind w:right="360"/>
        <w:spacing w:after="0" w:line="265" w:lineRule="auto"/>
        <w:rPr>
          <w:sz w:val="20"/>
          <w:szCs w:val="20"/>
          <w:color w:val="auto"/>
        </w:rPr>
      </w:pPr>
      <w:r>
        <w:rPr>
          <w:rFonts w:ascii="Arial" w:cs="Arial" w:eastAsia="Arial" w:hAnsi="Arial"/>
          <w:sz w:val="16"/>
          <w:szCs w:val="16"/>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included in Adjusted Net Income and Adjusted Diluted EPS help to provide management with a measure of our operating performance over time by removing items that are not related to day-to-day operations or are non-cash expenses.</w:t>
      </w:r>
    </w:p>
    <w:p>
      <w:pPr>
        <w:spacing w:after="0" w:line="200"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We use Adjusted Expenses as a supplemental metric to evaluate our underlying operating performance over time by removing items that are not related to day-to-day operations or are non-cash expenses.</w:t>
      </w:r>
    </w:p>
    <w:p>
      <w:pPr>
        <w:spacing w:after="0" w:line="168"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We use Free Cash Flow to assess our liquidity in a way that considers the amount of cash generated from our core operations after non-acquisition related expenditures for capitalized software development costs and furniture, equipment and leasehold improvements.</w:t>
      </w:r>
    </w:p>
    <w:p>
      <w:pPr>
        <w:spacing w:after="0" w:line="16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See the attached schedules for reconciliations of the non-GAAP financial measures contained in this release to their most comparable GAAP financial measure. Non-GAAP financial measures have limitations as analytical tools, and you should not consider these non-GAAP financial measures in isolation or as alternatives to net income attributable to Tradeweb Markets Inc., net income, earnings per share, operating income, operating expenses or cash flow from operating activities or any other financial measure derived in accordance with GAAP. You are encouraged to evaluate each adjustment included in the reconciliations. In addition, in evaluating Adjusted EBITDA, Adjusted EBITDA margin, Adjusted EBIT, Adjusted EBIT margin, Adjusted Net Income, Adjusted Diluted EPS, Adjusted Expenses and Free Cash Flow, you should be aware that in the future, we may incur expenses similar to the adjustments in the presentation of these non-GAAP financial measures.</w:t>
      </w:r>
    </w:p>
    <w:p>
      <w:pPr>
        <w:spacing w:after="0" w:line="190"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We present certain growth information on a “constant currency” basis. Since our consolidated financial statements are presented in U.S. dollars, we must translate non-U.S. dollar revenues and expenses into U.S. dollars. Constant currency growth, which is a non-GAAP financial measure, is defined as growth excluding the effects of foreign currency fluctuations. Constant currency information is calculated by translating the current period and prior period’s results using the annual average exchange rates for the prior period. We use constant currency growth as a supplemental metric to evaluate our underlying performance between periods by removing the impact of foreign currency fluctuations. We present certain constant currency growth information because we believe it provides investors and analysts a useful comparison of our results and trends between periods. This information should be considered in addition to, not as a substitute for, results reported in accordance with GAAP.</w:t>
      </w:r>
    </w:p>
    <w:p>
      <w:pPr>
        <w:spacing w:after="0" w:line="82"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Our presentation of non-GAAP financial measures should not be construed as an inference that our future results will be unaffected by unusual or non-recurring items. In addition, the non-GAAP financial measures contained in this release may not be comparable to similarly titled measures used by other companies in our industry or across different industries.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11</w:t>
      </w:r>
    </w:p>
    <w:sectPr>
      <w:pgSz w:w="11900" w:h="16838" w:orient="portrait"/>
      <w:cols w:equalWidth="0" w:num="1">
        <w:col w:w="11240"/>
      </w:cols>
      <w:pgMar w:left="320" w:top="9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3"/>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2022-08-03T06:04:43Z</dcterms:created>
  <dcterms:modified xsi:type="dcterms:W3CDTF">2022-08-03T06:04:43Z</dcterms:modified>
</cp:coreProperties>
</file>