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Hult William</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Tradeweb Markets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03/15/2022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580" w:type="dxa"/>
            <w:vAlign w:val="bottom"/>
          </w:tcPr>
          <w:p>
            <w:pPr>
              <w:ind w:left="100"/>
              <w:spacing w:after="0"/>
              <w:rPr>
                <w:sz w:val="20"/>
                <w:szCs w:val="20"/>
                <w:color w:val="auto"/>
              </w:rPr>
            </w:pPr>
            <w:r>
              <w:rPr>
                <w:rFonts w:ascii="Arial" w:cs="Arial" w:eastAsia="Arial" w:hAnsi="Arial"/>
                <w:sz w:val="13"/>
                <w:szCs w:val="13"/>
                <w:color w:val="auto"/>
              </w:rPr>
              <w:t>Director</w:t>
            </w:r>
          </w:p>
        </w:tc>
        <w:tc>
          <w:tcPr>
            <w:tcW w:w="920" w:type="dxa"/>
            <w:vAlign w:val="bottom"/>
          </w:tcPr>
          <w:p>
            <w:pPr>
              <w:ind w:left="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58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920" w:type="dxa"/>
            <w:vAlign w:val="bottom"/>
          </w:tcPr>
          <w:p>
            <w:pPr>
              <w:ind w:left="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5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920" w:type="dxa"/>
            <w:vAlign w:val="bottom"/>
            <w:vMerge w:val="restart"/>
          </w:tcPr>
          <w:p>
            <w:pPr>
              <w:ind w:left="8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58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20" w:type="dxa"/>
            <w:vAlign w:val="bottom"/>
          </w:tcPr>
          <w:p>
            <w:pPr>
              <w:spacing w:after="0"/>
              <w:rPr>
                <w:sz w:val="21"/>
                <w:szCs w:val="21"/>
                <w:color w:val="auto"/>
              </w:rPr>
            </w:pPr>
          </w:p>
        </w:tc>
        <w:tc>
          <w:tcPr>
            <w:tcW w:w="1580" w:type="dxa"/>
            <w:vAlign w:val="bottom"/>
          </w:tcPr>
          <w:p>
            <w:pPr>
              <w:ind w:left="840"/>
              <w:spacing w:after="0"/>
              <w:rPr>
                <w:sz w:val="20"/>
                <w:szCs w:val="20"/>
                <w:color w:val="auto"/>
              </w:rPr>
            </w:pPr>
            <w:r>
              <w:rPr>
                <w:rFonts w:ascii="Arial" w:cs="Arial" w:eastAsia="Arial" w:hAnsi="Arial"/>
                <w:sz w:val="17"/>
                <w:szCs w:val="17"/>
                <w:color w:val="0000FF"/>
              </w:rPr>
              <w:t>President</w:t>
            </w: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97"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21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40"/>
              <w:spacing w:after="0"/>
              <w:rPr>
                <w:sz w:val="20"/>
                <w:szCs w:val="20"/>
                <w:color w:val="auto"/>
              </w:rPr>
            </w:pPr>
            <w:r>
              <w:rPr>
                <w:rFonts w:ascii="Arial" w:cs="Arial" w:eastAsia="Arial" w:hAnsi="Arial"/>
                <w:sz w:val="17"/>
                <w:szCs w:val="17"/>
                <w:color w:val="0000FF"/>
              </w:rPr>
              <w:t>NY</w:t>
            </w:r>
          </w:p>
        </w:tc>
        <w:tc>
          <w:tcPr>
            <w:tcW w:w="1600" w:type="dxa"/>
            <w:vAlign w:val="bottom"/>
          </w:tcPr>
          <w:p>
            <w:pPr>
              <w:ind w:left="400"/>
              <w:spacing w:after="0"/>
              <w:rPr>
                <w:sz w:val="20"/>
                <w:szCs w:val="20"/>
                <w:color w:val="auto"/>
              </w:rPr>
            </w:pPr>
            <w:r>
              <w:rPr>
                <w:rFonts w:ascii="Arial" w:cs="Arial" w:eastAsia="Arial" w:hAnsi="Arial"/>
                <w:sz w:val="17"/>
                <w:szCs w:val="17"/>
                <w:color w:val="0000FF"/>
              </w:rPr>
              <w:t>10036</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65"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Arial" w:cs="Arial" w:eastAsia="Arial" w:hAnsi="Arial"/>
                <w:sz w:val="17"/>
                <w:szCs w:val="17"/>
                <w:color w:val="0000FF"/>
              </w:rPr>
              <w:t>03/15/2022</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A</w:t>
            </w:r>
            <w:r>
              <w:rPr>
                <w:rFonts w:ascii="Arial" w:cs="Arial" w:eastAsia="Arial" w:hAnsi="Arial"/>
                <w:sz w:val="11"/>
                <w:szCs w:val="11"/>
                <w:color w:val="008000"/>
              </w:rPr>
              <w:t>(1)</w:t>
            </w:r>
          </w:p>
        </w:tc>
        <w:tc>
          <w:tcPr>
            <w:tcW w:w="72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w w:val="96"/>
              </w:rPr>
              <w:t>25,963</w:t>
            </w:r>
          </w:p>
        </w:tc>
        <w:tc>
          <w:tcPr>
            <w:tcW w:w="4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80" w:type="dxa"/>
            <w:vAlign w:val="bottom"/>
            <w:tcBorders>
              <w:bottom w:val="single" w:sz="8" w:color="2C2C2C"/>
            </w:tcBorders>
            <w:gridSpan w:val="3"/>
          </w:tcPr>
          <w:p>
            <w:pPr>
              <w:ind w:left="400"/>
              <w:spacing w:after="0"/>
              <w:rPr>
                <w:sz w:val="20"/>
                <w:szCs w:val="20"/>
                <w:color w:val="auto"/>
              </w:rPr>
            </w:pPr>
            <w:r>
              <w:rPr>
                <w:rFonts w:ascii="Arial" w:cs="Arial" w:eastAsia="Arial" w:hAnsi="Arial"/>
                <w:sz w:val="17"/>
                <w:szCs w:val="17"/>
                <w:color w:val="0000FF"/>
              </w:rPr>
              <w:t>226,092</w:t>
            </w:r>
            <w:r>
              <w:rPr>
                <w:rFonts w:ascii="Arial" w:cs="Arial" w:eastAsia="Arial" w:hAnsi="Arial"/>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700" w:firstLine="7"/>
        <w:spacing w:after="0" w:line="30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reported transaction is an award of restricted stock units ("RSUs") in respect of the issuer's Class A common stock ("Class A Common Stock"). Subject to the reporting person's continued employment with the issuer through the applicable vesting date, these RSUs are scheduled to vest in equal installments on each of the first, second and third anniversaries of March 15, 2022.</w:t>
      </w:r>
    </w:p>
    <w:p>
      <w:pPr>
        <w:jc w:val="both"/>
        <w:ind w:left="40" w:right="220" w:firstLine="7"/>
        <w:spacing w:after="0" w:line="272"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amount includes (i) 14,364 unvested RSUs in respect of Class A Common Stock which are scheduled to vest on March 17, 2023, (ii) 86,184 unvested RSUs in respect of Class A Common Stock which are scheduled to vest on January 1, 2023, (iii) 16,563 unvested RSUs in respect of Class A Common Stock which are scheduled to vest in equal installments on each of March 15, 2023 and March 15, 2024, (iv) 49,688 unvested RSUs in respect of Class A Common Stock which are scheduled to vest on January 1, 2024, and (v) 25,963 unvested RSUs in respect of Class A Common Stock which are scheduled to vest as described in footnote 1 to this Form 4, in each case subject to the reporting person's continued employment through the applicable vesting date.</w:t>
      </w:r>
    </w:p>
    <w:p>
      <w:pPr>
        <w:spacing w:after="0" w:line="7"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Scott Zucker, Attorney-in-</w:t>
            </w:r>
          </w:p>
        </w:tc>
        <w:tc>
          <w:tcPr>
            <w:tcW w:w="6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03/17/2022</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Fact for William Hult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500" w:type="dxa"/>
            <w:vAlign w:val="bottom"/>
            <w:shd w:val="clear" w:color="auto" w:fill="000000"/>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1194"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2022-03-17T20:56:35Z</dcterms:created>
  <dcterms:modified xsi:type="dcterms:W3CDTF">2022-03-17T20:56:35Z</dcterms:modified>
</cp:coreProperties>
</file>