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4"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528"/>
              <w:spacing w:after="0"/>
              <w:rPr>
                <w:sz w:val="20"/>
                <w:szCs w:val="20"/>
                <w:color w:val="auto"/>
              </w:rPr>
            </w:pPr>
            <w:r>
              <w:rPr>
                <w:rFonts w:ascii="Times New Roman" w:cs="Times New Roman" w:eastAsia="Times New Roman" w:hAnsi="Times New Roman"/>
                <w:sz w:val="14"/>
                <w:szCs w:val="14"/>
                <w:color w:val="auto"/>
              </w:rPr>
              <w:t>Shares Outstanding as of April 18, 2024</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116,165,228</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18,000,000</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5,077,973</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MARCH 31, 2024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300" w:type="dxa"/>
            <w:vAlign w:val="bottom"/>
            <w:gridSpan w:val="19"/>
            <w:vMerge w:val="restart"/>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300" w:type="dxa"/>
            <w:vAlign w:val="bottom"/>
            <w:gridSpan w:val="19"/>
            <w:vMerge w:val="continue"/>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32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4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80" w:type="dxa"/>
            <w:vAlign w:val="bottom"/>
            <w:tcBorders>
              <w:top w:val="single" w:sz="8" w:color="3051F2"/>
            </w:tcBorders>
            <w:gridSpan w:val="2"/>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10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18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March 31, 2024 and December 31,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Borders>
              <w:top w:val="single" w:sz="8" w:color="3051F2"/>
            </w:tcBorders>
            <w:gridSpan w:val="20"/>
          </w:tcPr>
          <w:p>
            <w:pPr>
              <w:spacing w:after="0"/>
              <w:rPr>
                <w:sz w:val="20"/>
                <w:szCs w:val="20"/>
                <w:color w:val="auto"/>
              </w:rPr>
            </w:pPr>
            <w:r>
              <w:rPr>
                <w:rFonts w:ascii="Times New Roman" w:cs="Times New Roman" w:eastAsia="Times New Roman" w:hAnsi="Times New Roman"/>
                <w:sz w:val="18"/>
                <w:szCs w:val="18"/>
                <w:color w:val="3051F2"/>
              </w:rPr>
              <w:t>Condensed Consolidated Statements of Income for the three months ended March 31, 2024 and 2023</w:t>
            </w:r>
          </w:p>
        </w:tc>
        <w:tc>
          <w:tcPr>
            <w:tcW w:w="142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4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6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months ended March 31, 2024 and 2023</w:t>
            </w: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80" w:type="dxa"/>
            <w:vAlign w:val="bottom"/>
            <w:tcBorders>
              <w:bottom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Changes in Equity for the three months ended March 31, 2024 and 2023</w:t>
            </w:r>
          </w:p>
        </w:tc>
        <w:tc>
          <w:tcPr>
            <w:tcW w:w="98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Cash Flows for the three months ended March 31, 2024 and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3051F2"/>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3580" w:type="dxa"/>
            <w:vAlign w:val="bottom"/>
            <w:tcBorders>
              <w:top w:val="single" w:sz="8" w:color="3051F2"/>
            </w:tcBorders>
            <w:gridSpan w:val="6"/>
          </w:tcPr>
          <w:p>
            <w:pPr>
              <w:spacing w:after="0"/>
              <w:rPr>
                <w:sz w:val="24"/>
                <w:szCs w:val="24"/>
                <w:color w:val="auto"/>
              </w:rPr>
            </w:pPr>
          </w:p>
        </w:tc>
        <w:tc>
          <w:tcPr>
            <w:tcW w:w="148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120" w:type="dxa"/>
            <w:vAlign w:val="bottom"/>
            <w:tcBorders>
              <w:top w:val="single" w:sz="8" w:color="3051F2"/>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top w:val="single" w:sz="8" w:color="3051F2"/>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2140" w:type="dxa"/>
            <w:vAlign w:val="bottom"/>
            <w:tcBorders>
              <w:top w:val="single" w:sz="8" w:color="3051F2"/>
            </w:tcBorders>
            <w:gridSpan w:val="3"/>
          </w:tcPr>
          <w:p>
            <w:pPr>
              <w:spacing w:after="0"/>
              <w:rPr>
                <w:sz w:val="24"/>
                <w:szCs w:val="24"/>
                <w:color w:val="auto"/>
              </w:rPr>
            </w:pPr>
          </w:p>
        </w:tc>
        <w:tc>
          <w:tcPr>
            <w:tcW w:w="282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750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48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7940" w:type="dxa"/>
            <w:vAlign w:val="bottom"/>
            <w:gridSpan w:val="17"/>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4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3051F2"/>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492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3.</w:t>
            </w: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80" w:type="dxa"/>
            <w:vAlign w:val="bottom"/>
            <w:tcBorders>
              <w:top w:val="single" w:sz="8" w:color="3051F2"/>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696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7960" w:type="dxa"/>
            <w:vAlign w:val="bottom"/>
            <w:gridSpan w:val="18"/>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2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06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42"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6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by Tradeweb Markets Inc., are redeemable or exchangeable in accordance with the TWM LLC Agreement for shares of Class A common stock or Class B common stock, as the case may be, on a one-for-one basis.</w:t>
      </w:r>
    </w:p>
    <w:p>
      <w:pPr>
        <w:spacing w:after="0" w:line="13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5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21"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35"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compensation expense or payroll taxes associated with certain option exercises;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or closed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our environmental, social and governance goals;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or joint ventures;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9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2023 (the “2023 Form 10-K”), filed with the SEC and in other filings we may make from time to time with the SEC.</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1,544,881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1,706,468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676,111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381,178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36,806</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$287 and $284 at March 31, 2024 and December 31, 2023, respectively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168,407</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131,332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2,857,713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2,815,524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1,004,797</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affiliates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684,250</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69,935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70,819</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7,395,949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7,059,538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9"/>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646,643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351,864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164,329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57,501</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and due to affiliates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20,767</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431,980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457,523</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1,319,922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1,128,132</w:t>
            </w:r>
          </w:p>
        </w:tc>
      </w:tr>
      <w:tr>
        <w:trPr>
          <w:trHeight w:val="135"/>
        </w:trPr>
        <w:tc>
          <w:tcPr>
            <w:tcW w:w="8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48"/>
        </w:trPr>
        <w:tc>
          <w:tcPr>
            <w:tcW w:w="8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116,165,228 and 115,090,787 shares issued and outstanding as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5,077,973 and 5,077,973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4,771,075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4,738,758</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745,240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640,384</w:t>
            </w:r>
          </w:p>
        </w:tc>
      </w:tr>
      <w:tr>
        <w:trPr>
          <w:trHeight w:val="202"/>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5,508,793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5,373,755</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567,234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557,651</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6,076,027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7,395,949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7,059,538</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335,451</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266,598</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44,374</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15,594</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0" w:type="dxa"/>
            <w:vAlign w:val="bottom"/>
          </w:tcPr>
          <w:p>
            <w:pPr>
              <w:spacing w:after="0"/>
              <w:rPr>
                <w:sz w:val="1"/>
                <w:szCs w:val="1"/>
                <w:color w:val="auto"/>
              </w:rPr>
            </w:pPr>
          </w:p>
        </w:tc>
      </w:tr>
      <w:tr>
        <w:trPr>
          <w:trHeight w:val="186"/>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408,739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329,249</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114,493</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45,404</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17,567</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11,176</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241,061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206,683</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167,678</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122,566</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21,060</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12,940</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187,020</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135,398</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(33,205)</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143,382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102,193</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14,337</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126,142</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87,856</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212,709,872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208,105,437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214,660,853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210,143,734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260" w:type="dxa"/>
            <w:vAlign w:val="bottom"/>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r>
      <w:tr>
        <w:trPr>
          <w:trHeight w:val="203"/>
        </w:trPr>
        <w:tc>
          <w:tcPr>
            <w:tcW w:w="8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7"/>
                <w:szCs w:val="17"/>
                <w:color w:val="auto"/>
              </w:rPr>
            </w:pPr>
          </w:p>
        </w:tc>
      </w:tr>
      <w:tr>
        <w:trPr>
          <w:trHeight w:val="23"/>
        </w:trPr>
        <w:tc>
          <w:tcPr>
            <w:tcW w:w="8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20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143,382</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102,193</w:t>
            </w:r>
          </w:p>
        </w:tc>
      </w:tr>
      <w:tr>
        <w:trPr>
          <w:trHeight w:val="17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months ended March 31, 2024 and 2023</w:t>
            </w:r>
          </w:p>
        </w:tc>
        <w:tc>
          <w:tcPr>
            <w:tcW w:w="8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r>
      <w:tr>
        <w:trPr>
          <w:trHeight w:val="18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2,649</w:t>
            </w:r>
          </w:p>
        </w:tc>
      </w:tr>
      <w:tr>
        <w:trPr>
          <w:trHeight w:val="203"/>
        </w:trPr>
        <w:tc>
          <w:tcPr>
            <w:tcW w:w="8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00"/>
          </w:cols>
          <w:pgMar w:left="320" w:top="121" w:right="37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0628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p>
      <w:pPr>
        <w:spacing w:after="0" w:line="55" w:lineRule="exact"/>
        <w:rPr>
          <w:sz w:val="20"/>
          <w:szCs w:val="20"/>
          <w:color w:val="auto"/>
        </w:rPr>
      </w:pPr>
    </w:p>
    <w:p>
      <w:pPr>
        <w:ind w:left="20" w:right="2700"/>
        <w:spacing w:after="0" w:line="342" w:lineRule="auto"/>
        <w:rPr>
          <w:sz w:val="20"/>
          <w:szCs w:val="20"/>
          <w:color w:val="auto"/>
        </w:rPr>
      </w:pPr>
      <w:r>
        <w:rPr>
          <w:rFonts w:ascii="Times New Roman" w:cs="Times New Roman" w:eastAsia="Times New Roman" w:hAnsi="Times New Roman"/>
          <w:sz w:val="14"/>
          <w:szCs w:val="14"/>
          <w:color w:val="auto"/>
        </w:rPr>
        <w:t>Less: Foreign currency translation adjustments attributable to non-controlling interests Comprehensive income attributable to 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0628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800"/>
        <w:spacing w:after="0"/>
        <w:tabs>
          <w:tab w:leader="none" w:pos="2220" w:val="left"/>
        </w:tabs>
        <w:rPr>
          <w:sz w:val="20"/>
          <w:szCs w:val="20"/>
          <w:color w:val="auto"/>
        </w:rPr>
      </w:pPr>
      <w:r>
        <w:rPr>
          <w:rFonts w:ascii="Times New Roman" w:cs="Times New Roman" w:eastAsia="Times New Roman" w:hAnsi="Times New Roman"/>
          <w:sz w:val="14"/>
          <w:szCs w:val="14"/>
          <w:color w:val="auto"/>
        </w:rPr>
        <w:t>141,018</w:t>
      </w:r>
      <w:r>
        <w:rPr>
          <w:sz w:val="20"/>
          <w:szCs w:val="20"/>
          <w:color w:val="auto"/>
        </w:rPr>
        <w:tab/>
      </w:r>
      <w:r>
        <w:rPr>
          <w:rFonts w:ascii="Times New Roman" w:cs="Times New Roman" w:eastAsia="Times New Roman" w:hAnsi="Times New Roman"/>
          <w:sz w:val="14"/>
          <w:szCs w:val="14"/>
          <w:color w:val="auto"/>
        </w:rPr>
        <w:t>104,842</w:t>
      </w:r>
    </w:p>
    <w:p>
      <w:pPr>
        <w:spacing w:after="0" w:line="59" w:lineRule="exact"/>
        <w:rPr>
          <w:sz w:val="20"/>
          <w:szCs w:val="20"/>
          <w:color w:val="auto"/>
        </w:rPr>
      </w:pPr>
    </w:p>
    <w:p>
      <w:pPr>
        <w:jc w:val="both"/>
        <w:ind w:left="880"/>
        <w:spacing w:after="0"/>
        <w:tabs>
          <w:tab w:leader="none" w:pos="2300" w:val="left"/>
        </w:tabs>
        <w:rPr>
          <w:sz w:val="20"/>
          <w:szCs w:val="20"/>
          <w:color w:val="auto"/>
        </w:rPr>
      </w:pPr>
      <w:r>
        <w:rPr>
          <w:rFonts w:ascii="Times New Roman" w:cs="Times New Roman" w:eastAsia="Times New Roman" w:hAnsi="Times New Roman"/>
          <w:sz w:val="14"/>
          <w:szCs w:val="14"/>
          <w:color w:val="auto"/>
        </w:rPr>
        <w:t>17,240</w:t>
      </w:r>
      <w:r>
        <w:rPr>
          <w:sz w:val="20"/>
          <w:szCs w:val="20"/>
          <w:color w:val="auto"/>
        </w:rPr>
        <w:tab/>
      </w:r>
      <w:r>
        <w:rPr>
          <w:rFonts w:ascii="Times New Roman" w:cs="Times New Roman" w:eastAsia="Times New Roman" w:hAnsi="Times New Roman"/>
          <w:sz w:val="14"/>
          <w:szCs w:val="14"/>
          <w:color w:val="auto"/>
        </w:rPr>
        <w:t>14,337</w:t>
      </w:r>
    </w:p>
    <w:p>
      <w:pPr>
        <w:spacing w:after="0" w:line="42" w:lineRule="exact"/>
        <w:rPr>
          <w:sz w:val="20"/>
          <w:szCs w:val="20"/>
          <w:color w:val="auto"/>
        </w:rPr>
      </w:pPr>
    </w:p>
    <w:p>
      <w:pPr>
        <w:ind w:left="2500" w:hanging="1504"/>
        <w:spacing w:after="0"/>
        <w:tabs>
          <w:tab w:leader="none" w:pos="2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297</w:t>
      </w:r>
    </w:p>
    <w:p>
      <w:pPr>
        <w:spacing w:after="0" w:line="55" w:lineRule="exact"/>
        <w:rPr>
          <w:sz w:val="20"/>
          <w:szCs w:val="20"/>
          <w:color w:val="auto"/>
        </w:rPr>
      </w:pPr>
    </w:p>
    <w:p>
      <w:pPr>
        <w:spacing w:after="0"/>
        <w:tabs>
          <w:tab w:leader="none" w:pos="780" w:val="left"/>
          <w:tab w:leader="none" w:pos="1420" w:val="left"/>
          <w:tab w:leader="none" w:pos="2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124,010</w:t>
        <w:tab/>
        <w:t>$</w:t>
      </w:r>
      <w:r>
        <w:rPr>
          <w:sz w:val="20"/>
          <w:szCs w:val="20"/>
          <w:color w:val="auto"/>
        </w:rPr>
        <w:tab/>
      </w:r>
      <w:r>
        <w:rPr>
          <w:rFonts w:ascii="Times New Roman" w:cs="Times New Roman" w:eastAsia="Times New Roman" w:hAnsi="Times New Roman"/>
          <w:sz w:val="14"/>
          <w:szCs w:val="14"/>
          <w:color w:val="auto"/>
        </w:rPr>
        <w:t>90,208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1774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7700" w:space="720"/>
            <w:col w:w="2780"/>
          </w:cols>
          <w:pgMar w:left="320" w:top="121" w:right="379" w:bottom="1440" w:gutter="0" w:footer="0" w:header="0"/>
          <w:type w:val="continuous"/>
        </w:sectPr>
      </w:pP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18,358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143,382</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4,771,075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6,076,027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4,577,270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592,525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5,546,316</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15,082</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($0.09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102,193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4,577,609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433,049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597,970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5,600,865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143,382</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102,193</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45,404</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11,610</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24,223</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(77,811)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(10,240)</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(27,311)</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and due from affiliates/payable and due to affiliates,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(85,330)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(88,883)</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w:t>
            </w:r>
          </w:p>
        </w:tc>
      </w:tr>
      <w:tr>
        <w:trPr>
          <w:trHeight w:val="196"/>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30,718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7,196</w:t>
            </w:r>
          </w:p>
        </w:tc>
      </w:tr>
      <w:tr>
        <w:trPr>
          <w:trHeight w:val="216"/>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37,914</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70,840</w:t>
            </w: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(6,879)</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(9,835)</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(106,991)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(16,714)</w:t>
            </w: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6"/>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(20,811)</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r>
      <w:tr>
        <w:trPr>
          <w:trHeight w:val="217"/>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(40,653)</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(37,297)</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(5,724)</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(90,770)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(80,456)</w:t>
            </w: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(161,587)</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(24,554)</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1,707,468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1,258,229</w:t>
            </w: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1,545,881</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1,233,675</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stock-based compensation exercises included in other assets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Unsettled share repurchases included in other liabilities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payable relating to stock-based compensation settlements included in accrued compensation</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8"/>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18,356</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15,153</w:t>
            </w: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24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1,544,881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1,706,468</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1,545,881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1,707,468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3051F2"/>
                <w:w w:val="98"/>
              </w:rPr>
              <w:t>Note 1</w:t>
            </w:r>
          </w:p>
        </w:tc>
        <w:tc>
          <w:tcPr>
            <w:tcW w:w="220" w:type="dxa"/>
            <w:vAlign w:val="bottom"/>
            <w:gridSpan w:val="3"/>
          </w:tcPr>
          <w:p>
            <w:pPr>
              <w:spacing w:after="0"/>
              <w:rPr>
                <w:sz w:val="17"/>
                <w:szCs w:val="17"/>
                <w:color w:val="auto"/>
              </w:rPr>
            </w:pPr>
          </w:p>
        </w:tc>
        <w:tc>
          <w:tcPr>
            <w:tcW w:w="4620" w:type="dxa"/>
            <w:vAlign w:val="bottom"/>
            <w:gridSpan w:val="18"/>
          </w:tcPr>
          <w:p>
            <w:pPr>
              <w:ind w:left="14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051F2"/>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220" w:type="dxa"/>
            <w:vAlign w:val="bottom"/>
            <w:gridSpan w:val="3"/>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220" w:type="dxa"/>
            <w:vAlign w:val="bottom"/>
            <w:gridSpan w:val="3"/>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220" w:type="dxa"/>
            <w:vAlign w:val="bottom"/>
            <w:gridSpan w:val="3"/>
          </w:tcPr>
          <w:p>
            <w:pPr>
              <w:spacing w:after="0"/>
              <w:rPr>
                <w:sz w:val="20"/>
                <w:szCs w:val="20"/>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Acquisitions</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5</w:t>
            </w:r>
          </w:p>
        </w:tc>
        <w:tc>
          <w:tcPr>
            <w:tcW w:w="2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19"/>
                <w:szCs w:val="19"/>
                <w:color w:val="auto"/>
              </w:rPr>
            </w:pPr>
          </w:p>
        </w:tc>
        <w:tc>
          <w:tcPr>
            <w:tcW w:w="120" w:type="dxa"/>
            <w:vAlign w:val="bottom"/>
            <w:tcBorders>
              <w:top w:val="single" w:sz="8" w:color="3051F2"/>
              <w:bottom w:val="single" w:sz="8" w:color="3051F2"/>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6</w:t>
            </w:r>
          </w:p>
        </w:tc>
        <w:tc>
          <w:tcPr>
            <w:tcW w:w="14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7</w:t>
            </w:r>
          </w:p>
        </w:tc>
        <w:tc>
          <w:tcPr>
            <w:tcW w:w="14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8</w:t>
            </w:r>
          </w:p>
        </w:tc>
        <w:tc>
          <w:tcPr>
            <w:tcW w:w="14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9</w:t>
            </w:r>
          </w:p>
        </w:tc>
        <w:tc>
          <w:tcPr>
            <w:tcW w:w="14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10</w:t>
            </w:r>
          </w:p>
        </w:tc>
        <w:tc>
          <w:tcPr>
            <w:tcW w:w="14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20" w:type="dxa"/>
            <w:vAlign w:val="bottom"/>
            <w:tcBorders>
              <w:bottom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11</w:t>
            </w:r>
          </w:p>
        </w:tc>
        <w:tc>
          <w:tcPr>
            <w:tcW w:w="140" w:type="dxa"/>
            <w:vAlign w:val="bottom"/>
          </w:tcPr>
          <w:p>
            <w:pPr>
              <w:spacing w:after="0"/>
              <w:rPr>
                <w:sz w:val="18"/>
                <w:szCs w:val="18"/>
                <w:color w:val="auto"/>
              </w:rPr>
            </w:pPr>
          </w:p>
        </w:tc>
        <w:tc>
          <w:tcPr>
            <w:tcW w:w="254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w:t>
            </w: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12</w:t>
            </w:r>
          </w:p>
        </w:tc>
        <w:tc>
          <w:tcPr>
            <w:tcW w:w="14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13</w:t>
            </w:r>
          </w:p>
        </w:tc>
        <w:tc>
          <w:tcPr>
            <w:tcW w:w="14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14</w:t>
            </w:r>
          </w:p>
        </w:tc>
        <w:tc>
          <w:tcPr>
            <w:tcW w:w="14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6"/>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15</w:t>
            </w:r>
          </w:p>
        </w:tc>
        <w:tc>
          <w:tcPr>
            <w:tcW w:w="14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16</w:t>
            </w:r>
          </w:p>
        </w:tc>
        <w:tc>
          <w:tcPr>
            <w:tcW w:w="140" w:type="dxa"/>
            <w:vAlign w:val="bottom"/>
          </w:tcPr>
          <w:p>
            <w:pPr>
              <w:spacing w:after="0"/>
              <w:rPr>
                <w:sz w:val="18"/>
                <w:szCs w:val="18"/>
                <w:color w:val="auto"/>
              </w:rPr>
            </w:pPr>
          </w:p>
        </w:tc>
        <w:tc>
          <w:tcPr>
            <w:tcW w:w="34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17</w:t>
            </w:r>
          </w:p>
        </w:tc>
        <w:tc>
          <w:tcPr>
            <w:tcW w:w="14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March 31, 2024, Tradeweb Markets Inc. owned 90.2% of TWM LLC and the non-controlling interest holders owned the remaining 9.8% of TWM LLC. As of December 31, 2023, Tradeweb Markets Inc. owned 90.2% of TWM LLC and the non-controlling interest holders owned the remaining 9.8% of TWM LLC.</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Inc. (“DW”) (formerly known as Hilliard Farber &amp; Co., Inc.), a registered broker-dealer under the Exchange Act and a member of FINRA and MSRB. DW is also registered as an introducing broker with the CFTC and a member of the NFA.</w:t>
      </w:r>
    </w:p>
    <w:p>
      <w:pPr>
        <w:spacing w:after="0" w:line="13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that maintains branches in Asia.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9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w:t>
      </w:r>
    </w:p>
    <w:p>
      <w:pPr>
        <w:spacing w:after="0" w:line="198"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39"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the Australian Securities &amp; Investments Commission (“ASIC”), that also maintains a branch in Singapore that is regulated by the Monetary Authority of Singapore (“MAS”) as a Regulated Market Operator. Tradeweb Australia Pty Ltd changed its name from Yieldbroker Pty Limited in January 2024.</w:t>
      </w:r>
    </w:p>
    <w:p>
      <w:pPr>
        <w:spacing w:after="0" w:line="152" w:lineRule="exact"/>
        <w:rPr>
          <w:rFonts w:ascii="Times New Roman" w:cs="Times New Roman" w:eastAsia="Times New Roman" w:hAnsi="Times New Roman"/>
          <w:sz w:val="18"/>
          <w:szCs w:val="18"/>
          <w:color w:val="auto"/>
        </w:rPr>
      </w:pPr>
    </w:p>
    <w:p>
      <w:pPr>
        <w:jc w:val="both"/>
        <w:ind w:left="660" w:right="460" w:hanging="328"/>
        <w:spacing w:after="0" w:line="312"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2023, TWM LLC and the Corporation entered a definitive agreement for TWM LLC to acquire all of the outstanding equity interests of R8FIN Holdings LP (together with its subsidiaries, “r8fin”).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 The acquisition closed on January 19, 2024, following the satisfaction of closing conditions and regulatory reviews. The total consideration was $125.9 million, consisting of cash and the issuance of shares of Class A common stock of the Corporation (the “r8fin Acquisition”). See Note 4 – Acquisitions for additional details on this acquisition.</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for A$123.6 million in cash (the “Yieldbroker Acquisition”). This acquisition combines Australia and New Zealand’s highly attractive, fast-growing markets with Tradeweb’s international reach and scale.</w:t>
      </w:r>
    </w:p>
    <w:p>
      <w:pPr>
        <w:spacing w:after="0" w:line="1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central limit order book (CLOB) for electronic trading in on-the-run (OTR) U.S. government bonds. The NFI Acquisition included the acquisition of Execution Access, LLC, (“EA”), a registered broker-dealer under the Exchange Act and a member of FINRA. In November 2022, EA merged with and into DW with DW being the surviving entity.</w:t>
      </w:r>
    </w:p>
    <w:p>
      <w:pPr>
        <w:spacing w:after="0" w:line="1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6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7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w:t>
      </w:r>
    </w:p>
    <w:p>
      <w:pPr>
        <w:spacing w:after="0" w:line="185" w:lineRule="exact"/>
        <w:rPr>
          <w:sz w:val="20"/>
          <w:szCs w:val="20"/>
          <w:color w:val="auto"/>
        </w:rPr>
      </w:pPr>
    </w:p>
    <w:p>
      <w:pPr>
        <w:ind w:left="660" w:right="3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116,165,228 shares of Class A common stock, representing 10.1% of the combined voting power of Tradeweb Markets Inc.’s issued and outstanding common stock and indirectly, through Tradeweb Markets Inc., owned 49.2% of the economic interest in TWM LLC;</w:t>
      </w:r>
    </w:p>
    <w:p>
      <w:pPr>
        <w:spacing w:after="0" w:line="14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18,000,000 shares of Class C common stock and 4,988,329 shares of Class D common stock, representing 89.9% of the combined voting power of Tradeweb Markets Inc.’s issued and outstanding common stock and directly and indirectly, through Tradeweb Markets Inc., owned 50.8% of the economic interest in TWM LLC; and</w:t>
      </w:r>
    </w:p>
    <w:p>
      <w:pPr>
        <w:spacing w:after="0" w:line="135"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89,644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the three months ended March 31, 2024 were impacted by 159,957 of weighted average shares resulting from unvested restricted stock units and unsettled vested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restricted stock units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The Company’s diluted earnings per share calculations for the three months ended March 31, 2024 also include 1,950,981 of weighted average shares resulting from the dilutive effect of its equity incentive plans. See Note 14 – Earnings Per Share for additional details.</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2023.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prepared in accordance with accounting principles generally accepted in the United States of America (“GAAP”) and the rules and regulations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0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condensed consolidated statements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with remaining maturities at the time of purchase of three months or less.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See Note 12 – Credit Risk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8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accumulated depreciation related to furniture, equipment, purchased software and leasehold improvements totaled $100.7 million and $95.8 million, respectively. Depreciation expense for furniture, equipment, purchased software and leasehold improvements was $5.3 million and $5.1 million for the three months ended March 31,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accumulated amortization related to software development costs totaled $238.0 million and $222.5 million, respectively. Amortization expense for software development costs was $15.6 million and $13.5 million for the three months ended March 31,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r8fin Acquisition, the Yieldbroker Acquisition and the NFI Acquisition. Goodwill is not amortized, but is tested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2023 and no impairment of goodwill was identified.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accumulated amortization related to intangible assets totaled $570.9 million and $542.4 million, respectively. Amortization expense for definite-lived intangible assets was $28.5 million and $26.8 million for the three months ended March 31,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20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condensed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directly related to the Company’s efforts to raise capital. These costs are recognized as a reduction in additional paid-in capital within the condensed consolidated statements of financial condition when the offering is effective. No offering costs were incurred during the three months ended March 31, 2024 and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represents revenues from contracts with customers disaggregated by type of revenue. See Note 5 – Revenue for additional details regarding revenue types and the Company’s policies regarding revenue recognition.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losses totaled $1.2 million and $0.4 million during the three months ended March 31, 2024 and 2023,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5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11 – Fair Value of Financial Instruments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related cash flows are included in cash flows from operating activities, and changes in the fair value during the period of the foreign currency call option on Australian dollars, which was entered into for foreign exchange risk management purposes relating to investing activities, are recognized in the consolidated statements of income within other income/loss and related cash flows are included in cash flows from investing activities. The Company does not use derivative instruments for trading or speculative purposes. Realized and unrealized gains/losses on foreign currency forward contracts during the three months ended March 31, 2024 and 2023 totaled a $4.4 million gain and a $1.2 million loss, respectively. As of March 31, 2024 and December 31, 2023,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 See Note 11 – Fair Value of Financial Instruments for additional details on the Company’s derivative instruments.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three months ended March 31, 2024. The Company is subject to the 15% CAMT, however, it is not expected to have a material impact on the Company’s effective tax rate.</w:t>
      </w:r>
    </w:p>
    <w:p>
      <w:pPr>
        <w:spacing w:after="0" w:line="14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grants made during the post-IPO period, the fair value of the equity instruments is determined based on the price of the Class A common stock on the grant date.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4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84"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financial instruments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The ASU requires disaggregated information about a reporting entity’s effective tax rate reconciliation and income taxes paid. The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the Company’s Annual Report on Form 10-K for the fiscal year ending December 31, 2025. The guidance may be applied on a prospective or retrospective basis and early adoption is permitted. The Company is currently evaluating the impact of adopting this ASU on its consolidated financial statements.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The ASU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The ASU also requires the disclosure of the title and position of the CODM and an explanation of how the CODM uses the reported measure(s) of segment profit or loss in assessing segment performance and deciding how to allocate resources. All disclosure requirements under ASU 2023-07 and existing segment disclosures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are also required for public entities with a single reportable segment. The ASU is effective for the Company’s Annual Report on Form 10-K for the fiscal year ending December 31, 2024, and subsequent interim periods, with early adoption permitted. The ASU is to be applied retrospectively to all periods presented in the financial statements. The Company is currently evaluating the impact of adopting this ASU on its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which clarifies that a contractual restriction on the sale of an equity security is not considered part of the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On January 1, 2024, the Company adopted ASU 2022-03 on a prospective basis, which resulted in additional disclosures regarding contractual sale restrictions on investments, as disclosed in Note 11 – Fair Value of Financial Instruments and did not have a material impact on the Company’s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SEC Final Rules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34-99678,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w:t>
      </w:r>
      <w:r>
        <w:rPr>
          <w:rFonts w:ascii="Times New Roman" w:cs="Times New Roman" w:eastAsia="Times New Roman" w:hAnsi="Times New Roman"/>
          <w:sz w:val="18"/>
          <w:szCs w:val="18"/>
          <w:color w:val="auto"/>
        </w:rPr>
        <w:t>(the “Final Climate Rules”), which requires registrants to disclose certain climate-related information in their registration statements and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The Final Climate Rules require disclosure of, among other things, material climate-related risks and their impact; activities to mitigate or adapt to material climate-related risks; governance and oversight of climate-related risks; material climate-related targets or goals and their financial impact; and material Scope 1 and/or Scope 2 greenhouse gas emissions with an accompanying assurance report required following an initial transition period, at limited assurance level, and then following an additional transition period, at a reasonable assurance level. Additionally, under the Final Climate Rules, the effects of severe weather events and other natural conditions, subject to certain thresholds, and amounts related to carbon offsets and renewable energy credits or certificates are required to be disclosed in the notes to the audited financial statements in certain circumstances.</w:t>
      </w:r>
    </w:p>
    <w:p>
      <w:pPr>
        <w:spacing w:after="0" w:line="14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April 4, 2024, the SEC voluntarily stayed the implementation of the Final Climate Rules pending completion of judicial review of the consolidated challenges to the Final Climate Rules by the Court of Appeals for the Eighth Circuit. The Final Climate Rules, as originally issued, would be effective for the Company in various fiscal years, starting with its Annual Report on Form 10-K for the year ending December 31, 2025. Disclosures pursuant to the Final Climate Rules, as originally issued, would be required prospectively, with information for prior periods required only to the extent it was previously disclosed in an SEC filing. The Company is currently evaluating the impact of the Final Climate Rules on its consolidated financial statements and disclosures.</w:t>
      </w:r>
    </w:p>
    <w:p>
      <w:pPr>
        <w:spacing w:after="0" w:line="1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March 31, 2024 and December 31, 2023, cash in the amount of $1.0 million, has been segregated in the PAB reserve account, exceeding the requirements pursuant to SEC Rule 15c3-3.</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r8fin</w:t>
      </w:r>
    </w:p>
    <w:p>
      <w:pPr>
        <w:spacing w:after="0" w:line="19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January 19, 2024, the Company completed its acquisition of all of the outstanding equity interests of R8FIN Holdings LP in exchange for total consideration of $125.9 million, consisting of $89.2 million in cash paid at closing (net of cash acquired) and the issuance of 374,601 shares of Class A common stock of the Corporation valued as of the closing date at $36.7 million.</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Company utilized the assistance of a third-party valuation specialist to determine the fair value of the assets acquired and liabilities assumed at the date of the closing of the acquisition. The fair values were determined based on assumptions that reasonable market participants would use in the principal (or most advantageous) market and primarily included significant unobservable inputs (Level 3).</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developed technology that was acquired, included in the condensed consolidated balance sheet as software development costs,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purchase price was allocated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r>
      <w:tr>
        <w:trPr>
          <w:trHeight w:val="37"/>
        </w:trPr>
        <w:tc>
          <w:tcPr>
            <w:tcW w:w="94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27"/>
        </w:trPr>
        <w:tc>
          <w:tcPr>
            <w:tcW w:w="9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42,189</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and stock issued</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127,313</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30"/>
        </w:trPr>
        <w:tc>
          <w:tcPr>
            <w:tcW w:w="9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Preliminary working capital and other closing adjustments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price, net of cash acquired and excluding working capital and other closing adjustments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125,902</w:t>
            </w:r>
          </w:p>
        </w:tc>
      </w:tr>
      <w:tr>
        <w:trPr>
          <w:trHeight w:val="21"/>
        </w:trPr>
        <w:tc>
          <w:tcPr>
            <w:tcW w:w="9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preliminary estimates for net working capital and other closing adjustments are expected to be finalized and collected later in 2024</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primary areas of the preliminary purchase price allocation that are not yet finalized as of March 31, 2024 relate primarily to the valuation of the identifiable intangible assets and software and the finalization of working capital adjustments. The allocation of the purchase price will be finalized upon completion of the analysis of the acquired assets within one year of the date of the closing of the acquisition.</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acquired software development costs will be amortized over a useful life of seven years and the customer relationships will be amortized over a useful life of 13 years. The goodwill recognized in connection with the r8fin Acquisition is primarily attributable to the acquisition of expected future customers, future technology and synergies from the integration of the operations of r8fin into the Company's operations and its single business segment. All of the goodwill recognized in connection with the r8fin Acquisition is expected to be deductible for income tax purposes.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recognized $0.5 million in transaction costs incurred to effect the r8fin Acquisition, which are included as a component of professional fees in the accompanying condensed consolidated statements of income. During the three months ended March 31, 2024, the Company also recognized $51,000 in transaction costs incurred to effect the r8fin Acquisition, which are included as a component of general and administrative expenses in the accompanying condensed consolidated statements of income.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r8fin Acquisition was not material to the Company's condensed consolidated financial statements and therefore pro forma and current period results of this acquisition have not been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earns fees from an affiliate of LSEG (Refinitiv, which was rebranded as LSEG Data &amp; Analytics during the fourth quarter of 2023)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8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34"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The breakdown of revenues between fixed and variable revenues for the three months ended March 31, 2024 and 2023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8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8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Pr>
          <w:p>
            <w:pPr>
              <w:spacing w:after="0"/>
              <w:rPr>
                <w:sz w:val="19"/>
                <w:szCs w:val="19"/>
                <w:color w:val="auto"/>
              </w:rPr>
            </w:pPr>
          </w:p>
        </w:tc>
        <w:tc>
          <w:tcPr>
            <w:tcW w:w="8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298,262</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37,189</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230,181</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36,417</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15,594</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299,094</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230,843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98,406</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7"/>
        </w:trPr>
        <w:tc>
          <w:tcPr>
            <w:tcW w:w="9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42,461</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(40,955)</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acquired in connection with the r8fin Acquisition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balance - March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27,488</w:t>
            </w:r>
          </w:p>
        </w:tc>
      </w:tr>
      <w:tr>
        <w:trPr>
          <w:trHeight w:val="20"/>
        </w:trPr>
        <w:tc>
          <w:tcPr>
            <w:tcW w:w="9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recognized into revenue $15.8 million in deferred revenue that was deferred as of December 31, 2023. During the three months ended March 31, 2023, the Company recognized into revenue $13.5 million in deferred revenue that was deferred as of December 31, 2022.</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2024 and 2023 was approximately 23.3% and 24.5%, respectively. The effective tax rate for the three months ended March 31, 2024 differed from the U.S. federal statutory rate of 21.0% primarily due to state, local and foreign taxes and the disallowance of compensation expense tax deductions, partially offset by the effect of non-controlling interests. The effective tax rate for the three months ended March 31, 2023 differed from the U.S. federal statutory rate of 21.0% primarily due to the disallowance of compensation expense tax deductions and state, local and foreign taxes, partially offset by the effect of non-controlling interests.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7 – Tax Receivable Agreement for further details. The tax benefit has been recognized in deferred tax assets on the condensed consolidated statement of financial condition.</w:t>
      </w:r>
    </w:p>
    <w:p>
      <w:pPr>
        <w:spacing w:after="0" w:line="16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an estimated $2.7 million in tax liabilities of the contributed entity and the Company was indemnified by Refinitiv for these tax liabilities assumed. During the second quarter of 2023, the contributed entity reached an audit settlement with the State of New Jersey for the tax years 2008 - 2015 and in the third quarter of 2023 paid $2.7 million in full settlement of the matter and the prior liabilities assumed. In the third quarter of 2023, Refinitiv reimbursed the Company for the $2.7 million paid to the State of New Jersey pursuant to the indemnification agreement. As of March 31, 2024 and December 31, 2023, there were no remaining tax liabilities accrued associated with the Refinitiv Contribution.</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a Continuing LLC Owner, including with the net proceeds from the IPO and any subsequent offerings or (b) redemptions or exchanges by a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statements of income in the period in which the change occurs. As of March 31, 2024 and December 31, 2023, the tax receivable agreement liability on the condensed consolidated statements of financial condition totaled $432.0 million and $457.5 million, respectively. During each of the three months ended March 31, 2024 and 2023, no tax receivable agreement liability adjustment was recognized in the condensed consolidated statements of income.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900" w:type="dxa"/>
            <w:vAlign w:val="bottom"/>
            <w:gridSpan w:val="3"/>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1"/>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5"/>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213,098,420</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208,361,310</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23,077,973</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26,335,148</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236,176,393</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234,696,458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the members for shares of Class A common stock or Class B common stock, as applicable, on a one-for-one basis or, at the Company’s option, a cash payment in accordance with the terms of the TWM LLC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tc>
        <w:tc>
          <w:tcPr>
            <w:tcW w:w="8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 as a result of ownership changes in</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TWM LLC</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from net income attributable to Tradeweb Markets Inc. and transfers (to) from non-controlling interests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Stockholders’ Equity and Stock-Based Compensation Plans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2023 and there have been no changes to those rights and privileges during the three months ended March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115,090,787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common stock for business acquisition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116,165,228</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236,176,393</w:t>
            </w:r>
          </w:p>
        </w:tc>
      </w:tr>
      <w:tr>
        <w:trPr>
          <w:trHeight w:val="21"/>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40" w:right="120" w:hanging="332"/>
        <w:spacing w:after="0" w:line="268"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 subject to a lock-up that restricts the sale, transfer or disposal of these shares for the two year period following the January 19, 2024 closing date of the r8fin Acquisition. See Note 4 – Acquisitions for additional details on this acquisition.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110,746,606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23,092,704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234,023,679</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986,090</w:t>
            </w: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(313,311)</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(313,311)</w:t>
            </w: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111,428,118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23,083,971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234,696,458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Plans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with only time-based vesting conditions (“RSUs”), performance-based restricted stock units with both time and performance-based vesting conditions, stock options and dividend equivalent rights. The Company refers to performance-based restricted stock units that vest based on the financial performance of the Company as “PRSUs” and performance-based restricted stock units that vest based on market conditions, such as total shareholder return, as “PSUs”. RSUs, PRSUs and PSUs each represent promises to issue actual shares of Class A common stock at the end of a vesting period. Stock options have a maximum contractual term of 10 years.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445,452 RSUs, 201,546 PRSUs and 86,592 PSUs at a weighted-average grant-date fair value of $104.25, $104.66 and $149.00, respectively.</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RSU awards granted to employees will generally vest one-third each year over a three-year period, and RSU awards granted to non-employee directors will vest after one year.</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2024, the financial performance of the Company will be determined based on the compound annual growth rate over a three-year performance period beginning on January 1 in the year of grant. For PRSU awards granted during 2023 and prior, the financial performance of the Company was determined based on the financial performance of the Company in the grant year, and any earned awards that remain outstanding are subject to time-based vesting conditions. The performance modifier for PRSUs can vary between 0% (minimum) and 250% (maximum) of the target (100%) award amount for PRSU awards granted during 2024 and 2023. PRSUs granted during 2022 and prior had a 200% maximum performance modifier.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PSUs granted on March 15, 2024 and 2023 was estimated using the Monte Carlo simulation model and the significant valuation assumptions used in those models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15, 2024 PSU</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March 15, 2023 PSU</w:t>
            </w:r>
          </w:p>
        </w:tc>
      </w:tr>
      <w:tr>
        <w:trPr>
          <w:trHeight w:val="190"/>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51"/>
        </w:trPr>
        <w:tc>
          <w:tcPr>
            <w:tcW w:w="8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3"/>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28.81 %</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total stock-based compensation expense, is presented below:</w:t>
      </w:r>
    </w:p>
    <w:p>
      <w:pPr>
        <w:spacing w:after="0" w:line="21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16,402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r>
    </w:tbl>
    <w:p>
      <w:pPr>
        <w:spacing w:after="0" w:line="2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above excludes $0.6 million and $0.3 million of stock-based compensation expense capitalized to software development costs during the three months ended March 31, 2024 and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0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There were no share repurchases during the three months ended March 31, 2024. During the three months ended March 31, 2023, the Company acquired a total of 313,311 shares of Class A common stock, at an average price of $72.47, for purchases totaling $22.7 million.</w:t>
      </w:r>
    </w:p>
    <w:p>
      <w:pPr>
        <w:spacing w:after="0" w:line="14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repurchased pursuant to the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 Subsequent to their repurchase, the shares of Class A common stock and the LLC Interests were all cancelled and retired. As of March 31, 2024, a total of $239.8 million remained available for repurchase pursuant to the 2022 Share Repurchase Program.</w:t>
      </w:r>
    </w:p>
    <w:p>
      <w:pPr>
        <w:spacing w:after="0" w:line="14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share repurchase programs, the excess of the repurchase price paid over the par value of the Class A common stock is be recorded as a reduction to retained earnings.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Repurchases</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withheld 452,821 and 574,824 shares, respectively, of common stock from employee stock option, PRSU and RSU awards, at an average price per share of $96.80 and $69.34, respectively, and an aggregate value of $43.8 million and $39.9 million, respectively, based on the price of the Class A common stock on the date the relevant withholding occurred. These shares are withheld in order for the Company to cover the payroll tax withholding obligations upon the exercise of stock options and settlement of RSUs and PRSUs and such shares were not withheld in connection with the share repurchase programs discussed above.</w:t>
      </w:r>
    </w:p>
    <w:p>
      <w:pPr>
        <w:spacing w:after="0" w:line="1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following balances with such affiliates were included in the condensed consolidated statements of financial condition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balances with such affiliates were included in the condensed consolidated statements of income in the following line items: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8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w:t>
            </w:r>
          </w:p>
        </w:tc>
      </w:tr>
      <w:tr>
        <w:trPr>
          <w:trHeight w:val="27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8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2" w:lineRule="exact"/>
        <w:rPr>
          <w:sz w:val="20"/>
          <w:szCs w:val="20"/>
          <w:color w:val="auto"/>
        </w:rPr>
      </w:pPr>
    </w:p>
    <w:p>
      <w:pPr>
        <w:ind w:left="340" w:right="20" w:hanging="332"/>
        <w:spacing w:after="0" w:line="271"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(Refinitiv, which was rebranded as LSEG Data &amp; Analytics during the fourth quarter of 2023).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measured at fair value on the condensed consolidated statements of financial condition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have been categorized based upon the fair value hierarchy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5"/>
                <w:szCs w:val="15"/>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1,424,660</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1,424,660</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 – Foreign exchange derivative contracts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196"/>
        </w:trPr>
        <w:tc>
          <w:tcPr>
            <w:tcW w:w="55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1,424,660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2,268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1,426,928</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Payable and due to affiliates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Foreign exchange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March 31, 2024 and December 31, 2023,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214,764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192,877</w:t>
            </w:r>
          </w:p>
        </w:tc>
      </w:tr>
    </w:tbl>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exchange derivative contracts recorded within the condensed consolidated statements of income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 relationship – 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4,351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bl>
    <w:p>
      <w:pPr>
        <w:spacing w:after="0" w:line="25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June 1, 2023, the Company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On August 25, 2023, the Company unwound the out-of-the-money foreign currency call option and received $1.1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not measured at fair value on the condensed consolidated statements of financial condition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have been categorized based upon the fair value hierarchy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37"/>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4"/>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121,221</w:t>
            </w: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676,111</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114,601</w:t>
            </w: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192,601</w:t>
            </w: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868,712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1,106,956</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646,643</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646,643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163,824</w:t>
            </w: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381,178</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168,407</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752,641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549,585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752,641</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4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 sold under agreements to repurchase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w:t>
            </w: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351,864</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240" w:hanging="332"/>
        <w:spacing w:after="0" w:line="28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Treasury securities with a fair value of $21.6 million collateralized the securities sold under agreements to repurchase liability. The liability amounts presented represent the gross liability and are not offset on the condensed consolidated statements of financial condition. The securities sold under agreements to repurchase liability were subsequently settled on January 2, 2024.</w:t>
      </w:r>
    </w:p>
    <w:p>
      <w:pPr>
        <w:spacing w:after="0" w:line="1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and liabilities, such as assets acquired in a business combination, at fair value as of the acquisition date. See Note 4 – Acquisitions for further details regarding these non-recurring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Without Readily Determinable Fair Values</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are equity investments without readily determinable fair values of $9.4 million and $8.9 million as of March 31, 2024 and December 31, 2023, respectively. These equity investments are subject to general contractual sale restrictions that prohibit the transfer or sale of the investment without prior consent of the investee.</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Historically the Company has used ICBC, a wholly-owned subsidiary of the Industrial and Commercial Bank of China Limited, to clear U.S. Treasury trades executed by non-FICC members on the Company’s wholesale trading platform. Under that arrangement, ICBC submitted the Company’s trades from non-FICC members to the FICC under the ICBC netting account with the FICC. Following the November 2023 ransomware attack on some ICBC operating systems, including those used to clear U.S. Treasury and repurchase agreement financings, the Company has and may continue to self-clear these U.S. Treasury trades. As a result, this increased the number of trades that settle over the fed wire, instead of FICC clearing, and accordingly the Company has experienced and may continue to experience, an increase in the number of U.S. Treasury failed settlement transactions. As of March 31, 2024, we recorded a $676.1 million receivable and a $646.6 million payable from/to brokers and dealers and clearing organizations related to failed settlement transactions and we self-funded the remaining $29.5 million difference between the fail to deliver and fail to receive. All of the above failed settlement transactions outstanding as of March 31, 2024 were fully settled during April 2024.</w:t>
      </w:r>
    </w:p>
    <w:p>
      <w:pPr>
        <w:spacing w:after="0" w:line="14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Additionally, in the normal course of business, the Company, as an introducing broker, executes transactions on behalf of or with customers of the Company, which are cleared by a clearing broker. As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24"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20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both March 31, 2024 and December 31, 2023, the Company maintained an allowance for credit losses with regard to these receivables of $0.3 million. For the three months ended March 31, 2024 and 2023, credit loss expense was $8,000 and $26,000, respectively.</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w:t>
      </w:r>
    </w:p>
    <w:p>
      <w:pPr>
        <w:spacing w:after="0" w:line="3"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2022. Oral argument in the appeal was held on October 3, 2023, and by order and opinion issued on February 1, 2024, the Second Circuit affirmed the District Court’s order dismissing all claims against all defendants, including the claims against the Company.</w:t>
      </w:r>
    </w:p>
    <w:p>
      <w:pPr>
        <w:spacing w:after="0" w:line="1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Additionally, the Company was dismissed from a class action relating to an interest rate swaps matter in 2017, but that matter continues against the remaining defendant financial institutions.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0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 (the “2019 Revolving Credit Facility”). The 2019 Revolving Credit Facility was scheduled to mature in April 2024, but was terminated on November 21, 2023 in conjunction with entering into the 2023 Revolving Credit Facility. There were no outstanding borrowings under the 2019 Revolving Credit Facility at the time of termination and no penalties were due or owing and no penalties were required to be paid as a result of the termination.</w:t>
      </w:r>
    </w:p>
    <w:p>
      <w:pPr>
        <w:spacing w:after="0" w:line="14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On November 21, 2023, the closing date, the $0.5 million letters of credit outstanding under the 2019 Revolving Credit Facility were rolled over under the 2023 Revolving Credit Facility. The 2023 Revolving Credit Facility will mature on November 21, 2028.</w:t>
      </w:r>
    </w:p>
    <w:p>
      <w:pPr>
        <w:spacing w:after="0" w:line="238" w:lineRule="auto"/>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ind w:right="40" w:firstLine="8"/>
        <w:spacing w:after="0" w:line="234"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7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both March 31, 2024 and December 31, 2023, there were $0.5 million in letters of credit issued under the 2023 Revolving Credit Facility and no borrowings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10 years. The following table presents the future minimum lease payments and the maturity of lease liabilities as of March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5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7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7"/>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20" w:type="dxa"/>
            <w:vAlign w:val="bottom"/>
          </w:tcPr>
          <w:p>
            <w:pPr>
              <w:spacing w:after="0"/>
              <w:rPr>
                <w:sz w:val="16"/>
                <w:szCs w:val="16"/>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8"/>
              </w:rPr>
              <w:t>Numerator:</w:t>
            </w:r>
          </w:p>
        </w:tc>
        <w:tc>
          <w:tcPr>
            <w:tcW w:w="75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126,142</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87,856</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Distributed and undistributed earnings allocated to unvested RSUs and unsettled vested PRSUs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outstanding shares of Class A and Class B common stock - 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4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Basic</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212,709,872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208,105,437</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286,563</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1,469,219</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282,515</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Diluted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214,660,853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210,143,734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220" w:hanging="332"/>
        <w:spacing w:after="0" w:line="282"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2024 and 2023, there was a total of 159,957 and 291,772, respectively, weighted average unvested RSUs and unsettled vested PRSUs that were considered a participating security for purposes of calculating earnings per share in accordance with the two-class method.</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are evaluated under the if-converted method. The potential dilutive effect of PRSUs, shares underlying options, RSUs and PSUs are evaluated under the treasury stock method.</w:t>
      </w:r>
    </w:p>
    <w:p>
      <w:pPr>
        <w:spacing w:after="0" w:line="13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PSUs and weighted-average LLC Interests that were anti-dilutive for the periods indicated. As a result, these shares, which were outstanding, were excluded from the computation of diluted earnings per share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820" w:type="dxa"/>
            <w:vAlign w:val="bottom"/>
            <w:gridSpan w:val="3"/>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9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69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360,193</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23,077,973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26,340,754</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TWL, DW and TWD are subject to the Uniform Net Capital Rule 15c3-1 under the Exchange Act. TEL and TESL are subject to certain financial resource requirements with the FCA in the UK, TWJ is subject to certain financial resource requirements with the FCA in Japan, TWEU and TESBV are subject to certain finance resource requirements with the AFM in the Netherlands, YB is subject to certain financial resource requirements with ASIC in Australia and TDIFC is subject to certain financial resource requirements with DFSA in the Dubai International Financial Centre. At March 31, 2024 and December 31, 2023, the regulatory capital requirements and regulatory capital for these entities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152,739</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March 31, 2024 and December 31, 2023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30,786</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516"/>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2,148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r>
      <w:tr>
        <w:trPr>
          <w:trHeight w:val="931"/>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by client sector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198,852</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76,100</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329,249</w:t>
            </w: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241,061</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206,683</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167,678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122,566</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254,098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120,547</w:t>
            </w:r>
          </w:p>
        </w:tc>
      </w:tr>
      <w:tr>
        <w:trPr>
          <w:trHeight w:val="22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5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5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4,080,381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3,990,070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50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4,101,040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4,010,418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April 25, 2024, the board of directors of Tradeweb Markets Inc. declared a cash dividend of $0.10 per share of Class A common stock and Class B common stock for the second quarter of 2024. This dividend will be payable on June 17, 2024 to stockholders of record as of June 3, 2024.</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April 25, 2024, Tradeweb Markets Inc., as the sole manager, approved a distribution by TWM LLC to its equityholders, including Tradeweb Markets Inc., in an aggregate amount of $73.1 million, as adjusted by required state and local tax withholdings that will be determined prior to the record date of May 21, 2024, payable on June 4, 2024.</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5, 2024, the Company entered into a definitive agreement for TWM LLC to acquire directly and indirectly all of the outstanding equity interests of ICD Intermediate Holdco 1, LLC, which together with its wholly-owned subsidiaries, owns the Institutional Cash Distributors business (“ICD”). Pursuant to the terms of the purchase agreement, TWM LLC is required to pay $785 million in cash, subject to customary working capital and other adjustments, for the acquisition. In connection with the acquisition closing, the Corporation will also issue and sell $4.5 million of shares of its Class A common stock in reliance on Section 4(a)(2) of the Securities Act, to an equityholder of the seller, which such shares of Class A common stock will be issued and sold as restricted stock, subject to vesting and forfeiture terms, pursuant to the Tradeweb Markets Inc. 2019 Omnibus Equity Incentive Plan. The acquisition is expected to close in the second half of 2024, subject to the satisfaction of customary closing conditions and regulatory reviews.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Portfolio Analytics is an AI-driven cloud solution for aggregating positions across a corporate treasury’s entire portfolio for analysis and reporting. With the acquisition of ICD and its proprietary technology, Tradeweb will add a new client channel serving corporate treasury professionals, complementing Tradeweb’s existing focus on institutional, wholesale and retail clients.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2023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70 countries with offices in North America, Europe, Asia, Australia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70 countries around the globe and across over 25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more than 300 dealers and financial institutions with more than 190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routinely evaluate potential acquisitions and engage in discussions and negotiations regarding potential acquisitions on an ongoing basis. Our revenues and profitability are affected by our acquisition activity, including the speed and cost at which we successfully integrate completed acquisitions into our existing business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r8fin</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January 19, 2024, we completed our acquisition of r8fin in exchange for total consideration of $125.9 million, consisting of $89.2 million in cash paid at closing (net of cash acquired) and the issuance of 374,601 shares of Class A common stock of the Corporation valued as of the closing date at $36.7 million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 creating a valuable and broad-based approach to trading U.S. Treasuries and related futures trading. The r8fin acquisition is not material to our consolidated financial statements and did not have a significant impact to our results of operations for the three months ended March 31, 2024. See Note 4 – Acquisitions to the condensed consolidated financial statements included elsewhere in this Quarterly Report on Form 10-Q for additional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ICD</w:t>
      </w:r>
    </w:p>
    <w:p>
      <w:pPr>
        <w:spacing w:after="0" w:line="2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April 5, 2024, we entered into a definitive agreement for TWM LLC to acquire directly and indirectly all of the outstanding equity interests of ICD Intermediate Holdco 1, LLC, which together with its wholly-owned subsidiaries, owns the Institutional Cash Distributors business (“ICD”). Pursuant to the terms of the purchase agreement, TWM LLC is required to pay $785 million in cash, subject to customary working capital and other adjustments, for the acquisition. In connection with the acquisition closing, the Corporation will also issue and sell $4.5 million of shares of its Class A common stock in reliance on Section 4(a)(2) of the Securities Act, to an equityholder of the seller, which such shares of Class A common stock will be issued and sold as restricted stock, subject to vesting and forfeiture terms, pursuant to the Tradeweb Markets Inc. 2019 Omnibus Equity Incentive Plan. The acquisition is expected to close in the second half of 2024, subject to the satisfaction of customary closing conditions and regulatory reviews.</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Portfolio Analytics is an AI-driven cloud solution for aggregating positions across a corporate treasury’s entire portfolio for analysis and reporting. With the acquisition of ICD and its proprietary technology, we will add a new and fast-growing client channel serving corporate treasury professionals, complementing our existing focus on institutional, wholesale and retail clients.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part of Tradeweb, ICD will provide a comprehensive solution for corporate treasurers and asset managers worldwide to manage short-term liquidity needs and FX risk, as well as optimize yield and duration via our existing suite of products. ICD clients will retain the ability to fully integrate their workflows with leading third-party treasury management and accounting systems and ICD’s portfolio analytics solution. In addition to opportunities to cross-sell our products to ICD’s clients, we will aim to accelerate ICD’s growth and expansion by leveraging our international presence and offering money market funds to our existing network of clients globally.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in 2024 include, among other things, evolving monetary policies of central banks, economic, political and social conditions, legislative, regulatory or government policy changes and concerns with respect to the banking industry, including as a result of any bank failures.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 to result in rising interest rates and have other adverse effects on the securities markets and the overall economy, they may adversely affect our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three months ended March 31, 2024. The Company is subject to the 15% CAMT, however, it is not expected to have a material impact on the Company’s effective tax rate. The adoption of the IRA will also not have an impact to our non-GAAP adjusted effective tax rate used for purposes of calculating our non-GAAP measure of Adjusted Net Income.</w:t>
      </w:r>
    </w:p>
    <w:p>
      <w:pPr>
        <w:spacing w:after="0" w:line="1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Europe, Asia, Australia and the Middle East.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statements of financial condition as a result of changes in the mix of earnings, tax legislation and tax rates in various jurisdictions which impacted our estimated future tax savings. There was no tax receivable agreement liability adjustment during each of the three months ended March 31, 2024 and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from our cash deposited with large commercial banks and money market funds.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Continuing LLC Owners owned the remaining 35.7% of TWM LLC. As of March 31, 2024, we owned 90.2% of TWM LLC and Continuing LLC Owners owned the remaining 9.8% of TWM LLC.</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2024 and Three Months Ended March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March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51,622</w:t>
            </w:r>
          </w:p>
        </w:tc>
        <w:tc>
          <w:tcPr>
            <w:tcW w:w="15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March 31, 2024 and 2023,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Total</w:t>
            </w:r>
          </w:p>
        </w:tc>
        <w:tc>
          <w:tcPr>
            <w:tcW w:w="44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266,598</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68,853</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70,181</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59,968</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80" w:hanging="332"/>
        <w:spacing w:after="0" w:line="27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three months ended March 31, 2024 and 2023 include $20.5 million and $15.6 million respectively, of LSEG market data fees (formerly referred to as Refinitiv market data fees).</w:t>
      </w:r>
    </w:p>
    <w:p>
      <w:pPr>
        <w:ind w:left="340" w:right="300" w:hanging="332"/>
        <w:spacing w:after="0" w:line="262"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Our diversified offering across products, client sectors and geographies supported sustained growth amidst a continuingly complex macroeconomic backdrop, including geopolitical uncertainty, sustained broader market rate volatility and an inverted yield curve resulting in strong volumes and continued market share gains across our global asset classes. The primary driver of the $79.5 million increase in revenue was related to an $68.9 million increase in transaction fees and commissions to $335.5 million for the three months ended March 31, 2024 from $266.6 million for the three months ended March 31, 2023, primarily due to higher revenues for rate derivatives products, U.S. and European corporate bonds and U.S. and European government bonds.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March 31, 2024 and 2023,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214,093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March 31, 2024 and 2023,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0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tcPr>
          <w:p>
            <w:pPr>
              <w:spacing w:after="0"/>
              <w:rPr>
                <w:sz w:val="19"/>
                <w:szCs w:val="19"/>
                <w:color w:val="auto"/>
              </w:rPr>
            </w:pPr>
          </w:p>
        </w:tc>
        <w:tc>
          <w:tcPr>
            <w:tcW w:w="15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299,094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230,843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March 31, 2024 and 2023, and the resulting percentage changes, are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3"/>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38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ADV</w:t>
            </w:r>
          </w:p>
        </w:tc>
        <w:tc>
          <w:tcPr>
            <w:tcW w:w="260" w:type="dxa"/>
            <w:vAlign w:val="bottom"/>
          </w:tcPr>
          <w:p>
            <w:pPr>
              <w:spacing w:after="0"/>
              <w:rPr>
                <w:sz w:val="16"/>
                <w:szCs w:val="16"/>
                <w:color w:val="auto"/>
              </w:rPr>
            </w:pPr>
          </w:p>
        </w:tc>
        <w:tc>
          <w:tcPr>
            <w:tcW w:w="10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1,260,697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77,691,901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54,563,928</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28,270,241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22,574,171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49,421,660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31,989,758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31,037,693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17,965,246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14,024,511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2,143,970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2,021,376</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1,566,200</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1,218,571</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562,478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576,573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35,371,612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27,583,799</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30.3 %</w:t>
            </w: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1,899,641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116,888,926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85,387,674</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40.3 %</w:t>
            </w:r>
          </w:p>
        </w:tc>
        <w:tc>
          <w:tcPr>
            <w:tcW w:w="0" w:type="dxa"/>
            <w:vAlign w:val="bottom"/>
          </w:tcPr>
          <w:p>
            <w:pPr>
              <w:spacing w:after="0" w:line="20" w:lineRule="exact"/>
              <w:rPr>
                <w:sz w:val="1"/>
                <w:szCs w:val="1"/>
                <w:color w:val="auto"/>
              </w:rPr>
            </w:pPr>
          </w:p>
        </w:tc>
      </w:tr>
      <w:tr>
        <w:trPr>
          <w:trHeight w:val="272"/>
        </w:trPr>
        <w:tc>
          <w:tcPr>
            <w:tcW w:w="4080" w:type="dxa"/>
            <w:vAlign w:val="bottom"/>
            <w:vMerge w:val="continue"/>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1,603,134</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98,504,958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1,142,841</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71,363,163</w:t>
            </w:r>
          </w:p>
        </w:tc>
        <w:tc>
          <w:tcPr>
            <w:tcW w:w="156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61"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pacing w:after="0" w:line="14" w:lineRule="exact"/>
        <w:rPr>
          <w:rFonts w:ascii="Times New Roman" w:cs="Times New Roman" w:eastAsia="Times New Roman" w:hAnsi="Times New Roman"/>
          <w:sz w:val="14"/>
          <w:szCs w:val="14"/>
          <w:color w:val="auto"/>
        </w:rPr>
      </w:pPr>
    </w:p>
    <w:p>
      <w:pPr>
        <w:ind w:left="340" w:right="40" w:hanging="332"/>
        <w:spacing w:after="0" w:line="263"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Yieldbroker on August 31, 2023 and acquired r8fin on January 19, 2024. Total volume reported includes volumes from each acquired business subsequent to the closing date of the applicable acquisition.</w:t>
      </w:r>
    </w:p>
    <w:p>
      <w:pPr>
        <w:spacing w:after="0" w:line="1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three months ended March 31, 2024 and 2023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Rates Derivatives (greater than 1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23.6 %</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31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(0.21)</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54"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$43.6 million or 25.6% to $214.1 million for the three months ended March 31, 2024 compared to $170.5 million for the three months ended March 31, 2023 primarily due to higher variable transaction fees and commissions on higher trading volumes for rates derivatives products and U.S. and European government bonds and an increase in fixed subscription fees. The fixed subscription fee increase was primarily driven by the addition of new dealers and customers to the rates platform, as well as pricing increases on some of the rates subscription services.</w:t>
      </w:r>
    </w:p>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Average variable fees per million for rates decreased primarily due to a decrease in average variable fees per million for rates derivatives driven primarily by an increase in compression activity and shifts in the mix and duration of derivative products traded as compared to the prior period, while average variable fees per million for rates cash products remained relatively flat.</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$26.8 million or 30.1% to $115.8 million for the three months ended March 31, 2024 compared to $89.0 million for the three months ended March 31, 2023 primarily due to higher variable transaction fees and commissions on higher trading volumes for U.S. and European corporate bonds, partially offset by lower variable transaction fees and commissions on lower trading volumes for credit derivative products.</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credit increased primarily due to a shift in the mix of products traded from derivatives, China bonds and electronically processed U.S. corporate bonds to cash credit products, which have a higher variable fee capture compared to overall credit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$0.8 million or 3.2% to $27.1 million for the three months ended March 31, 2024 compared to $26.2 million for the three months ended March 31, 2023 primarily due to higher variable transaction fees and commissions on higher trading volumes for equity derivatives products.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decreased primarily due to a shift in the mix of products and size of units traded, including higher volume per unit traded in U.S. ETFs and higher volumes in equity derivatives.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$2.0 million or 13.4% to $16.8 million for the three months ended March 31, 2024 compared to $14.8 million for the three months ended March 31, 2023 primarily due to higher variable transaction fees and commissions for repurchase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money markets decreased primarily due to a shift in the mix of trading away from U.S. certificates of deposit, which have a higher variable fee capture compared to overall money markets.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$6.6 million or 29.4% to $29.0 million for the three months ended March 31, 2024 compared to $22.4 million for the three months ended March 31, 2023. The increase was derived primarily from increased LSEG market data fees from our market data agreement that was amended effective November 1, 2023 and proprietary third party market data revenue.</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remained relatively flat with a decrease of only $0.3 million or 5.4% to $5.9 million for the three months ended March 31, 2024 compared to $6.3 million for the three months ended March 31, 2023.</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March 31, 2024 and 2023,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$48.5 million or 24.4% to $247.3 million for the three months ended March 31, 2024 from $198.9 million for the three months ended March 31, 2023. The increase was derived primarily from higher revenues for rates derivatives products, U.S. corporate bonds and U.S. and European government bonds.</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$21.1 million or 27.7% to $97.2 million for the three months ended March 31, 2024 from $76.1 million for the three months ended March 31, 2023. The increase was derived primarily from higher revenues for U.S. government bonds, including positive contributions from the r8fin acquisition, as well as higher revenues for U.S. and European corporate bonds and rates derivatives products.</w:t>
      </w:r>
    </w:p>
    <w:p>
      <w:pPr>
        <w:spacing w:after="0" w:line="13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u w:val="single" w:color="auto"/>
          <w:color w:val="auto"/>
        </w:rPr>
        <w:t>Retail</w:t>
      </w:r>
      <w:r>
        <w:rPr>
          <w:rFonts w:ascii="Times New Roman" w:cs="Times New Roman" w:eastAsia="Times New Roman" w:hAnsi="Times New Roman"/>
          <w:sz w:val="17"/>
          <w:szCs w:val="17"/>
          <w:color w:val="auto"/>
        </w:rPr>
        <w:t>. Revenues from our retail client sector increased by $3.3 million or 10.4% to $35.2 million for the three months ended March 31, 2024 from $31.9 million for the three months ended March 31, 2023. The increase was derived primarily from higher revenues for U.S. corporate bonds and municipals.</w:t>
      </w:r>
    </w:p>
    <w:p>
      <w:pPr>
        <w:spacing w:after="0" w:line="1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$6.6 million or 29.4% to $29.0 million for the three months ended March 31, 2024 from $22.4 million for the three months ended March 31, 2023. The increase was derived primarily from increased LSEG market data fees from our market data agreement that was amended effective November 1, 2023 and proprietary third party market data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 and the resulting dollar and percentage changes,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254,098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$45.4 million or 21.8% to $254.1 million for the three months ended March 31, 2024 from $208.7 million for the three months ended March 31, 2023 primarily due to higher revenues for U.S. corporate bonds, U.S. government bonds, rates derivatives products and market data.</w:t>
      </w:r>
    </w:p>
    <w:p>
      <w:pPr>
        <w:spacing w:after="0" w:line="1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$34.1 million or 28.3% to $154.6 million for the three months ended March 31, 2024 from $120.5 million for the three months ended March 31, 2023 primarily due to higher revenues for rates derivatives products, European corporate bonds, European government bonds and other government bonds.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March 31, 2024 and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$28.6 million or 25.0% to $143.1 million for the three months ended March 31, 2024 from $114.5 million for the three months ended March 31, 2023. The increase was primarily due to an increase in incentive compensation expense tied to our financial performance, as well as an increase in headcount and related salaries and benefits to support our continued growth.</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by $3.9 million or 8.7% to $49.3 million for the three months ended March 31, 2024 from $45.4 million for the three months ended March 31, 2023. The increase was primarily due to increases in amortization of assets acquired in connection with the r8fin and Yieldbroker acquisitions on January 19, 2024 and August 31, 2023, respectively, and an increase in amortization of software development costs driven by increases in investment in our infrastructure.</w:t>
      </w:r>
    </w:p>
    <w:p>
      <w:pPr>
        <w:spacing w:after="0" w:line="13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$3.7 million or 21.3% to $21.3 million for the three months ended March 31, 2024 from $17.6 million for the three months ended March 31, 2023. The increase was primarily due to increased investment in our data strategy and infrastructure and increased clearance and data fees driven primarily by higher trading volumes period-over-period.</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decreased by $3.1 million or 22.0% to $10.9 million for the three months ended March 31, 2024 from $13.9 million for the three months ended March 31, 2023. The decrease was primarily the result of a $4.7 million increase in foreign exchange gains during the three months ended March 31, 2024. Realized and unrealized foreign currency gains totaled $3.2 million during the three months ended March 31, 2024 as compared to $1.5 million in losses during three months ended March 31, 2023. The change was primarily driven by changes in fair value of our foreign currency forward contracts used in connection with our foreign currency risk management program.</w:t>
      </w:r>
    </w:p>
    <w:p>
      <w:pPr>
        <w:spacing w:after="0" w:line="14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u w:val="single" w:color="auto"/>
          <w:color w:val="auto"/>
        </w:rPr>
        <w:t>Professional Fees</w:t>
      </w:r>
      <w:r>
        <w:rPr>
          <w:rFonts w:ascii="Times New Roman" w:cs="Times New Roman" w:eastAsia="Times New Roman" w:hAnsi="Times New Roman"/>
          <w:sz w:val="17"/>
          <w:szCs w:val="17"/>
          <w:color w:val="auto"/>
        </w:rPr>
        <w:t>. Expenses related to professional fees increased by $0.6 million or 5.6% to $11.8 million for the three months ended March 31, 2024 from $11.2 million for the three months ended March 31, 2023. The increase was primarily due to an increase in professional fees related to acquisitions compared to the prior period and partially offset by a decrease in legal costs driven by costs incurred during the first quarter of 2023 in connection with regulatory compliance matters, including periodic information requests, that did not reoccur at the same rate during the first quarter of 2024.</w:t>
      </w:r>
    </w:p>
    <w:p>
      <w:pPr>
        <w:spacing w:after="0" w:line="1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$0.6 million or 13.3% to $4.7 million for the three months ended March 31, 2024 from $4.1 million for the three months ended March 31, 2023. The increase was primarily due to higher data center rent expense primarily driven by the completion of the NFI Acquisition technology integration during the first quarter of 2023 and the relocation of data centers to locations providing enhanced infrastructure and improved performance.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Interest income increased by $8.1 million to $21.1 million for the three months ended March 31, 2024 from $12.9 million for the three months ended March 31, 2023 primarily due to an increase in interest income earned as a result of an increase in our average invested cash balance and an increase in interest rates period over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increased by $1.3 million to $1.7 million for the three months ended March 31, 2024 from $0.4 million for the three months ended March 31, 2023 primarily due to interest expense incurred on payments due under the Tax Receivable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was no other income (loss), net for the three months ended March 31, 2024 compared to $0.3 million for the three months ended March 31, 2023 relating to the recording of an increase in a tax indemnification receivable from Refinitiv.</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Income tax expense increased by $10.4 million to $43.6 million for the three months ended March 31, 2024 from $33.2 million for the three months ended March 31, 2023. The provision for income taxes includes U.S. federal, state, local and foreign taxes. The effective tax rate for the three months ended March 31, 2024 was approximately 23.3%, compared with 24.5% for the three months ended March 31, 2023. The effective tax rate for the three months ended March 31, 2024 differed from the U.S. federal statutory rate of 21.0% primarily due to state, local and foreign taxes and the disallowance of compensation expense tax deductions, partially offset by the effect of non-controlling interests. The effective tax rate for the three months ended March 31, 2023 differed from the U.S. federal statutory rate of 21.0% primarily due to the disallowance of compensation expense tax deductions and state, local and foreign taxes, partially offset by the effect of non-controlling interests.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the three months ended March 31, 2024 and 2023. However, there can be no assurance that our results of operations and financial condition will not be materially impacted by inflation in the future. See “— Trends and Other Factors Impacting Our Performance — Economic Environment”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(as defined in “— Factors Influencing Our Liquidity and Capital Resources —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and their sufficiency to fund our operating and investing activities.</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 and, at closing, to fund the pending acquisition of ICD with cash.</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including the pending acquisition of ICD,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we had cash and cash equivalents of approximately $1.5 billion and $1.7 billion, respectively. All cash and cash equivalents were held in accounts with financial institutions or money market funds such that the funds are immediately available or in fixed term deposits or investments with a maximum maturity of three months. See Item 3. “Quantitative And Qualitative Disclosures About Market Risks — Credit Risk.”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$0.10 per share. As discussed below, our ability to pay these quarterly cash dividends on our Class A common stock and Class B common stock will depend on distributions to us from TWM LLC.</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April 25, 2024, the board of directors of Tradeweb Markets Inc. declared a cash dividend of $0.10 per share of Class A common stock and Class B common stock for the second quarter of 2024. This dividend will be payable on June 17, 2024 to stockholders of record as of June 3, 2024.</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March 2024, Tradeweb Markets Inc. paid quarterly cash dividends to holders of Class A common stock and Class B common stock in an aggregate amount totaling $21.3 million during the three months ended March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April 25, 2024, Tradeweb Markets Inc., as the sole manager, approved a distribution by TWM LLC to its equityholders, including Tradeweb Markets Inc., in an aggregate amount of $73.1 million, as adjusted by required state and local tax withholdings that will be determined prior to the record date of May 21, 2024, payable on June 4, 2024.</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March 2024, TWM LLC made quarterly cash distributions to its equityholders in an aggregate amount of $62.1 million during the three months ended March 31, 2024, including distributions to Tradeweb Markets Inc. of $56.0 million and distributions to non-controlling interests of $6.1 million. The proceeds of the cash distributions were used by Tradeweb Markets Inc. to fund dividend payments, taxes and expenses.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5, 2022, the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three months ended March 31, 2024, the Company did not repurchase any shares pursuant to the 2022 Share Repurchase Program. As of March 31, 2024, a total of $239.8 million remained available for repurchase pursuant to the 2022 Share Repurchase Program.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4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withheld 452,821 shares of common stock from employee stock option, PRSU and RSU awards, at an average price per share of $96.80 and an aggregate value of $43.8 million, based on the price of the Class A common stock on the date the relevant withholding occurred.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7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March 31, 2024, total amounts due to Continuing LLC Owners under the Tax Receivable Agreement were $432.0 million, substantially all due to be paid over 15 years following the purchase of LLC Interests from Continuing LLC Owners or redemption or exchanges by Continuing LLC Owners of LLC Interests. As of March 31, 2024, we expect to make tax receivable agreement liability payments of approximately $58.5 million within the next 12 months and approximately $373.5 million thereafter.</w:t>
      </w:r>
    </w:p>
    <w:p>
      <w:pPr>
        <w:spacing w:after="0" w:line="1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we had no outstanding indebtedness.</w:t>
      </w:r>
    </w:p>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21, 2023, TWM LLC entered into a five year, $500.0 million unsecured revolving credit facility (the “2023 Revolving Credit Facility”) with a syndicate of banks, which replaced its $500.0 million secured credit facility entered into on April 8, 2019 (the “2019 Revolving Credit Facility”). Subject to the satisfaction of certain conditions, we will be able to increase the 2023 Revolving Credit Facility by $250.0 million with the consent of lenders participating in the increase. The 2023 Revolving Credit Facility provides borrowing capacity to be used to fund ongoing working capital needs, letters of credit and for general corporate purposes, including potential future acquisitions and expansions. As of March 31, 2024, there were $0.5 million in letters of credit issued under the 2023 Revolving Credit Facility and no borrowings outstanding. The 2023 Revolving Credit Facility will mature on November 21, 2028.</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 As of March 31, 2024, we were in compliance with all the covenants set forth in the 2023 Revolving Credit Facility.</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Liquidity and Capital Resources – Factors Influencing Our Liquidity and Capital Resources – Indebtedness” in Part II of our 2023 Form 10-K for additional details regarding the terms, restrictions and covenants applicable to the 2023 Revolving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March 2030. In December 2023, the lease for our New York headquarters was extended for an amended term through December 2024, as we continue to evaluate our office space needs for the future.</w:t>
      </w:r>
    </w:p>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2024, our operating lease liabilities totaled $24.7 million, with payments pursuant to these obligations due within the next 12 months and thereafter totaling $10.9 million and $16.0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Acquisitions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 cybersecurity. Excluding cash paid at closing for acquisitions, we expect total cash paid for capital expenditures and software development costs for fiscal year 2024 to be between $75 million and $83 million, compared to expenditures of $61.8 million in fiscal year 2023, with the midpoint of our 2024 capital expenditure guidance up 28% versus fiscal year 2023 primarily due to anticipated capitalized integration spend associated with the acquisitions of Yieldbroker and r8fin. Excluding the 2024 integration and other one-time spend, the mid-point growth is projected to be approximately 15% higher year over year. Cash paid for capital expenditures and software development costs during the three months ended March 31, 2024 totaled $17.3 million, excluding cash paid at closing for acquisitions.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on April 5, 2024, we entered into a definitive agreement for TWM LLC to acquire ICD for $785 million in cash, subject to customary working capital and other adjustments. The acquisition is expected to close in the second half of 2024, subject to the satisfaction of customary closing conditions and regulatory reviews and the purchase price is expected to be funded with cash and cash equivalents on hand.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U.S. subsidiaries are registered as broker-dealers, SEFs or introducing brokers and are subject to the applicable rules and regulations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and CFTC. These rules contain minimum net capital or other financial resource requirements, as defined in the applicable regulations.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may also require a significant part of the registrants’ assets be kept in relatively liquid form. Certain of our foreign subsidiaries are regulated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Conduct Authority in the UK, the Nederlandsche Bank in the Netherlands, the Japanese Financial Services Agency, the Japanese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 Association and other foreign regulators, and must maintain financial resources, as defined in the applicable regulations, in excess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requirement. As of March 31, 2024 and December 31, 2023, each of our regulated subsidiaries had maintained sufficient net capital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to at least satisfy their minimum requirements, which in aggregate were $78.4 million and $76.7 million, respectively. We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balances in these subsidiaries in excess of our minimum requirements in order to satisfy working capital needs and to ensure that we have enough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 to satisfy margin requirements and credit risk, including the excess capital expectations of our clients. The Fixed Income Clearing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(“FICC”) and some of our clearing brokers require us to post collateral on unsettled positions, included within deposits with clearing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in our condensed consolidated statements of financial condition. Collateral amounts are marked to market on a daily basis, requiring us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receive margin amounts as part of the daily funds settlement. Margin call requirements can vary significantly across periods based on daily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and may represent a significant and unpredictable use of our liquidity.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6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Historically we have used ICBC, a wholly-owned subsidiary of the Industrial and Commercial Bank of China Limited, to clear U.S. Treasury trades executed by non-FICC members on our wholesale trading platform. Under that arrangement, ICBC submitted our trades from non-FICC members to the FICC under the ICBC netting account with the FICC. Following the November 2023 ransomware attack on some ICBC operating systems, including those used to clear U.S. Treasury and repurchase agreement financings, we have and may continue to self-clear these U.S. Treasury trades. As a result, this increased the number of trades that settle over the fed wire, instead of FICC clearing, and accordingly we have experienced and may continue to experience, an increase in the number of U.S. Treasury failed settlement transactions. As of March 31, 2024, we recorded a $676.1 million receivable and a $646.6 million payable from/to brokers and dealers and clearing organizations related to failed settlement transactions and we self-funded the remaining $29.5 million difference between the fail to deliver and fail to receive. All of the above failed settlement transactions outstanding as of March 31, 2024 were fully settled during April 2024. See below for further details regarding the changes to working capital as a result of these failed settlement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securities sold under agreements to repurchase,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March 31, 2024 and December 31, 2023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7"/>
        </w:trPr>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1,706,468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2,531,734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2,294,051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164,329</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56,878</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26,804</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911,492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659,907</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1,620,242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1,634,144</w:t>
            </w:r>
          </w:p>
        </w:tc>
      </w:tr>
      <w:tr>
        <w:trPr>
          <w:trHeight w:val="21"/>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Current assets increased to $2.5 billion as of March 31, 2024 from $2.3 billion as of December 31, 2023 primarily due to an increase in receivables from brokers and dealers and clearing organizations resulting from a higher value of fails to deliver, all of which settled in April 2024, and an increase in deposits with clearing organizations which contributed to the offsetting decline in cash and cash equivalents. The increase in brokers and dealers and clearing organizations and deposits with clearing organizations were both primarily the result of increased unsettled wholesale platforms transactions due to the timing of the settlement of Treasury auctions and unidirectional flow by counterparties at the end of the month which impacted FICC margin requirement calculations. See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xml:space="preserve"> below for a discussion of the remaining decline in cash and cash equivalents.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Current liabilities increased to $911.5 million as of March 31, 2024 from $659.9 million as of December 31, 2023 primarily due to an increase in payable to brokers and dealers and clearing organizations resulting from a higher value of fails to receive, all of which settled in April 2024. The increase in fails was the result of increased unsettled wholesale platforms transactions, due to the timing of the settlement of Treasury auctions. This increase was partially offset by a decrease in accrued compensation as a result of annual bonus payments, which occurred during the three months ended March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three months ended March 31,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ind w:left="20" w:right="2160"/>
        <w:spacing w:after="0" w:line="344"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320" w:type="dxa"/>
            <w:vAlign w:val="bottom"/>
          </w:tcPr>
          <w:p>
            <w:pPr>
              <w:spacing w:after="0"/>
              <w:rPr>
                <w:sz w:val="20"/>
                <w:szCs w:val="20"/>
                <w:color w:val="auto"/>
              </w:rPr>
            </w:pPr>
          </w:p>
        </w:tc>
        <w:tc>
          <w:tcPr>
            <w:tcW w:w="24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02"/>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70,840</w:t>
            </w:r>
          </w:p>
        </w:tc>
      </w:tr>
      <w:tr>
        <w:trPr>
          <w:trHeight w:val="229"/>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w:t>
            </w:r>
          </w:p>
        </w:tc>
      </w:tr>
      <w:tr>
        <w:trPr>
          <w:trHeight w:val="234"/>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(80,456)</w:t>
            </w:r>
          </w:p>
        </w:tc>
      </w:tr>
      <w:tr>
        <w:trPr>
          <w:trHeight w:val="270"/>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(161,587)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(24,554)</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720" w:space="720"/>
            <w:col w:w="2800"/>
          </w:cols>
          <w:pgMar w:left="320" w:top="121" w:right="339" w:bottom="1440" w:gutter="0" w:footer="0" w:header="0"/>
        </w:sect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$37.9 million, a decrease of $32.9 million over the three months ended March 31, 2023, primarily driven by an increase in cash used to fund deposits with clearing organizations partially offset by an increase in net income and other changes in working capital.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$107.0 million for the three months ended March 31, 2024, which consisted of $89.2 million of total net cash paid for the r8fin Acquisition (net of cash acquired), $10.7 million of capitalized software development costs, $6.6 million of purchases of furniture, equipment, purchased software and leasehold improvements. Net cash used in investing activities was $16.7 million for the three months ended March 31, 2023, which consisted of $9.8 million of capitalized software development costs and $6.9 million of purchases of furniture, equipment, purchased software and leasehold improvements.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was $90.8 million, and was primarily driven by $37.8 million in payroll tax payments for options, PRSUs and RSUs, net of proceeds from the related stock-based compensation option exercises, $25.5 million in payments due under our Tax Receivable Agreement and $21.3 million in cash dividends to our Class A and Class B common stockholders. Net cash used in financing activities for the three months ended March 31, 2023 was $80.5 million, and was primarily driven by $32.9 million in payroll tax payments for options, PRSUs and RSUs, net of proceeds from the related stock-based compensation option exercises, $20.8 million in share repurchases pursuant to the 2022 Share Repurchase Program and $18.7 million in cash dividends to our Class A and Class B common stockholders.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three months ended March 31,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70,840</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(9,835)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(6,879)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54,126</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Beginning on August 30, 2021, we also exclude the non-cash accelerated stock-based compensation expense associated with our former CFO and beginning on February 11, 2022 the incremental non-cash accelerated stock-based compensation expense associated with our retired CEO and related payroll taxes are also excluded, as we do not consider these expenses indicative of our core ongoing operating performance. The accelerated stock-based compensation expense associated with our former CFO and retired CEO was fully amortized on January 4, 2022 and December 31, 2022, respectively.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6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retired CEO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three months ended March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143,382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102,193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(21,060)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(12,940)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49,337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45,404</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43,638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33,205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219,528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172,203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(49,337)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(45,404)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34,367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31,617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204,558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158,416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360" w:hanging="332"/>
        <w:spacing w:after="0" w:line="27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180" w:hanging="332"/>
        <w:spacing w:after="0" w:line="26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w:t>
      </w:r>
    </w:p>
    <w:p>
      <w:pPr>
        <w:ind w:left="340" w:right="60" w:hanging="332"/>
        <w:spacing w:after="0" w:line="25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6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260" w:hanging="332"/>
        <w:spacing w:after="0" w:line="262"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6"/>
        </w:trPr>
        <w:tc>
          <w:tcPr>
            <w:tcW w:w="6520" w:type="dxa"/>
            <w:vAlign w:val="bottom"/>
          </w:tcPr>
          <w:p>
            <w:pPr>
              <w:spacing w:after="0"/>
              <w:rPr>
                <w:sz w:val="12"/>
                <w:szCs w:val="12"/>
                <w:color w:val="auto"/>
              </w:rPr>
            </w:pPr>
          </w:p>
        </w:tc>
        <w:tc>
          <w:tcPr>
            <w:tcW w:w="11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1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Point Change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+141 bps</w:t>
            </w:r>
          </w:p>
        </w:tc>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+179 bps</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+193 bps</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+231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60" w:hanging="332"/>
        <w:spacing w:after="0" w:line="265"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months ended March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4"/>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4"/>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126,142</w:t>
            </w:r>
          </w:p>
        </w:tc>
        <w:tc>
          <w:tcPr>
            <w:tcW w:w="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87,856</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31,617</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18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223,900</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170,907</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167,925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260" w:hanging="332"/>
        <w:spacing w:after="0" w:line="254"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180" w:hanging="332"/>
        <w:spacing w:after="0" w:line="254"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w:t>
      </w:r>
    </w:p>
    <w:p>
      <w:pPr>
        <w:ind w:left="340" w:right="60" w:hanging="332"/>
        <w:spacing w:after="0" w:line="259"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6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20" w:hanging="332"/>
        <w:spacing w:after="0" w:line="25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25.0% and 24.5% applied to Adjusted Net Income before income taxes for the three months ended March 31, 2024 and 2023, respectively.</w:t>
      </w:r>
    </w:p>
    <w:p>
      <w:pPr>
        <w:ind w:left="340" w:right="40" w:hanging="332"/>
        <w:spacing w:after="0" w:line="283"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months ended March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 Weighted Average Shares Outstanding and</w:t>
            </w: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Diluted EPS</w:t>
            </w: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Class A and Class B common stock outstanding</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214,660,853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210,143,734</w:t>
            </w:r>
          </w:p>
        </w:tc>
        <w:tc>
          <w:tcPr>
            <w:tcW w:w="0" w:type="dxa"/>
            <w:vAlign w:val="bottom"/>
          </w:tcPr>
          <w:p>
            <w:pPr>
              <w:spacing w:after="0"/>
              <w:rPr>
                <w:sz w:val="1"/>
                <w:szCs w:val="1"/>
                <w:color w:val="auto"/>
              </w:rPr>
            </w:pPr>
          </w:p>
        </w:tc>
      </w:tr>
      <w:tr>
        <w:trPr>
          <w:trHeight w:val="27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291,772</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Assumed exchange of LLC Interests for shares of Class A or Class B 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23,077,973</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26,340,754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237,898,783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236,776,260</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120" w:hanging="332"/>
        <w:spacing w:after="0" w:line="266"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weighted average unvested restricted stock units and unsettled vested performance-based restricted stock units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business combinations,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most significant accounting estimates associated with the r8fin Acquisition that closed in January 2024 was the valuation of the acquired definite-lived intangible customer relationship asset (the “Customer Relationships”), which was valued at approximately $56.5 million as of the date of the closing of the acquisition and the valuation of the developed technology, which was valued at approximately $28.0 million. The majority of the residual total purchase price of $41.4 million, net of cash acquired, was primarily allocated to goodwill, which was measured at approximately $42.2 million as of the date of the closing of the acquisition. We utilized the assistance of a third-party valuation specialist to determine the fair value of the assets acquired and liabilities assumed at the date of the closing of the acquisition. Management is responsible for these valuations and appraisals.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valuation of the Customer Relationships and the developed technology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developed technology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GAAP purposes, the Customer Relationships will be amortized over a useful life of 13 years and the developed technology acquired will be amortized over a useful life of seven years. Any changes in the discount rate used for valuing the acquired assets or the estimated useful life used for amortization purposes could have a material impact on our condensed consolidated statements of financial condition and condensed consolidated statement of income. Any increases or decreases in the allocation of purchase price to Customer Relationships or the developed technology acquired, which are both amortizable assets, would be offset by a corresponding decrease or increase in goodwill, which is an indefinite-lived asset, not subject to amortization and as a result would impact the asset balances recorded on our condensed consolidated statements of financial condition as well as the amortization expense recorded on our condensed consolidated statements of income over the life of the asset. Any changes in the estimated useful life of the assets would also impact timing of the reduction of the net balance of intangible assets or software development costs, net of accumulated amortization on our condensed consolidated statements of financial condition and the timing of the recognition of amortization expense on our condensed consolidated statements of income. The primary areas of the preliminary purchase price allocation that are not yet finalized as of March 31, 2024 relate primarily to the valuation of the identifiable intangible assets and software and the finalization of working capital adjustments. The allocation of the purchase price will be finalized upon completion of the analysis of the acquired assets within one year of the date of the closing of the acquisition.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3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5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2024 and 2023, there were no material changes in the methodology or assumptions used to determine LSEG market data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2024, we granted 86,592 performance-based restricted stock units that vest based on market conditions with a grant date fair value totaling $12.9 million, which will be amortized into expense on a straight-line basis through December 31, 2026. The significant assumptions used in determining the grant date fair value of the award were a maturity of 2.8 years, annualized volatility of 26.63% and a risk-free interest rate of 4.44%. A change in any of the assumptions used to value these awards could materially affect stock-based compensation expense recorded in the current and future periods. During each of the three months ended March 31, 2024 and 2023, there were no material changes in the methodology or assumptions used to determine the valuation of our annual PSU grants.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March 31, 2024 and December 31, 2023, we have no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6 – Income Taxes to our unaudited condensed consolidated financial statements included elsewhere in this Quarterly Report on Form 10-Q.</w:t>
      </w:r>
    </w:p>
    <w:p>
      <w:pPr>
        <w:spacing w:after="0" w:line="1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a Continuing LLC Owner, including with the net proceeds from the IPO, the October 2019 and April 2020 follow-on offerings and any future offering or (b) redemptions or exchanges by a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Recent SEC Final Rules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 and recent SEC final rule activity.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months ended March 31,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194"/>
        <w:spacing w:after="0"/>
        <w:tabs>
          <w:tab w:leader="none" w:pos="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33655</wp:posOffset>
            </wp:positionV>
            <wp:extent cx="17741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30%</w:t>
      </w:r>
      <w:r>
        <w:rPr>
          <w:sz w:val="20"/>
          <w:szCs w:val="20"/>
          <w:color w:val="auto"/>
        </w:rPr>
        <w:tab/>
      </w:r>
      <w:r>
        <w:rPr>
          <w:rFonts w:ascii="Times New Roman" w:cs="Times New Roman" w:eastAsia="Times New Roman" w:hAnsi="Times New Roman"/>
          <w:sz w:val="17"/>
          <w:szCs w:val="17"/>
          <w:color w:val="auto"/>
        </w:rPr>
        <w:t>28%</w:t>
      </w:r>
    </w:p>
    <w:p>
      <w:pPr>
        <w:spacing w:after="0" w:line="7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color w:val="auto"/>
        </w:rPr>
        <w:t>14%</w:t>
      </w:r>
    </w:p>
    <w:p>
      <w:pPr>
        <w:spacing w:after="0" w:line="628" w:lineRule="exact"/>
        <w:rPr>
          <w:sz w:val="20"/>
          <w:szCs w:val="20"/>
          <w:color w:val="auto"/>
        </w:rPr>
      </w:pPr>
    </w:p>
    <w:p>
      <w:pPr>
        <w:sectPr>
          <w:pgSz w:w="11900" w:h="16838" w:orient="portrait"/>
          <w:cols w:equalWidth="0" w:num="2">
            <w:col w:w="8240" w:space="720"/>
            <w:col w:w="2280"/>
          </w:cols>
          <w:pgMar w:left="320" w:top="121" w:right="339" w:bottom="1440" w:gutter="0" w:footer="0" w:header="0"/>
          <w:type w:val="continuous"/>
        </w:sect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losses from foreign currency remeasurement of transactions in nonfunctional currencies recognized in the condensed consolidated statements of income within general and administrative expense totaled $1.2 million and $0.4 million during the three months ended March 31, 2024 and 2023, respectively.</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months ended March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months ended March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3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3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886"/>
        </w:trPr>
        <w:tc>
          <w:tcPr>
            <w:tcW w:w="4900" w:type="dxa"/>
            <w:vAlign w:val="bottom"/>
          </w:tcPr>
          <w:p>
            <w:pPr>
              <w:spacing w:after="0"/>
              <w:rPr>
                <w:sz w:val="24"/>
                <w:szCs w:val="24"/>
                <w:color w:val="auto"/>
              </w:rPr>
            </w:pPr>
          </w:p>
        </w:tc>
        <w:tc>
          <w:tcPr>
            <w:tcW w:w="346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months ended March 31,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spacing w:after="0"/>
              <w:rPr>
                <w:sz w:val="23"/>
                <w:szCs w:val="23"/>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We do not use derivative instruments for trading or speculative purposes. As of March 31, 2024 and December 31, 2023, the notional amount of our foreign currency forward contracts was $214.8 million and $192.9 million, respectively. Realized and unrealized gains/losses on foreign currency forward contracts totaled a $4.4 million gain and a $1.2 million loss during the three months ended March 31, 2024 and 2023, respectively.</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March 31, 2024 and December 31, 2023, the counterparty on each of the foreign exchange derivative contracts was an affiliate of LSEG.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As of both March 31, 2024 and December 31, 2023, the allowance for credit losses with regard to these receivables totaled $0.3 million.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customers of the Company, which are cleared by a clearing broker. As between the Company and the clearing broker, the Company is responsible for losses that may result from the clearing broker’s rejection, reversal or cancellation of a transaction.</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March 31, 2024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2023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2023 Form 10-K.</w:t>
      </w:r>
    </w:p>
    <w:p>
      <w:pPr>
        <w:spacing w:after="0" w:line="131" w:lineRule="exact"/>
        <w:rPr>
          <w:sz w:val="20"/>
          <w:szCs w:val="20"/>
          <w:color w:val="auto"/>
        </w:rPr>
      </w:pPr>
    </w:p>
    <w:p>
      <w:pPr>
        <w:ind w:right="406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Recent Sales of Unregistered Securities</w:t>
      </w:r>
    </w:p>
    <w:p>
      <w:pPr>
        <w:ind w:right="300"/>
        <w:spacing w:after="0" w:line="258" w:lineRule="auto"/>
        <w:rPr>
          <w:sz w:val="20"/>
          <w:szCs w:val="20"/>
          <w:color w:val="auto"/>
        </w:rPr>
      </w:pPr>
      <w:r>
        <w:rPr>
          <w:rFonts w:ascii="Times New Roman" w:cs="Times New Roman" w:eastAsia="Times New Roman" w:hAnsi="Times New Roman"/>
          <w:sz w:val="18"/>
          <w:szCs w:val="18"/>
          <w:color w:val="auto"/>
        </w:rPr>
        <w:t>On November 16, 2023, we and TWM LLC entered into a definitive agreement for TWM LLC to acquire all the outstanding equity interests of r8fin, which closed on January 19, 2024. On the closing date, we issued a total of 374,601 shares of Class A common stock as partial consideration for the acquisition. The issuance of the Class A common stock was made in reliance on Section 4(a)(2) of the Securities Act. The Company relied on this exemption from registration based in part on the nature of the transaction and the representations made by the recipients of the Class A common stock, which were former equityholders of r8fin.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we did not repurchase any securities pursuant to share repurchase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March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2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6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4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69"/>
        </w:trPr>
        <w:tc>
          <w:tcPr>
            <w:tcW w:w="13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Billy Hult</w:t>
            </w:r>
          </w:p>
        </w:tc>
        <w:tc>
          <w:tcPr>
            <w:tcW w:w="124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Adoption</w:t>
            </w:r>
          </w:p>
        </w:tc>
        <w:tc>
          <w:tcPr>
            <w:tcW w:w="162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8"/>
                <w:szCs w:val="18"/>
                <w:color w:val="auto"/>
              </w:rPr>
              <w:t>February 8, 2024</w:t>
            </w:r>
          </w:p>
        </w:tc>
        <w:tc>
          <w:tcPr>
            <w:tcW w:w="548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Sale of an amount equal to up to 98,000 shares of Class A common stock</w:t>
            </w:r>
          </w:p>
        </w:tc>
        <w:tc>
          <w:tcPr>
            <w:tcW w:w="154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February 8, 2025</w:t>
            </w:r>
          </w:p>
        </w:tc>
      </w:tr>
      <w:tr>
        <w:trPr>
          <w:trHeight w:val="182"/>
        </w:trPr>
        <w:tc>
          <w:tcPr>
            <w:tcW w:w="1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Executive</w:t>
            </w:r>
          </w:p>
        </w:tc>
        <w:tc>
          <w:tcPr>
            <w:tcW w:w="1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to be issued upon the exercise of options in accordance with the terms of</w:t>
            </w:r>
          </w:p>
        </w:tc>
        <w:tc>
          <w:tcPr>
            <w:tcW w:w="1540" w:type="dxa"/>
            <w:vAlign w:val="bottom"/>
            <w:shd w:val="clear" w:color="auto" w:fill="CCEEFF"/>
          </w:tcPr>
          <w:p>
            <w:pPr>
              <w:spacing w:after="0"/>
              <w:rPr>
                <w:sz w:val="15"/>
                <w:szCs w:val="15"/>
                <w:color w:val="auto"/>
              </w:rPr>
            </w:pPr>
          </w:p>
        </w:tc>
      </w:tr>
      <w:tr>
        <w:trPr>
          <w:trHeight w:val="182"/>
        </w:trPr>
        <w:tc>
          <w:tcPr>
            <w:tcW w:w="1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 and</w:t>
            </w:r>
          </w:p>
        </w:tc>
        <w:tc>
          <w:tcPr>
            <w:tcW w:w="1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the Rule 10b5-1 trading arrangement.</w:t>
            </w:r>
          </w:p>
        </w:tc>
        <w:tc>
          <w:tcPr>
            <w:tcW w:w="1540" w:type="dxa"/>
            <w:vAlign w:val="bottom"/>
            <w:shd w:val="clear" w:color="auto" w:fill="CCEEFF"/>
          </w:tcPr>
          <w:p>
            <w:pPr>
              <w:spacing w:after="0"/>
              <w:rPr>
                <w:sz w:val="15"/>
                <w:szCs w:val="15"/>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75"/>
        </w:trPr>
        <w:tc>
          <w:tcPr>
            <w:tcW w:w="1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Sara Furber</w:t>
            </w:r>
          </w:p>
        </w:tc>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Adoption</w:t>
            </w:r>
          </w:p>
        </w:tc>
        <w:tc>
          <w:tcPr>
            <w:tcW w:w="16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February 16, 2024</w:t>
            </w:r>
          </w:p>
        </w:tc>
        <w:tc>
          <w:tcPr>
            <w:tcW w:w="54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Sale of an amount equal to up to: (A) 5,410 shares of Class A common</w:t>
            </w:r>
          </w:p>
        </w:tc>
        <w:tc>
          <w:tcPr>
            <w:tcW w:w="15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July 26, 2024</w:t>
            </w:r>
          </w:p>
        </w:tc>
      </w:tr>
      <w:tr>
        <w:trPr>
          <w:trHeight w:val="182"/>
        </w:trPr>
        <w:tc>
          <w:tcPr>
            <w:tcW w:w="13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w:t>
            </w: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stock, plus (B) (i) 10,807 shares of Class A common stock to be issued</w:t>
            </w:r>
          </w:p>
        </w:tc>
        <w:tc>
          <w:tcPr>
            <w:tcW w:w="1540" w:type="dxa"/>
            <w:vAlign w:val="bottom"/>
          </w:tcPr>
          <w:p>
            <w:pPr>
              <w:spacing w:after="0"/>
              <w:rPr>
                <w:sz w:val="15"/>
                <w:szCs w:val="15"/>
                <w:color w:val="auto"/>
              </w:rPr>
            </w:pPr>
          </w:p>
        </w:tc>
      </w:tr>
      <w:tr>
        <w:trPr>
          <w:trHeight w:val="182"/>
        </w:trPr>
        <w:tc>
          <w:tcPr>
            <w:tcW w:w="13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upon the vesting on March 15, 2024 of previously awarded restricted</w:t>
            </w:r>
          </w:p>
        </w:tc>
        <w:tc>
          <w:tcPr>
            <w:tcW w:w="154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stock units, plus (ii) the number of shares issued upon vesting on March</w:t>
            </w:r>
          </w:p>
        </w:tc>
        <w:tc>
          <w:tcPr>
            <w:tcW w:w="1540" w:type="dxa"/>
            <w:vAlign w:val="bottom"/>
          </w:tcPr>
          <w:p>
            <w:pPr>
              <w:spacing w:after="0"/>
              <w:rPr>
                <w:sz w:val="15"/>
                <w:szCs w:val="15"/>
                <w:color w:val="auto"/>
              </w:rPr>
            </w:pPr>
          </w:p>
        </w:tc>
      </w:tr>
      <w:tr>
        <w:trPr>
          <w:trHeight w:val="184"/>
        </w:trPr>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15, 2024 in settlement of dividend equivalent rights in respect of the</w:t>
            </w:r>
          </w:p>
        </w:tc>
        <w:tc>
          <w:tcPr>
            <w:tcW w:w="1540" w:type="dxa"/>
            <w:vAlign w:val="bottom"/>
          </w:tcPr>
          <w:p>
            <w:pPr>
              <w:spacing w:after="0"/>
              <w:rPr>
                <w:sz w:val="16"/>
                <w:szCs w:val="16"/>
                <w:color w:val="auto"/>
              </w:rPr>
            </w:pPr>
          </w:p>
        </w:tc>
      </w:tr>
      <w:tr>
        <w:trPr>
          <w:trHeight w:val="180"/>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10,807 shares subject to the restricted stock units that accrued during the</w:t>
            </w:r>
          </w:p>
        </w:tc>
        <w:tc>
          <w:tcPr>
            <w:tcW w:w="154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award’s vesting period of March 15, 2022 - March 15, 2024, pursuant to</w:t>
            </w:r>
          </w:p>
        </w:tc>
        <w:tc>
          <w:tcPr>
            <w:tcW w:w="1540" w:type="dxa"/>
            <w:vAlign w:val="bottom"/>
          </w:tcPr>
          <w:p>
            <w:pPr>
              <w:spacing w:after="0"/>
              <w:rPr>
                <w:sz w:val="15"/>
                <w:szCs w:val="15"/>
                <w:color w:val="auto"/>
              </w:rPr>
            </w:pPr>
          </w:p>
        </w:tc>
      </w:tr>
      <w:tr>
        <w:trPr>
          <w:trHeight w:val="184"/>
        </w:trPr>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the terms of the award agreement and determined on the vesting date, less</w:t>
            </w:r>
          </w:p>
        </w:tc>
        <w:tc>
          <w:tcPr>
            <w:tcW w:w="1540" w:type="dxa"/>
            <w:vAlign w:val="bottom"/>
          </w:tcPr>
          <w:p>
            <w:pPr>
              <w:spacing w:after="0"/>
              <w:rPr>
                <w:sz w:val="16"/>
                <w:szCs w:val="16"/>
                <w:color w:val="auto"/>
              </w:rPr>
            </w:pPr>
          </w:p>
        </w:tc>
      </w:tr>
      <w:tr>
        <w:trPr>
          <w:trHeight w:val="180"/>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(iii) the number of shares withheld for taxes, to be determined on the</w:t>
            </w:r>
          </w:p>
        </w:tc>
        <w:tc>
          <w:tcPr>
            <w:tcW w:w="154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vesting date, plus (C) (i) 4,948 shares of Class A common stock to be</w:t>
            </w:r>
          </w:p>
        </w:tc>
        <w:tc>
          <w:tcPr>
            <w:tcW w:w="1540" w:type="dxa"/>
            <w:vAlign w:val="bottom"/>
          </w:tcPr>
          <w:p>
            <w:pPr>
              <w:spacing w:after="0"/>
              <w:rPr>
                <w:sz w:val="15"/>
                <w:szCs w:val="15"/>
                <w:color w:val="auto"/>
              </w:rPr>
            </w:pPr>
          </w:p>
        </w:tc>
      </w:tr>
      <w:tr>
        <w:trPr>
          <w:trHeight w:val="184"/>
        </w:trPr>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issued upon the vesting on March 31, 2024 of previously awarded</w:t>
            </w:r>
          </w:p>
        </w:tc>
        <w:tc>
          <w:tcPr>
            <w:tcW w:w="1540" w:type="dxa"/>
            <w:vAlign w:val="bottom"/>
          </w:tcPr>
          <w:p>
            <w:pPr>
              <w:spacing w:after="0"/>
              <w:rPr>
                <w:sz w:val="16"/>
                <w:szCs w:val="16"/>
                <w:color w:val="auto"/>
              </w:rPr>
            </w:pPr>
          </w:p>
        </w:tc>
      </w:tr>
      <w:tr>
        <w:trPr>
          <w:trHeight w:val="180"/>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restricted stock units, plus (ii) the number of shares issued upon vesting</w:t>
            </w:r>
          </w:p>
        </w:tc>
        <w:tc>
          <w:tcPr>
            <w:tcW w:w="154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on March 31, 2024 in settlement of dividend equivalent rights in respect</w:t>
            </w:r>
          </w:p>
        </w:tc>
        <w:tc>
          <w:tcPr>
            <w:tcW w:w="1540" w:type="dxa"/>
            <w:vAlign w:val="bottom"/>
          </w:tcPr>
          <w:p>
            <w:pPr>
              <w:spacing w:after="0"/>
              <w:rPr>
                <w:sz w:val="15"/>
                <w:szCs w:val="15"/>
                <w:color w:val="auto"/>
              </w:rPr>
            </w:pPr>
          </w:p>
        </w:tc>
      </w:tr>
      <w:tr>
        <w:trPr>
          <w:trHeight w:val="184"/>
        </w:trPr>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of the 4,948 shares subject to the restricted stock units that accrued during</w:t>
            </w:r>
          </w:p>
        </w:tc>
        <w:tc>
          <w:tcPr>
            <w:tcW w:w="1540" w:type="dxa"/>
            <w:vAlign w:val="bottom"/>
          </w:tcPr>
          <w:p>
            <w:pPr>
              <w:spacing w:after="0"/>
              <w:rPr>
                <w:sz w:val="16"/>
                <w:szCs w:val="16"/>
                <w:color w:val="auto"/>
              </w:rPr>
            </w:pPr>
          </w:p>
        </w:tc>
      </w:tr>
      <w:tr>
        <w:trPr>
          <w:trHeight w:val="180"/>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the award’s vesting period of March 31, 2023 - March 31, 2024, pursuant</w:t>
            </w:r>
          </w:p>
        </w:tc>
        <w:tc>
          <w:tcPr>
            <w:tcW w:w="154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to the terms of the award agreement and determined on the vesting date,</w:t>
            </w:r>
          </w:p>
        </w:tc>
        <w:tc>
          <w:tcPr>
            <w:tcW w:w="1540" w:type="dxa"/>
            <w:vAlign w:val="bottom"/>
          </w:tcPr>
          <w:p>
            <w:pPr>
              <w:spacing w:after="0"/>
              <w:rPr>
                <w:sz w:val="15"/>
                <w:szCs w:val="15"/>
                <w:color w:val="auto"/>
              </w:rPr>
            </w:pPr>
          </w:p>
        </w:tc>
      </w:tr>
      <w:tr>
        <w:trPr>
          <w:trHeight w:val="184"/>
        </w:trPr>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(iii) the number of shares withheld for taxes, to be determined on the</w:t>
            </w:r>
          </w:p>
        </w:tc>
        <w:tc>
          <w:tcPr>
            <w:tcW w:w="1540" w:type="dxa"/>
            <w:vAlign w:val="bottom"/>
          </w:tcPr>
          <w:p>
            <w:pPr>
              <w:spacing w:after="0"/>
              <w:rPr>
                <w:sz w:val="16"/>
                <w:szCs w:val="16"/>
                <w:color w:val="auto"/>
              </w:rPr>
            </w:pPr>
          </w:p>
        </w:tc>
      </w:tr>
      <w:tr>
        <w:trPr>
          <w:trHeight w:val="234"/>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date.</w:t>
            </w:r>
          </w:p>
        </w:tc>
        <w:tc>
          <w:tcPr>
            <w:tcW w:w="1540" w:type="dxa"/>
            <w:vAlign w:val="bottom"/>
          </w:tcPr>
          <w:p>
            <w:pPr>
              <w:spacing w:after="0"/>
              <w:rPr>
                <w:sz w:val="20"/>
                <w:szCs w:val="20"/>
                <w:color w:val="auto"/>
              </w:rPr>
            </w:pPr>
          </w:p>
        </w:tc>
      </w:tr>
      <w:tr>
        <w:trPr>
          <w:trHeight w:val="175"/>
        </w:trPr>
        <w:tc>
          <w:tcPr>
            <w:tcW w:w="1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Enrico Bruni</w:t>
            </w:r>
          </w:p>
        </w:tc>
        <w:tc>
          <w:tcPr>
            <w:tcW w:w="12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Adoption</w:t>
            </w:r>
          </w:p>
        </w:tc>
        <w:tc>
          <w:tcPr>
            <w:tcW w:w="16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March 1, 2024</w:t>
            </w:r>
          </w:p>
        </w:tc>
        <w:tc>
          <w:tcPr>
            <w:tcW w:w="54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Sale of an amount equal to up to 50,000 shares of Class A common stock</w:t>
            </w:r>
          </w:p>
        </w:tc>
        <w:tc>
          <w:tcPr>
            <w:tcW w:w="15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December 13, 2024</w:t>
            </w:r>
          </w:p>
        </w:tc>
      </w:tr>
      <w:tr>
        <w:trPr>
          <w:trHeight w:val="182"/>
        </w:trPr>
        <w:tc>
          <w:tcPr>
            <w:tcW w:w="1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Managing</w:t>
            </w:r>
          </w:p>
        </w:tc>
        <w:tc>
          <w:tcPr>
            <w:tcW w:w="1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to be issued upon the exercise of options in accordance with the terms of</w:t>
            </w:r>
          </w:p>
        </w:tc>
        <w:tc>
          <w:tcPr>
            <w:tcW w:w="1540" w:type="dxa"/>
            <w:vAlign w:val="bottom"/>
            <w:shd w:val="clear" w:color="auto" w:fill="CCEEFF"/>
          </w:tcPr>
          <w:p>
            <w:pPr>
              <w:spacing w:after="0"/>
              <w:rPr>
                <w:sz w:val="15"/>
                <w:szCs w:val="15"/>
                <w:color w:val="auto"/>
              </w:rPr>
            </w:pPr>
          </w:p>
        </w:tc>
      </w:tr>
      <w:tr>
        <w:trPr>
          <w:trHeight w:val="182"/>
        </w:trPr>
        <w:tc>
          <w:tcPr>
            <w:tcW w:w="1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Director, Head of</w:t>
            </w:r>
          </w:p>
        </w:tc>
        <w:tc>
          <w:tcPr>
            <w:tcW w:w="1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the Rule 10b5-1 trading arrangement.</w:t>
            </w:r>
          </w:p>
        </w:tc>
        <w:tc>
          <w:tcPr>
            <w:tcW w:w="1540" w:type="dxa"/>
            <w:vAlign w:val="bottom"/>
            <w:shd w:val="clear" w:color="auto" w:fill="CCEEFF"/>
          </w:tcPr>
          <w:p>
            <w:pPr>
              <w:spacing w:after="0"/>
              <w:rPr>
                <w:sz w:val="15"/>
                <w:szCs w:val="15"/>
                <w:color w:val="auto"/>
              </w:rPr>
            </w:pPr>
          </w:p>
        </w:tc>
      </w:tr>
      <w:tr>
        <w:trPr>
          <w:trHeight w:val="175"/>
        </w:trPr>
        <w:tc>
          <w:tcPr>
            <w:tcW w:w="1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Europe and Asia</w:t>
            </w:r>
          </w:p>
        </w:tc>
        <w:tc>
          <w:tcPr>
            <w:tcW w:w="1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5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Business</w:t>
            </w:r>
          </w:p>
        </w:tc>
        <w:tc>
          <w:tcPr>
            <w:tcW w:w="12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54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bl>
    <w:p>
      <w:pPr>
        <w:spacing w:after="0" w:line="72" w:lineRule="exact"/>
        <w:rPr>
          <w:sz w:val="20"/>
          <w:szCs w:val="20"/>
          <w:color w:val="auto"/>
        </w:rPr>
      </w:pPr>
    </w:p>
    <w:p>
      <w:pPr>
        <w:ind w:left="320" w:right="160" w:hanging="323"/>
        <w:spacing w:after="0" w:line="282" w:lineRule="auto"/>
        <w:tabs>
          <w:tab w:leader="none" w:pos="300" w:val="left"/>
        </w:tabs>
        <w:rPr>
          <w:sz w:val="20"/>
          <w:szCs w:val="20"/>
          <w:color w:val="auto"/>
        </w:rPr>
      </w:pPr>
      <w:r>
        <w:rPr>
          <w:rFonts w:ascii="Times New Roman" w:cs="Times New Roman" w:eastAsia="Times New Roman" w:hAnsi="Times New Roman"/>
          <w:sz w:val="14"/>
          <w:szCs w:val="14"/>
          <w:color w:val="auto"/>
        </w:rPr>
        <w:t>(1)</w:t>
        <w:tab/>
        <w:t>In each case, the Rule 10b5-1 trading arrangement may also expire on such earlier date as all such transactions under the trading arrangement are completed or at such time as such trading arrangement is otherwise terminated in accordance with its terms.</w:t>
      </w:r>
    </w:p>
    <w:p>
      <w:pPr>
        <w:spacing w:after="0" w:line="1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executive officers adopted, modified or terminated a non-Rule 10b5-1 trading arrangement (as defined in Item 408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140" w:type="dxa"/>
            <w:vAlign w:val="bottom"/>
            <w:gridSpan w:val="12"/>
          </w:tcPr>
          <w:p>
            <w:pPr>
              <w:ind w:left="26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3"/>
        </w:trPr>
        <w:tc>
          <w:tcPr>
            <w:tcW w:w="15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Tradeweb Markets Inc. 2019 Omnibus Equity Incentive Plan 2024 PSU Award Agreement (Form of PSU Agreement for Mr. Hult).</w:t>
            </w:r>
          </w:p>
        </w:tc>
        <w:tc>
          <w:tcPr>
            <w:tcW w:w="140" w:type="dxa"/>
            <w:vAlign w:val="bottom"/>
            <w:gridSpan w:val="2"/>
          </w:tcPr>
          <w:p>
            <w:pPr>
              <w:spacing w:after="0"/>
              <w:rPr>
                <w:sz w:val="15"/>
                <w:szCs w:val="15"/>
                <w:color w:val="auto"/>
              </w:rPr>
            </w:pPr>
          </w:p>
        </w:tc>
      </w:tr>
      <w:tr>
        <w:trPr>
          <w:trHeight w:val="37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Tradeweb Markets Inc. 2019 Omnibus Equity Incentive Plan 2024 PSU Award Agreement (Form of PSU Agreement for other</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Executive Officers).</w:t>
            </w:r>
          </w:p>
        </w:tc>
        <w:tc>
          <w:tcPr>
            <w:tcW w:w="764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Tradeweb Markets Inc. 2019 Omnibus Equity Incentive Plan 2024 PRSU Award Agreement (Form of PRSU Agreement for Mr.</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Hult).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Tradeweb Markets Inc. 2019 Omnibus Equity Incentive Plan 2024 PRSU Award Agreement (Form of PRSU Agreement for other</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Executive Officers).</w:t>
            </w:r>
          </w:p>
        </w:tc>
        <w:tc>
          <w:tcPr>
            <w:tcW w:w="7880" w:type="dxa"/>
            <w:vAlign w:val="bottom"/>
            <w:tcBorders>
              <w:top w:val="single" w:sz="8" w:color="0000FF"/>
            </w:tcBorders>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Tradeweb Markets Inc. 2019 Omnibus Equity Incentive Plan 2024 RSU Award Agreement (Form of RSU Agreement for Mr. Hult).</w:t>
            </w:r>
          </w:p>
        </w:tc>
        <w:tc>
          <w:tcPr>
            <w:tcW w:w="100" w:type="dxa"/>
            <w:vAlign w:val="bottom"/>
          </w:tcPr>
          <w:p>
            <w:pPr>
              <w:spacing w:after="0"/>
              <w:rPr>
                <w:sz w:val="24"/>
                <w:szCs w:val="24"/>
                <w:color w:val="auto"/>
              </w:rPr>
            </w:pPr>
          </w:p>
        </w:tc>
      </w:tr>
      <w:tr>
        <w:trPr>
          <w:trHeight w:val="37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Tradeweb Markets Inc. 2019 Omnibus Equity Incentive Plan 2024 RSU Award Agreement (Form of RSU Agreement for other</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Executive Officers).</w:t>
            </w:r>
          </w:p>
        </w:tc>
        <w:tc>
          <w:tcPr>
            <w:tcW w:w="7680" w:type="dxa"/>
            <w:vAlign w:val="bottom"/>
            <w:tcBorders>
              <w:top w:val="single" w:sz="8" w:color="0000FF"/>
            </w:tcBorders>
            <w:gridSpan w:val="5"/>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4"/>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15"/>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2"/>
          </w:tcPr>
          <w:p>
            <w:pPr>
              <w:spacing w:after="0"/>
              <w:rPr>
                <w:sz w:val="13"/>
                <w:szCs w:val="13"/>
                <w:color w:val="auto"/>
              </w:rPr>
            </w:pPr>
          </w:p>
        </w:tc>
        <w:tc>
          <w:tcPr>
            <w:tcW w:w="3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4"/>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15"/>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tcPr>
          <w:p>
            <w:pPr>
              <w:spacing w:after="0"/>
              <w:rPr>
                <w:sz w:val="13"/>
                <w:szCs w:val="13"/>
                <w:color w:val="auto"/>
              </w:rPr>
            </w:pPr>
          </w:p>
        </w:tc>
        <w:tc>
          <w:tcPr>
            <w:tcW w:w="36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4"/>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20" w:type="dxa"/>
            <w:vAlign w:val="bottom"/>
            <w:gridSpan w:val="4"/>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860" w:type="dxa"/>
            <w:vAlign w:val="bottom"/>
            <w:gridSpan w:val="8"/>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5"/>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220" w:type="dxa"/>
            <w:vAlign w:val="bottom"/>
            <w:gridSpan w:val="13"/>
          </w:tcPr>
          <w:p>
            <w:pPr>
              <w:spacing w:after="0" w:line="20" w:lineRule="exact"/>
              <w:rPr>
                <w:sz w:val="1"/>
                <w:szCs w:val="1"/>
                <w:color w:val="auto"/>
              </w:rPr>
            </w:pPr>
          </w:p>
        </w:tc>
      </w:tr>
      <w:tr>
        <w:trPr>
          <w:trHeight w:val="42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1"/>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5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5"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Indicates a management contract or compensatory plan or arrangement.</w:t>
      </w:r>
    </w:p>
    <w:p>
      <w:pPr>
        <w:ind w:left="5540" w:right="3880" w:hanging="5532"/>
        <w:spacing w:after="0" w:line="947" w:lineRule="auto"/>
        <w:tabs>
          <w:tab w:leader="none" w:pos="442"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Portions of this exhibit have been redacted in compliance with Regulation S-K Item 601(b)(10). </w:t>
      </w:r>
      <w:r>
        <w:rPr>
          <w:rFonts w:ascii="Times New Roman" w:cs="Times New Roman" w:eastAsia="Times New Roman" w:hAnsi="Times New Roman"/>
          <w:sz w:val="18"/>
          <w:szCs w:val="18"/>
          <w:color w:val="000000"/>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April 25, 2024</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William Hult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April 25, 2024</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00"/>
          </w:cols>
          <w:pgMar w:left="320" w:top="121" w:right="379" w:bottom="1440" w:gutter="0" w:footer="0" w:header="0"/>
        </w:sectPr>
      </w:pPr>
    </w:p>
    <w:bookmarkStart w:id="78" w:name="page79"/>
    <w:bookmarkEnd w:id="78"/>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PSU - NOTICE OF GRANT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Delaware corporation, hereby grants to the Grantee set forth below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pursuant to the terms and conditions of this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PSU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 Tradeweb Markets Inc. 2019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but not defined herein shall have the meaning attributed to such terms in the Award Agreement or, if not defined therein, in the Plan, unless the context requires otherwise. Each PSU, to the extent earned and vested pursuant to the terms set forth in the Award Agreement, represents the right to receive one (1) Share at the time and in the manner set forth in Section 5 of the Award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8229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Name of Grantee:</w:t>
      </w:r>
      <w:r>
        <w:rPr>
          <w:sz w:val="20"/>
          <w:szCs w:val="20"/>
          <w:color w:val="auto"/>
        </w:rPr>
        <w:tab/>
      </w:r>
      <w:r>
        <w:rPr>
          <w:rFonts w:ascii="Times New Roman" w:cs="Times New Roman" w:eastAsia="Times New Roman" w:hAnsi="Times New Roman"/>
          <w:sz w:val="21"/>
          <w:szCs w:val="21"/>
          <w:color w:val="auto"/>
        </w:rPr>
        <w:t>William Hult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-11430</wp:posOffset>
            </wp:positionV>
            <wp:extent cx="8229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1"/>
          <w:szCs w:val="21"/>
          <w:color w:val="auto"/>
        </w:rPr>
        <w:t>The Award shall vest pursuant to the terms and conditions set forth in Section 3 of the Award Agreement.</w:t>
      </w:r>
    </w:p>
    <w:p>
      <w:pPr>
        <w:spacing w:after="0" w:line="24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January 1, 2024 – December 31, 2026</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William Hult</w:t>
      </w:r>
    </w:p>
    <w:p>
      <w:pPr>
        <w:sectPr>
          <w:pgSz w:w="11900" w:h="16838" w:orient="portrait"/>
          <w:cols w:equalWidth="0" w:num="1">
            <w:col w:w="10360"/>
          </w:cols>
          <w:pgMar w:left="980" w:top="1440" w:right="559" w:bottom="1440" w:gutter="0" w:footer="0" w:header="0"/>
          <w:type w:val="continuous"/>
        </w:sectPr>
      </w:pPr>
    </w:p>
    <w:bookmarkStart w:id="80" w:name="page81"/>
    <w:bookmarkEnd w:id="80"/>
    <w:p>
      <w:pPr>
        <w:spacing w:after="0" w:line="1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PSU AWARD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PSU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between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7" w:lineRule="exact"/>
        <w:rPr>
          <w:sz w:val="20"/>
          <w:szCs w:val="20"/>
          <w:color w:val="auto"/>
        </w:rPr>
      </w:pPr>
    </w:p>
    <w:p>
      <w:pPr>
        <w:ind w:left="2120" w:hanging="816"/>
        <w:spacing w:after="0"/>
        <w:tabs>
          <w:tab w:leader="none" w:pos="21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23" w:lineRule="exact"/>
        <w:rPr>
          <w:sz w:val="20"/>
          <w:szCs w:val="20"/>
          <w:color w:val="auto"/>
        </w:rPr>
      </w:pPr>
    </w:p>
    <w:p>
      <w:pPr>
        <w:ind w:left="2120" w:hanging="816"/>
        <w:spacing w:after="0"/>
        <w:tabs>
          <w:tab w:leader="none" w:pos="212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PSUs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remain in effect until the Award has fully vested and been settled or been forfeited by the Grantee as provided in this Award Agreement.</w:t>
      </w:r>
    </w:p>
    <w:p>
      <w:pPr>
        <w:spacing w:after="0" w:line="181" w:lineRule="exact"/>
        <w:rPr>
          <w:sz w:val="20"/>
          <w:szCs w:val="20"/>
          <w:color w:val="auto"/>
        </w:rPr>
      </w:pPr>
    </w:p>
    <w:p>
      <w:pPr>
        <w:ind w:left="2120" w:hanging="816"/>
        <w:spacing w:after="0"/>
        <w:tabs>
          <w:tab w:leader="none" w:pos="212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PSUs</w:t>
      </w:r>
    </w:p>
    <w:p>
      <w:pPr>
        <w:spacing w:after="0" w:line="264" w:lineRule="exact"/>
        <w:rPr>
          <w:sz w:val="20"/>
          <w:szCs w:val="20"/>
          <w:color w:val="auto"/>
        </w:rPr>
      </w:pPr>
    </w:p>
    <w:p>
      <w:pPr>
        <w:jc w:val="both"/>
        <w:ind w:firstLine="1304"/>
        <w:spacing w:after="0" w:line="249"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Grantee’s not having Terminated, except as specifically provided herein or in the Plan, the Award granted hereunder will vest on the first day following the end of the Performance Period (the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In the event of a Change in Control or the Grantee’s Retirement prior to the Vesting Date, the Award will be fully vested on the date of the Change in Control or date of Retirement, as applicable. For the sake of clarity, this accelerated vesting (other than in the case of a Qualified Change in Control as described in Section 5(b) below) shall not change the Settlement Date as set forth in Section 5(b) below.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Except as set forth in Section 3(c) below, if the Grantee Terminates before the Vesting Date (other than on account of Retirement), no amounts will be payable hereunder.</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Resignation for Good Reason; Death or Disability</w:t>
      </w:r>
      <w:r>
        <w:rPr>
          <w:rFonts w:ascii="Times New Roman" w:cs="Times New Roman" w:eastAsia="Times New Roman" w:hAnsi="Times New Roman"/>
          <w:sz w:val="22"/>
          <w:szCs w:val="22"/>
          <w:color w:val="auto"/>
        </w:rPr>
        <w:t>. If the Grantee is Terminated (i) by the Company without Cause, (ii) as a result of the</w:t>
      </w:r>
    </w:p>
    <w:p>
      <w:pPr>
        <w:sectPr>
          <w:pgSz w:w="11900" w:h="16838" w:orient="portrait"/>
          <w:cols w:equalWidth="0" w:num="1">
            <w:col w:w="11240"/>
          </w:cols>
          <w:pgMar w:left="320" w:top="1440" w:right="339" w:bottom="1440" w:gutter="0" w:footer="0" w:header="0"/>
        </w:sectPr>
      </w:pPr>
    </w:p>
    <w:bookmarkStart w:id="81" w:name="page82"/>
    <w:bookmarkEnd w:id="81"/>
    <w:p>
      <w:pPr>
        <w:jc w:val="both"/>
        <w:spacing w:after="0" w:line="250" w:lineRule="auto"/>
        <w:rPr>
          <w:sz w:val="20"/>
          <w:szCs w:val="20"/>
          <w:color w:val="auto"/>
        </w:rPr>
      </w:pPr>
      <w:r>
        <w:rPr>
          <w:rFonts w:ascii="Times New Roman" w:cs="Times New Roman" w:eastAsia="Times New Roman" w:hAnsi="Times New Roman"/>
          <w:sz w:val="22"/>
          <w:szCs w:val="22"/>
          <w:color w:val="auto"/>
        </w:rPr>
        <w:t>Company’s nonrenewal of the Term (as defined in his employment agreement), (iii) on account of the Grantee’s death or Disability, or (iv) as a result of the Grantee’s resignation for Good Reason (as defined in his employment agreement), prior to the Vesting Date, the Grantee or the Grantee’s estate will be entitled to retain a pro rated portion of the Award, which shall remain eligible for settlement in accordance with Section 5 below and Annex A hereto (including application of any “TSR Performance Modifier”). For purposes of the foregoing, the pro rated portion of the Award that the Grantee or the Grantee’s estate shall be entitled to retain shall be calculated by multiplying the total number of PSUs awarded hereunder by a fraction, the numerator of which is the number of days from the first day of the Performance Period to the date of Termination, death or Disability, as applicable and the denominator of which is the total number of days in the Performance Period, which amount thereafter will represent the Grantee’s PSUs under this Award Agreement.</w:t>
      </w:r>
    </w:p>
    <w:p>
      <w:pPr>
        <w:spacing w:after="0" w:line="180" w:lineRule="exact"/>
        <w:rPr>
          <w:sz w:val="20"/>
          <w:szCs w:val="20"/>
          <w:color w:val="auto"/>
        </w:rPr>
      </w:pPr>
    </w:p>
    <w:p>
      <w:pPr>
        <w:jc w:val="both"/>
        <w:ind w:firstLine="1304"/>
        <w:spacing w:after="0" w:line="249" w:lineRule="auto"/>
        <w:tabs>
          <w:tab w:leader="none" w:pos="19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herein, if a Grantee is Terminated by the Company for Cause at any time prior to the Settlement Date, the Grantee shall forfeit all rights hereunder (including with respect to Earned PSUs (as defined below) and any associated dividend equivalent rights). In addition</w:t>
      </w:r>
      <w:r>
        <w:rPr>
          <w:rFonts w:ascii="Times New Roman" w:cs="Times New Roman" w:eastAsia="Times New Roman" w:hAnsi="Times New Roman"/>
          <w:sz w:val="23"/>
          <w:szCs w:val="23"/>
          <w:color w:val="auto"/>
        </w:rPr>
        <w:t>, i</w:t>
      </w:r>
      <w:r>
        <w:rPr>
          <w:rFonts w:ascii="Times New Roman" w:cs="Times New Roman" w:eastAsia="Times New Roman" w:hAnsi="Times New Roman"/>
          <w:sz w:val="22"/>
          <w:szCs w:val="22"/>
          <w:color w:val="auto"/>
        </w:rPr>
        <w:t>f within 180 days following any termination of the Grantee’s employment (whether voluntary or involuntary), the Company discovers that the Grantee engaged in 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Grantee) at the time of termination, then the Company may provide the Grantee with written notice, including the facts establishing that the Grantee’s conduct was not known at the time of the termination, in which case the Grantee’s termination of employment will be considered a for-Cause termination under this Award Agreement, and the Company may cancel any Shares received by the Grantee hereunder.</w:t>
      </w:r>
    </w:p>
    <w:p>
      <w:pPr>
        <w:spacing w:after="0" w:line="181" w:lineRule="exact"/>
        <w:rPr>
          <w:sz w:val="20"/>
          <w:szCs w:val="20"/>
          <w:color w:val="auto"/>
        </w:rPr>
      </w:pPr>
    </w:p>
    <w:p>
      <w:pPr>
        <w:ind w:left="2120" w:hanging="816"/>
        <w:spacing w:after="0"/>
        <w:tabs>
          <w:tab w:leader="none" w:pos="21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Award will accumulate dividend equivalent rights with respect to the Target PSUs granted hereunder in respect of any dividends paid on Shares (on a one Share to one PSU basis) from the first day of the Performance Period through the last day of the Performance Period. To the extent the Target PSUs that gave rise to any dividend equivalent rights are forfeited pursuant to this Award or the Plan, those dividend equivalent rights will also be forfeited. The aggregate dollar amount of dividend equivalent rights accumulated under this Section 4 in respect of the Target PSUs and not forfeited shall be added to, and be settled on the Settlement Date.</w:t>
      </w:r>
    </w:p>
    <w:p>
      <w:pPr>
        <w:spacing w:after="0" w:line="204" w:lineRule="exact"/>
        <w:rPr>
          <w:sz w:val="20"/>
          <w:szCs w:val="20"/>
          <w:color w:val="auto"/>
        </w:rPr>
      </w:pPr>
    </w:p>
    <w:p>
      <w:pPr>
        <w:ind w:left="2120" w:hanging="816"/>
        <w:spacing w:after="0"/>
        <w:tabs>
          <w:tab w:leader="none" w:pos="21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PSUs</w:t>
      </w:r>
    </w:p>
    <w:p>
      <w:pPr>
        <w:spacing w:after="0" w:line="264" w:lineRule="exact"/>
        <w:rPr>
          <w:sz w:val="20"/>
          <w:szCs w:val="20"/>
          <w:color w:val="auto"/>
        </w:rPr>
      </w:pPr>
    </w:p>
    <w:p>
      <w:pPr>
        <w:jc w:val="both"/>
        <w:ind w:firstLine="1304"/>
        <w:spacing w:after="0" w:line="250" w:lineRule="auto"/>
        <w:tabs>
          <w:tab w:leader="none" w:pos="194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PSUs and related dividend equivalent rights. The “</w:t>
      </w:r>
      <w:r>
        <w:rPr>
          <w:rFonts w:ascii="Times New Roman" w:cs="Times New Roman" w:eastAsia="Times New Roman" w:hAnsi="Times New Roman"/>
          <w:sz w:val="22"/>
          <w:szCs w:val="22"/>
          <w:u w:val="single" w:color="auto"/>
          <w:color w:val="auto"/>
        </w:rPr>
        <w:t>Settlement Number</w:t>
      </w:r>
      <w:r>
        <w:rPr>
          <w:rFonts w:ascii="Times New Roman" w:cs="Times New Roman" w:eastAsia="Times New Roman" w:hAnsi="Times New Roman"/>
          <w:sz w:val="22"/>
          <w:szCs w:val="22"/>
          <w:color w:val="auto"/>
        </w:rPr>
        <w:t>” is equal to the sum of (i) the number of Shares that are equal to the product of the number of Target PSUs multiplied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2" w:name="page83"/>
    <w:bookmarkEnd w:id="82"/>
    <w:p>
      <w:pPr>
        <w:jc w:val="both"/>
        <w:spacing w:after="0" w:line="249" w:lineRule="auto"/>
        <w:rPr>
          <w:sz w:val="20"/>
          <w:szCs w:val="20"/>
          <w:color w:val="auto"/>
        </w:rPr>
      </w:pPr>
      <w:r>
        <w:rPr>
          <w:rFonts w:ascii="Times New Roman" w:cs="Times New Roman" w:eastAsia="Times New Roman" w:hAnsi="Times New Roman"/>
          <w:sz w:val="22"/>
          <w:szCs w:val="22"/>
          <w:color w:val="auto"/>
        </w:rPr>
        <w:t>Performance Modifier (the “</w:t>
      </w:r>
      <w:r>
        <w:rPr>
          <w:rFonts w:ascii="Times New Roman" w:cs="Times New Roman" w:eastAsia="Times New Roman" w:hAnsi="Times New Roman"/>
          <w:sz w:val="22"/>
          <w:szCs w:val="22"/>
          <w:u w:val="single" w:color="auto"/>
          <w:color w:val="auto"/>
        </w:rPr>
        <w:t>Earned PSUs</w:t>
      </w:r>
      <w:r>
        <w:rPr>
          <w:rFonts w:ascii="Times New Roman" w:cs="Times New Roman" w:eastAsia="Times New Roman" w:hAnsi="Times New Roman"/>
          <w:sz w:val="22"/>
          <w:szCs w:val="22"/>
          <w:color w:val="auto"/>
        </w:rPr>
        <w:t>”) plus (ii) 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Times New Roman" w:cs="Times New Roman" w:eastAsia="Times New Roman" w:hAnsi="Times New Roman"/>
          <w:sz w:val="22"/>
          <w:szCs w:val="22"/>
          <w:u w:val="single" w:color="auto"/>
          <w:color w:val="auto"/>
        </w:rPr>
        <w:t>Performance Modifier</w:t>
      </w:r>
      <w:r>
        <w:rPr>
          <w:rFonts w:ascii="Times New Roman" w:cs="Times New Roman" w:eastAsia="Times New Roman" w:hAnsi="Times New Roman"/>
          <w:sz w:val="22"/>
          <w:szCs w:val="22"/>
          <w:color w:val="auto"/>
        </w:rPr>
        <w:t xml:space="preserve">” means a percentage range to be approved by the Board, to be based on the Company’s achievement of the performance goals as set forth on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provided that the number of resulting Shares after application of the Performance Modifier will be rounded down to the nearest whole Share. Any of the Target PSUs that are not determined to be Earned PSUs will be automatically forfeited, terminated and cancelled effective as of the Settlement Date without payment of any consideration by the Company, and the Grantee will have no further rights with respect to such unearned Target PSUs under this Agreement.</w:t>
      </w:r>
    </w:p>
    <w:p>
      <w:pPr>
        <w:spacing w:after="0" w:line="195" w:lineRule="exact"/>
        <w:rPr>
          <w:sz w:val="20"/>
          <w:szCs w:val="20"/>
          <w:color w:val="auto"/>
        </w:rPr>
      </w:pPr>
    </w:p>
    <w:p>
      <w:pPr>
        <w:jc w:val="both"/>
        <w:ind w:firstLine="1304"/>
        <w:spacing w:after="0" w:line="247"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described in this Section 5 shall occur on the Settlement Date. For purposes of this Award Agreement,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means (i) the first trading date following the date that the Company determines the level of achievement of the Performance Modifier (as defined below) and establishes the number of Earned PSUs, which will occur within 15 days following the Vesting Date, or (ii) if a Change in Control occurs prior to the Company’s determination of the Performance Modifier, at the time(s) and in the same form of consideration as the consideration delivered to the Company’s stockholders in connection with such transaction (unless the amounts payable under this Award Agreement are deemed to be “nonqualified deferred compensation” under Code Section 409A, in which case the Settlement Date shall be as soon as practicable during the year following completion of the Performance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“Qualified Change in Control” (as defined below) occurs prior to the Vesting Date, settlement of the Earned PSUs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2"/>
          <w:szCs w:val="22"/>
          <w:u w:val="single" w:color="auto"/>
          <w:color w:val="auto"/>
        </w:rPr>
        <w:t>Qualified Change in Control</w:t>
      </w:r>
      <w:r>
        <w:rPr>
          <w:rFonts w:ascii="Times New Roman" w:cs="Times New Roman" w:eastAsia="Times New Roman" w:hAnsi="Times New Roman"/>
          <w:sz w:val="22"/>
          <w:szCs w:val="22"/>
          <w:color w:val="auto"/>
        </w:rPr>
        <w:t>” is a Change in Control that also constitutes a change of ownership or effective control of, or in the ownership of a substantial portion of the assets of, the Company for purposes of Code Section 409A.</w:t>
      </w:r>
    </w:p>
    <w:p>
      <w:pPr>
        <w:spacing w:after="0" w:line="18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190" w:lineRule="exact"/>
        <w:rPr>
          <w:sz w:val="20"/>
          <w:szCs w:val="20"/>
          <w:color w:val="auto"/>
        </w:rPr>
      </w:pPr>
    </w:p>
    <w:p>
      <w:pPr>
        <w:ind w:left="2120" w:hanging="654"/>
        <w:spacing w:after="0"/>
        <w:tabs>
          <w:tab w:leader="none" w:pos="2120"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portion of the Award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83" w:name="page84"/>
    <w:bookmarkEnd w:id="83"/>
    <w:p>
      <w:pPr>
        <w:jc w:val="both"/>
        <w:spacing w:after="0" w:line="257" w:lineRule="auto"/>
        <w:rPr>
          <w:sz w:val="20"/>
          <w:szCs w:val="20"/>
          <w:color w:val="auto"/>
        </w:rPr>
      </w:pPr>
      <w:r>
        <w:rPr>
          <w:rFonts w:ascii="Times New Roman" w:cs="Times New Roman" w:eastAsia="Times New Roman" w:hAnsi="Times New Roman"/>
          <w:sz w:val="22"/>
          <w:szCs w:val="22"/>
          <w:color w:val="auto"/>
        </w:rPr>
        <w:t>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13" w:lineRule="exact"/>
        <w:rPr>
          <w:sz w:val="20"/>
          <w:szCs w:val="20"/>
          <w:color w:val="auto"/>
        </w:rPr>
      </w:pPr>
    </w:p>
    <w:p>
      <w:pPr>
        <w:jc w:val="both"/>
        <w:ind w:firstLine="1304"/>
        <w:spacing w:after="0" w:line="247"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Terminate PSUs and Recovery</w:t>
      </w:r>
      <w:r>
        <w:rPr>
          <w:rFonts w:ascii="Times New Roman" w:cs="Times New Roman" w:eastAsia="Times New Roman" w:hAnsi="Times New Roman"/>
          <w:sz w:val="22"/>
          <w:szCs w:val="22"/>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to which the Grantee is a party,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1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01"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223" w:lineRule="exact"/>
        <w:rPr>
          <w:sz w:val="20"/>
          <w:szCs w:val="20"/>
          <w:color w:val="auto"/>
        </w:rPr>
      </w:pPr>
    </w:p>
    <w:p>
      <w:pPr>
        <w:ind w:left="2120" w:hanging="654"/>
        <w:spacing w:after="0"/>
        <w:tabs>
          <w:tab w:leader="none" w:pos="21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Company to satisfy all obligations for the payment of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84" w:name="page85"/>
    <w:bookmarkEnd w:id="84"/>
    <w:p>
      <w:pPr>
        <w:spacing w:after="0" w:line="221" w:lineRule="exact"/>
        <w:rPr>
          <w:sz w:val="20"/>
          <w:szCs w:val="20"/>
          <w:color w:val="auto"/>
        </w:rPr>
      </w:pPr>
    </w:p>
    <w:p>
      <w:pPr>
        <w:ind w:left="2120" w:hanging="654"/>
        <w:spacing w:after="0"/>
        <w:tabs>
          <w:tab w:leader="none" w:pos="212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this Award,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this Award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236" w:lineRule="exact"/>
        <w:rPr>
          <w:sz w:val="20"/>
          <w:szCs w:val="20"/>
          <w:color w:val="auto"/>
        </w:rPr>
      </w:pPr>
    </w:p>
    <w:p>
      <w:pPr>
        <w:ind w:left="2100" w:hanging="634"/>
        <w:spacing w:after="0"/>
        <w:tabs>
          <w:tab w:leader="none" w:pos="210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PSUs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09" w:lineRule="exact"/>
        <w:rPr>
          <w:sz w:val="20"/>
          <w:szCs w:val="20"/>
          <w:color w:val="auto"/>
        </w:rPr>
      </w:pPr>
    </w:p>
    <w:p>
      <w:pPr>
        <w:ind w:left="2120" w:hanging="654"/>
        <w:spacing w:after="0"/>
        <w:tabs>
          <w:tab w:leader="none" w:pos="212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 w:lineRule="exact"/>
        <w:rPr>
          <w:sz w:val="20"/>
          <w:szCs w:val="20"/>
          <w:color w:val="auto"/>
        </w:rPr>
      </w:pPr>
    </w:p>
    <w:p>
      <w:pPr>
        <w:ind w:left="1940" w:hanging="636"/>
        <w:spacing w:after="0"/>
        <w:tabs>
          <w:tab w:leader="none" w:pos="1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236"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spacing w:after="0" w:line="27" w:lineRule="exact"/>
        <w:rPr>
          <w:rFonts w:ascii="Times New Roman" w:cs="Times New Roman" w:eastAsia="Times New Roman" w:hAnsi="Times New Roman"/>
          <w:sz w:val="22"/>
          <w:szCs w:val="22"/>
          <w:color w:val="auto"/>
        </w:rPr>
      </w:pPr>
    </w:p>
    <w:p>
      <w:pPr>
        <w:ind w:left="1960" w:right="6720"/>
        <w:spacing w:after="0" w:line="25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1177 Avenue of the Americas New York, New York 10036</w:t>
      </w:r>
    </w:p>
    <w:p>
      <w:pPr>
        <w:spacing w:after="0" w:line="1"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Douglas Friedman, General Counsel</w:t>
      </w:r>
    </w:p>
    <w:p>
      <w:pPr>
        <w:spacing w:after="0" w:line="3"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Douglas.Friedman@tradeweb.com</w:t>
      </w:r>
    </w:p>
    <w:p>
      <w:pPr>
        <w:spacing w:after="0" w:line="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85" w:name="page86"/>
    <w:bookmarkEnd w:id="85"/>
    <w:p>
      <w:pPr>
        <w:ind w:left="2120" w:hanging="654"/>
        <w:spacing w:after="0"/>
        <w:tabs>
          <w:tab w:leader="none" w:pos="2120" w:val="left"/>
        </w:tabs>
        <w:numPr>
          <w:ilvl w:val="1"/>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99"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3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PSU that vests and becomes payable upon or in connection with the Grantee’s separation from service shall be delayed and will be payable on the day after the first to occur of (a) the day which is six (6) months following the date of such separation from service, and (b) the date of the Grantee’s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86" w:name="page87"/>
    <w:bookmarkEnd w:id="86"/>
    <w:p>
      <w:pPr>
        <w:ind w:left="2120" w:hanging="654"/>
        <w:spacing w:after="0"/>
        <w:tabs>
          <w:tab w:leader="none" w:pos="21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 w:lineRule="exact"/>
        <w:rPr>
          <w:sz w:val="20"/>
          <w:szCs w:val="20"/>
          <w:color w:val="auto"/>
        </w:rPr>
      </w:pPr>
    </w:p>
    <w:p>
      <w:pPr>
        <w:ind w:left="2120" w:hanging="654"/>
        <w:spacing w:after="0"/>
        <w:tabs>
          <w:tab w:leader="none" w:pos="21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22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230" w:lineRule="exact"/>
        <w:rPr>
          <w:sz w:val="20"/>
          <w:szCs w:val="20"/>
          <w:color w:val="auto"/>
        </w:rPr>
      </w:pPr>
    </w:p>
    <w:p>
      <w:pPr>
        <w:ind w:left="2120" w:hanging="654"/>
        <w:spacing w:after="0"/>
        <w:tabs>
          <w:tab w:leader="none" w:pos="21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95" w:lineRule="exact"/>
        <w:rPr>
          <w:sz w:val="20"/>
          <w:szCs w:val="20"/>
          <w:color w:val="auto"/>
        </w:rPr>
      </w:pPr>
    </w:p>
    <w:p>
      <w:pPr>
        <w:ind w:left="2120" w:hanging="654"/>
        <w:spacing w:after="0"/>
        <w:tabs>
          <w:tab w:leader="none" w:pos="212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 w:lineRule="exact"/>
        <w:rPr>
          <w:sz w:val="20"/>
          <w:szCs w:val="20"/>
          <w:color w:val="auto"/>
        </w:rPr>
      </w:pPr>
    </w:p>
    <w:p>
      <w:pPr>
        <w:ind w:left="2120" w:hanging="654"/>
        <w:spacing w:after="0"/>
        <w:tabs>
          <w:tab w:leader="none" w:pos="21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23" w:lineRule="exact"/>
        <w:rPr>
          <w:sz w:val="20"/>
          <w:szCs w:val="20"/>
          <w:color w:val="auto"/>
        </w:rPr>
      </w:pPr>
    </w:p>
    <w:p>
      <w:pPr>
        <w:ind w:left="2100" w:hanging="499"/>
        <w:spacing w:after="0"/>
        <w:tabs>
          <w:tab w:leader="none" w:pos="210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Recoupment</w:t>
      </w:r>
    </w:p>
    <w:p>
      <w:pPr>
        <w:spacing w:after="0" w:line="2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Notwithstanding any other provisions in this Award Agreement or any other agreement between the Company and the Grantee to the contrary, this Award Agreement, the PSUs granted hereunder, the Shares distributed in settlement of such PSUs and/or the gains realized upon a subsequent sale of such Shares by the Grantee shall be subject to repayment or forfeiture by the Grantee to the Company in accordance with the terms and conditions of the Company’s Omnibus Clawback Policy or any other “clawback” policy or mandatory recoupment policy adopted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Performance Modifier Determination</w:t>
      </w:r>
    </w:p>
    <w:p>
      <w:pPr>
        <w:spacing w:after="0" w:line="26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Performance Modifier will be based on the Company’s cumulative absolute total shareholder return (Cumulative Absolute TSR) over the Performance Period, or such shorter period as provided below in the event of a Change in Control.</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720" w:type="dxa"/>
            <w:vAlign w:val="bottom"/>
            <w:tcBorders>
              <w:top w:val="single" w:sz="8" w:color="auto"/>
              <w:left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Performance Level</w:t>
            </w:r>
          </w:p>
        </w:tc>
        <w:tc>
          <w:tcPr>
            <w:tcW w:w="4400" w:type="dxa"/>
            <w:vAlign w:val="bottom"/>
            <w:tcBorders>
              <w:top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Cumulative Absolute TSR for the Performance</w:t>
            </w:r>
          </w:p>
        </w:tc>
        <w:tc>
          <w:tcPr>
            <w:tcW w:w="4140" w:type="dxa"/>
            <w:vAlign w:val="bottom"/>
            <w:tcBorders>
              <w:top w:val="single" w:sz="8" w:color="auto"/>
              <w:right w:val="single" w:sz="8" w:color="auto"/>
            </w:tcBorders>
            <w:shd w:val="clear" w:color="auto" w:fill="B4C6E7"/>
          </w:tcPr>
          <w:p>
            <w:pPr>
              <w:ind w:left="760"/>
              <w:spacing w:after="0" w:line="203" w:lineRule="exact"/>
              <w:rPr>
                <w:sz w:val="20"/>
                <w:szCs w:val="20"/>
                <w:color w:val="auto"/>
              </w:rPr>
            </w:pPr>
            <w:r>
              <w:rPr>
                <w:rFonts w:ascii="Times New Roman" w:cs="Times New Roman" w:eastAsia="Times New Roman" w:hAnsi="Times New Roman"/>
                <w:sz w:val="20"/>
                <w:szCs w:val="20"/>
                <w:b w:val="1"/>
                <w:bCs w:val="1"/>
                <w:color w:val="auto"/>
              </w:rPr>
              <w:t>TSR Performance Modifier (1)</w:t>
            </w:r>
          </w:p>
        </w:tc>
      </w:tr>
      <w:tr>
        <w:trPr>
          <w:trHeight w:val="256"/>
        </w:trPr>
        <w:tc>
          <w:tcPr>
            <w:tcW w:w="2720" w:type="dxa"/>
            <w:vAlign w:val="bottom"/>
            <w:tcBorders>
              <w:left w:val="single" w:sz="8" w:color="auto"/>
              <w:bottom w:val="single" w:sz="8" w:color="auto"/>
              <w:right w:val="single" w:sz="8" w:color="auto"/>
            </w:tcBorders>
            <w:shd w:val="clear" w:color="auto" w:fill="B4C6E7"/>
          </w:tcPr>
          <w:p>
            <w:pPr>
              <w:spacing w:after="0"/>
              <w:rPr>
                <w:sz w:val="22"/>
                <w:szCs w:val="22"/>
                <w:color w:val="auto"/>
              </w:rPr>
            </w:pPr>
          </w:p>
        </w:tc>
        <w:tc>
          <w:tcPr>
            <w:tcW w:w="4400" w:type="dxa"/>
            <w:vAlign w:val="bottom"/>
            <w:tcBorders>
              <w:bottom w:val="single" w:sz="8" w:color="auto"/>
              <w:right w:val="single" w:sz="8" w:color="auto"/>
            </w:tcBorders>
            <w:shd w:val="clear" w:color="auto" w:fill="B4C6E7"/>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 (1)</w:t>
            </w:r>
          </w:p>
        </w:tc>
        <w:tc>
          <w:tcPr>
            <w:tcW w:w="4140" w:type="dxa"/>
            <w:vAlign w:val="bottom"/>
            <w:tcBorders>
              <w:bottom w:val="single" w:sz="8" w:color="auto"/>
              <w:right w:val="single" w:sz="8" w:color="auto"/>
            </w:tcBorders>
            <w:shd w:val="clear" w:color="auto" w:fill="B4C6E7"/>
          </w:tcPr>
          <w:p>
            <w:pPr>
              <w:spacing w:after="0"/>
              <w:rPr>
                <w:sz w:val="22"/>
                <w:szCs w:val="22"/>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Equal to or Greater Than 50%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Equal to 30%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Equal to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Below Threshold</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Less than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r>
    </w:tbl>
    <w:p>
      <w:pPr>
        <w:spacing w:after="0" w:line="72" w:lineRule="exact"/>
        <w:rPr>
          <w:sz w:val="20"/>
          <w:szCs w:val="20"/>
          <w:color w:val="auto"/>
        </w:rPr>
      </w:pPr>
    </w:p>
    <w:p>
      <w:pPr>
        <w:ind w:left="660" w:right="20" w:hanging="652"/>
        <w:spacing w:after="0" w:line="269" w:lineRule="auto"/>
        <w:tabs>
          <w:tab w:leader="none" w:pos="6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achievement between Maximum, Target and Threshold performance levels, the TSR Performance Modifier will be determined based on straight-line interpolation between such integers.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Award Agreement, the following terms have the following meanings:</w:t>
      </w:r>
    </w:p>
    <w:p>
      <w:pPr>
        <w:spacing w:after="0" w:line="2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Closing Price</w:t>
      </w:r>
      <w:r>
        <w:rPr>
          <w:rFonts w:ascii="Times New Roman" w:cs="Times New Roman" w:eastAsia="Times New Roman" w:hAnsi="Times New Roman"/>
          <w:sz w:val="20"/>
          <w:szCs w:val="20"/>
          <w:color w:val="auto"/>
        </w:rPr>
        <w:t xml:space="preserve">” means a price based on the Company’s highest average closing price for a Share for any consecutive 20-trading day period during the last calendar year of the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 the event of a Change in Control prior to the Vesting Date, the “Average Closing Price” will be equal to the per Share price to be paid to the stockholders of the Company in connection with the Change in Control.</w:t>
      </w:r>
    </w:p>
    <w:p>
      <w:pPr>
        <w:spacing w:after="0" w:line="17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Start Price</w:t>
      </w:r>
      <w:r>
        <w:rPr>
          <w:rFonts w:ascii="Times New Roman" w:cs="Times New Roman" w:eastAsia="Times New Roman" w:hAnsi="Times New Roman"/>
          <w:sz w:val="20"/>
          <w:szCs w:val="20"/>
          <w:color w:val="auto"/>
        </w:rPr>
        <w:t>” means a price calculated as the Company’s average closing price for a Share for the 20 trading days prior to and ending on the Date of Grant.</w:t>
      </w:r>
    </w:p>
    <w:p>
      <w:pPr>
        <w:spacing w:after="0" w:line="1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Cumulative Absolute TSR</w:t>
      </w:r>
      <w:r>
        <w:rPr>
          <w:rFonts w:ascii="Times New Roman" w:cs="Times New Roman" w:eastAsia="Times New Roman" w:hAnsi="Times New Roman"/>
          <w:sz w:val="20"/>
          <w:szCs w:val="20"/>
          <w:color w:val="auto"/>
        </w:rPr>
        <w:t>” means the percentage change in the cumulative (non-compounded) total return (expressed as a percentage) of an investment in the Company’s Shares for the Performance Period, determined using the Average Start Price to value the Company’s Shares at the start of the Performance Period and the Average Closing Price to value the Company’s Shares at the end of the Performance Period (or the time of a Change in Control, as applicable). In calculating the Cumulative Absolute TSR, all dividends paid during the Performance Period are assumed to have been reinvested in Shares on the ex-dividend date based on the closing price, with the resulting number of Shares ultimately valued in calculating the Cumulative Absolute TSR based on the Average Closing Price. For the sake of clarity, the Cumulative Absolute TSR will be calculated as follows:</w:t>
      </w:r>
    </w:p>
    <w:p>
      <w:pPr>
        <w:spacing w:after="0" w:line="177"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20"/>
          <w:szCs w:val="20"/>
          <w:color w:val="auto"/>
        </w:rPr>
        <w:t>Cumulative Absolute TSR = (a) divided by (b), expressed as a percentage, where (a) is the Average Closing Price - Average Start Price + sum of all dividends paid during Performance Period (assuming reinvestment as described above), and (b) is the Average Start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60"/>
          </w:cols>
          <w:pgMar w:left="320" w:top="1404" w:right="319" w:bottom="1440" w:gutter="0" w:footer="0" w:header="0"/>
        </w:sectPr>
      </w:pPr>
    </w:p>
    <w:bookmarkStart w:id="88" w:name="page89"/>
    <w:bookmarkEnd w:id="88"/>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PSU - NOTICE OF GRANT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Delaware corporation, hereby grants to the Grantee set forth below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pursuant to the terms and conditions of this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PSU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 Tradeweb Markets Inc. 2019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but not defined herein shall have the meaning attributed to such terms in the Award Agreement or, if not defined therein, in the Plan, unless the context requires otherwise. Each PSU, to the extent earned and vested pursuant to the terms set forth in the Award Agreement, represents the right to receive one (1) Share at the time and in the manner set forth in Section 5 of the Award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822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-11430</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-11430</wp:posOffset>
            </wp:positionV>
            <wp:extent cx="8229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1"/>
          <w:szCs w:val="21"/>
          <w:color w:val="auto"/>
        </w:rPr>
        <w:t>The Award shall vest pursuant to the terms and conditions set forth in Section 3 of the Award Agreement.</w:t>
      </w:r>
    </w:p>
    <w:p>
      <w:pPr>
        <w:spacing w:after="0" w:line="24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January 1, 2024 – December 31, 2026</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0360"/>
          </w:cols>
          <w:pgMar w:left="980" w:top="1440" w:right="559" w:bottom="1440" w:gutter="0" w:footer="0" w:header="0"/>
          <w:type w:val="continuous"/>
        </w:sectPr>
      </w:pPr>
    </w:p>
    <w:bookmarkStart w:id="90" w:name="page91"/>
    <w:bookmarkEnd w:id="90"/>
    <w:p>
      <w:pPr>
        <w:spacing w:after="0" w:line="1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PSU AWARD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PSU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between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7" w:lineRule="exact"/>
        <w:rPr>
          <w:sz w:val="20"/>
          <w:szCs w:val="20"/>
          <w:color w:val="auto"/>
        </w:rPr>
      </w:pPr>
    </w:p>
    <w:p>
      <w:pPr>
        <w:ind w:left="2120" w:hanging="816"/>
        <w:spacing w:after="0"/>
        <w:tabs>
          <w:tab w:leader="none" w:pos="212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23" w:lineRule="exact"/>
        <w:rPr>
          <w:sz w:val="20"/>
          <w:szCs w:val="20"/>
          <w:color w:val="auto"/>
        </w:rPr>
      </w:pPr>
    </w:p>
    <w:p>
      <w:pPr>
        <w:ind w:left="2120" w:hanging="816"/>
        <w:spacing w:after="0"/>
        <w:tabs>
          <w:tab w:leader="none" w:pos="21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PSUs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remain in effect until the Award has fully vested and been settled or been forfeited by the Grantee as provided in this Award Agreement.</w:t>
      </w:r>
    </w:p>
    <w:p>
      <w:pPr>
        <w:spacing w:after="0" w:line="181" w:lineRule="exact"/>
        <w:rPr>
          <w:sz w:val="20"/>
          <w:szCs w:val="20"/>
          <w:color w:val="auto"/>
        </w:rPr>
      </w:pPr>
    </w:p>
    <w:p>
      <w:pPr>
        <w:ind w:left="2120" w:hanging="816"/>
        <w:spacing w:after="0"/>
        <w:tabs>
          <w:tab w:leader="none" w:pos="21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PSUs</w:t>
      </w:r>
    </w:p>
    <w:p>
      <w:pPr>
        <w:spacing w:after="0" w:line="264" w:lineRule="exact"/>
        <w:rPr>
          <w:sz w:val="20"/>
          <w:szCs w:val="20"/>
          <w:color w:val="auto"/>
        </w:rPr>
      </w:pPr>
    </w:p>
    <w:p>
      <w:pPr>
        <w:jc w:val="both"/>
        <w:ind w:firstLine="1304"/>
        <w:spacing w:after="0" w:line="250"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Grantee’s not having Terminated, except as specifically provided herein or in the Plan, the Award granted hereunder will vest on the first day following the end of the Performance Period (the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In the event of a Change in Control prior to the Vesting Date, the Award will be fully vested on the date of the Change in Control. For the sake of clarity, this accelerated vesting (other than in the case of a Qualified Change in Control as described in Section 5(b) below) shall not change the Settlement Date as set forth in Section 5(b) below.</w:t>
      </w:r>
    </w:p>
    <w:p>
      <w:pPr>
        <w:spacing w:after="0" w:line="194"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Except as set forth in Section 3(c) below, if the Grantee Terminates before the Vesting Date, no amounts will be payable hereunder.</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Death or Disability; Retirement</w:t>
      </w:r>
      <w:r>
        <w:rPr>
          <w:rFonts w:ascii="Times New Roman" w:cs="Times New Roman" w:eastAsia="Times New Roman" w:hAnsi="Times New Roman"/>
          <w:sz w:val="22"/>
          <w:szCs w:val="22"/>
          <w:color w:val="auto"/>
        </w:rPr>
        <w:t>. In the event of (i) the Grantee’s Termination by the Company without Cause, or on account of his or her death or Disability, or (ii) the Grantee’s Retirement, in each case prior to the Vesting Date, the Grantee or the Grantee’s estate will be entitled to retain a pro rated portion of the Award, which shall remain eligible for settlement in accordance with Section 5 below and Annex A hereto (including application of any “TSR Performance Modifier”). For purposes of the foregoing, the</w:t>
      </w:r>
    </w:p>
    <w:p>
      <w:pPr>
        <w:sectPr>
          <w:pgSz w:w="11900" w:h="16838" w:orient="portrait"/>
          <w:cols w:equalWidth="0" w:num="1">
            <w:col w:w="11240"/>
          </w:cols>
          <w:pgMar w:left="320" w:top="1440" w:right="339" w:bottom="1440" w:gutter="0" w:footer="0" w:header="0"/>
        </w:sectPr>
      </w:pPr>
    </w:p>
    <w:bookmarkStart w:id="91" w:name="page92"/>
    <w:bookmarkEnd w:id="91"/>
    <w:p>
      <w:pPr>
        <w:jc w:val="both"/>
        <w:spacing w:after="0" w:line="250" w:lineRule="auto"/>
        <w:rPr>
          <w:sz w:val="20"/>
          <w:szCs w:val="20"/>
          <w:color w:val="auto"/>
        </w:rPr>
      </w:pPr>
      <w:r>
        <w:rPr>
          <w:rFonts w:ascii="Times New Roman" w:cs="Times New Roman" w:eastAsia="Times New Roman" w:hAnsi="Times New Roman"/>
          <w:sz w:val="22"/>
          <w:szCs w:val="22"/>
          <w:color w:val="auto"/>
        </w:rPr>
        <w:t>pro rated portion of the Award that the Grantee or the Grantee’s estate shall be entitled to retain shall be calculated by multiplying the total number of Target PSUs awarded hereunder by a fraction, the numerator of which is the number of days from the first day of the Performance Period to the date of Termination, death or Disability, as applicable and the denominator of which is the total number of days in the Performance Period, which amount thereafter will represent the Grantee’s Target PSUs under this Award Agreement.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80" w:lineRule="exact"/>
        <w:rPr>
          <w:sz w:val="20"/>
          <w:szCs w:val="20"/>
          <w:color w:val="auto"/>
        </w:rPr>
      </w:pPr>
    </w:p>
    <w:p>
      <w:pPr>
        <w:jc w:val="both"/>
        <w:ind w:firstLine="1304"/>
        <w:spacing w:after="0" w:line="250"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herein, if the Grantee is Terminated by the Company for Cause at any time prior to the Settlement Date, the Grantee shall forfeit all rights hereunder (including with respect to Earned PSUs (as defined below) and any associated dividend equivalent rights). In addition, if following the Grantee’s Termination (whether voluntary or involuntary) the Company discovers facts that would have established Cause for Termination, then the Company may provide the Grantee with written notice of such facts, in which case the Grantee’s Termination will be considered a for Cause Termination under this Award Agreement and the Company may cancel any Shares received by the Grantee hereunder.</w:t>
      </w:r>
    </w:p>
    <w:p>
      <w:pPr>
        <w:spacing w:after="0" w:line="190" w:lineRule="exact"/>
        <w:rPr>
          <w:sz w:val="20"/>
          <w:szCs w:val="20"/>
          <w:color w:val="auto"/>
        </w:rPr>
      </w:pPr>
    </w:p>
    <w:p>
      <w:pPr>
        <w:ind w:left="2120" w:hanging="816"/>
        <w:spacing w:after="0"/>
        <w:tabs>
          <w:tab w:leader="none" w:pos="21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Award will accumulate dividend equivalent rights with respect to the Target PSUs granted hereunder in respect of any dividends paid on Shares (on a one Share to one PSU basis) from the first day of the Performance Period through the last day of the Performance Period. To the extent the Target PSUs that gave rise to any dividend equivalent rights are forfeited pursuant to this Award or the Plan, those dividend equivalent rights will also be forfeited. The aggregate dollar amount of dividend equivalent rights accumulated under this Section 4 in respect of the Target PSUs and not forfeited shall be added to, and be settled on the Settlement Date.</w:t>
      </w:r>
    </w:p>
    <w:p>
      <w:pPr>
        <w:spacing w:after="0" w:line="204" w:lineRule="exact"/>
        <w:rPr>
          <w:sz w:val="20"/>
          <w:szCs w:val="20"/>
          <w:color w:val="auto"/>
        </w:rPr>
      </w:pPr>
    </w:p>
    <w:p>
      <w:pPr>
        <w:ind w:left="2120" w:hanging="816"/>
        <w:spacing w:after="0"/>
        <w:tabs>
          <w:tab w:leader="none" w:pos="21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PSUs</w:t>
      </w:r>
    </w:p>
    <w:p>
      <w:pPr>
        <w:spacing w:after="0" w:line="251" w:lineRule="exact"/>
        <w:rPr>
          <w:sz w:val="20"/>
          <w:szCs w:val="20"/>
          <w:color w:val="auto"/>
        </w:rPr>
      </w:pPr>
    </w:p>
    <w:p>
      <w:pPr>
        <w:jc w:val="both"/>
        <w:ind w:firstLine="1304"/>
        <w:spacing w:after="0" w:line="249"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PSUs and related dividend equivalent rights. The “</w:t>
      </w:r>
      <w:r>
        <w:rPr>
          <w:rFonts w:ascii="Times New Roman" w:cs="Times New Roman" w:eastAsia="Times New Roman" w:hAnsi="Times New Roman"/>
          <w:sz w:val="22"/>
          <w:szCs w:val="22"/>
          <w:u w:val="single" w:color="auto"/>
          <w:color w:val="auto"/>
        </w:rPr>
        <w:t>Settlement Number</w:t>
      </w:r>
      <w:r>
        <w:rPr>
          <w:rFonts w:ascii="Times New Roman" w:cs="Times New Roman" w:eastAsia="Times New Roman" w:hAnsi="Times New Roman"/>
          <w:sz w:val="22"/>
          <w:szCs w:val="22"/>
          <w:color w:val="auto"/>
        </w:rPr>
        <w:t>” is equal to the sum of (i) the number of Shares that are equal to the product of the number of Target PSUs multiplied by the Performance Modifier (the “</w:t>
      </w:r>
      <w:r>
        <w:rPr>
          <w:rFonts w:ascii="Times New Roman" w:cs="Times New Roman" w:eastAsia="Times New Roman" w:hAnsi="Times New Roman"/>
          <w:sz w:val="22"/>
          <w:szCs w:val="22"/>
          <w:u w:val="single" w:color="auto"/>
          <w:color w:val="auto"/>
        </w:rPr>
        <w:t>Earned PSUs</w:t>
      </w:r>
      <w:r>
        <w:rPr>
          <w:rFonts w:ascii="Times New Roman" w:cs="Times New Roman" w:eastAsia="Times New Roman" w:hAnsi="Times New Roman"/>
          <w:sz w:val="22"/>
          <w:szCs w:val="22"/>
          <w:color w:val="auto"/>
        </w:rPr>
        <w:t>”) plus (ii) 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Times New Roman" w:cs="Times New Roman" w:eastAsia="Times New Roman" w:hAnsi="Times New Roman"/>
          <w:sz w:val="22"/>
          <w:szCs w:val="22"/>
          <w:u w:val="single" w:color="auto"/>
          <w:color w:val="auto"/>
        </w:rPr>
        <w:t>Performance Modifier</w:t>
      </w:r>
      <w:r>
        <w:rPr>
          <w:rFonts w:ascii="Times New Roman" w:cs="Times New Roman" w:eastAsia="Times New Roman" w:hAnsi="Times New Roman"/>
          <w:sz w:val="22"/>
          <w:szCs w:val="22"/>
          <w:color w:val="auto"/>
        </w:rPr>
        <w:t xml:space="preserve">” means a percentage range to be approved by the Board, to be based on the Company’s achievement of the performance goals as set forth on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provided that the number of resulting Shares after application of the Performance Modifier will be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92" w:name="page93"/>
    <w:bookmarkEnd w:id="92"/>
    <w:p>
      <w:pPr>
        <w:jc w:val="both"/>
        <w:spacing w:after="0" w:line="257" w:lineRule="auto"/>
        <w:rPr>
          <w:sz w:val="20"/>
          <w:szCs w:val="20"/>
          <w:color w:val="auto"/>
        </w:rPr>
      </w:pPr>
      <w:r>
        <w:rPr>
          <w:rFonts w:ascii="Times New Roman" w:cs="Times New Roman" w:eastAsia="Times New Roman" w:hAnsi="Times New Roman"/>
          <w:sz w:val="22"/>
          <w:szCs w:val="22"/>
          <w:color w:val="auto"/>
        </w:rPr>
        <w:t>Any of the PSUs that are not determined to be Earned PSUs will be automatically forfeited, terminated and cancelled effective as of the Settlement Date without payment of any consideration by the Company, and the Grantee will have no further rights with respect to such unearned PSUs under this Award Agreement.</w:t>
      </w:r>
    </w:p>
    <w:p>
      <w:pPr>
        <w:spacing w:after="0" w:line="186" w:lineRule="exact"/>
        <w:rPr>
          <w:sz w:val="20"/>
          <w:szCs w:val="20"/>
          <w:color w:val="auto"/>
        </w:rPr>
      </w:pPr>
    </w:p>
    <w:p>
      <w:pPr>
        <w:jc w:val="both"/>
        <w:ind w:firstLine="1304"/>
        <w:spacing w:after="0" w:line="247"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described in this Section 5 shall occur on the Settlement Date. For purposes of this Award Agreement,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means (i) the first trading date following the date that the Company determines the level of achievement of the Performance Modifier (as defined below) and establishes the number of Earned PSUs, which will occur within 15 days following the Vesting Date, or (ii) if a Change in Control occurs prior to the Company’s determination of the Performance Modifier, at the time(s) and in the same form of consideration as the consideration delivered to the Company’s stockholders in connection with such transaction (unless the amounts payable under this Award Agreement are deemed to be “nonqualified deferred compensation” under Code Section 409A, in which case the Settlement Date shall be as soon as practicable during the year following completion of the Performance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“Qualified Change in Control” (as defined below) occurs prior to the Vesting Date, settlement of the Earned PSUs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2"/>
          <w:szCs w:val="22"/>
          <w:u w:val="single" w:color="auto"/>
          <w:color w:val="auto"/>
        </w:rPr>
        <w:t>Qualified Change in Control</w:t>
      </w:r>
      <w:r>
        <w:rPr>
          <w:rFonts w:ascii="Times New Roman" w:cs="Times New Roman" w:eastAsia="Times New Roman" w:hAnsi="Times New Roman"/>
          <w:sz w:val="22"/>
          <w:szCs w:val="22"/>
          <w:color w:val="auto"/>
        </w:rPr>
        <w:t>” is a Change in Control that also constitutes a change of ownership or effective control of, or in the ownership of a substantial portion of the assets of, the Company for purposes of Code Section 409A.</w:t>
      </w:r>
    </w:p>
    <w:p>
      <w:pPr>
        <w:spacing w:after="0" w:line="18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190" w:lineRule="exact"/>
        <w:rPr>
          <w:sz w:val="20"/>
          <w:szCs w:val="20"/>
          <w:color w:val="auto"/>
        </w:rPr>
      </w:pPr>
    </w:p>
    <w:p>
      <w:pPr>
        <w:ind w:left="2120" w:hanging="654"/>
        <w:spacing w:after="0"/>
        <w:tabs>
          <w:tab w:leader="none" w:pos="2120"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08" w:lineRule="exact"/>
        <w:rPr>
          <w:rFonts w:ascii="Times New Roman" w:cs="Times New Roman" w:eastAsia="Times New Roman" w:hAnsi="Times New Roman"/>
          <w:sz w:val="22"/>
          <w:szCs w:val="22"/>
          <w:color w:val="auto"/>
        </w:rPr>
      </w:pPr>
    </w:p>
    <w:p>
      <w:pPr>
        <w:jc w:val="both"/>
        <w:ind w:firstLine="1304"/>
        <w:spacing w:after="0" w:line="281" w:lineRule="auto"/>
        <w:tabs>
          <w:tab w:leader="none" w:pos="193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Terminate PSUs and Recovery</w:t>
      </w:r>
      <w:r>
        <w:rPr>
          <w:rFonts w:ascii="Times New Roman" w:cs="Times New Roman" w:eastAsia="Times New Roman" w:hAnsi="Times New Roman"/>
          <w:sz w:val="21"/>
          <w:szCs w:val="21"/>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93" w:name="page94"/>
    <w:bookmarkEnd w:id="93"/>
    <w:p>
      <w:pPr>
        <w:jc w:val="both"/>
        <w:ind w:firstLine="8"/>
        <w:spacing w:after="0" w:line="250" w:lineRule="auto"/>
        <w:tabs>
          <w:tab w:leader="none" w:pos="26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materially breaches or violates the Grantee’s obligations under any Restrictive Agreement to which the Grantee is a party,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0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02" w:lineRule="exact"/>
        <w:rPr>
          <w:sz w:val="20"/>
          <w:szCs w:val="20"/>
          <w:color w:val="auto"/>
        </w:rPr>
      </w:pPr>
    </w:p>
    <w:p>
      <w:pPr>
        <w:ind w:left="2120" w:hanging="654"/>
        <w:spacing w:after="0"/>
        <w:tabs>
          <w:tab w:leader="none" w:pos="21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218" w:lineRule="exact"/>
        <w:rPr>
          <w:sz w:val="20"/>
          <w:szCs w:val="20"/>
          <w:color w:val="auto"/>
        </w:rPr>
      </w:pPr>
    </w:p>
    <w:p>
      <w:pPr>
        <w:ind w:left="2120" w:hanging="654"/>
        <w:spacing w:after="0"/>
        <w:tabs>
          <w:tab w:leader="none" w:pos="21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Company to satisfy all obligations for the payment of such withholding taxes.</w:t>
      </w:r>
    </w:p>
    <w:p>
      <w:pPr>
        <w:spacing w:after="0" w:line="204" w:lineRule="exact"/>
        <w:rPr>
          <w:sz w:val="20"/>
          <w:szCs w:val="20"/>
          <w:color w:val="auto"/>
        </w:rPr>
      </w:pPr>
    </w:p>
    <w:p>
      <w:pPr>
        <w:ind w:left="2120" w:hanging="654"/>
        <w:spacing w:after="0"/>
        <w:tabs>
          <w:tab w:leader="none" w:pos="21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this Award,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this Award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94" w:name="page95"/>
    <w:bookmarkEnd w:id="94"/>
    <w:p>
      <w:pPr>
        <w:spacing w:after="0" w:line="258" w:lineRule="auto"/>
        <w:rPr>
          <w:sz w:val="20"/>
          <w:szCs w:val="20"/>
          <w:color w:val="auto"/>
        </w:rPr>
      </w:pPr>
      <w:r>
        <w:rPr>
          <w:rFonts w:ascii="Times New Roman" w:cs="Times New Roman" w:eastAsia="Times New Roman" w:hAnsi="Times New Roman"/>
          <w:sz w:val="22"/>
          <w:szCs w:val="22"/>
          <w:color w:val="auto"/>
        </w:rPr>
        <w:t>other Federal, state or local law, or the laws of any other country. The Company reserves the right to place restrictions on any Shares the Grantee may receive as a result of the settlement of this Award.</w:t>
      </w:r>
    </w:p>
    <w:p>
      <w:pPr>
        <w:spacing w:after="0" w:line="208" w:lineRule="exact"/>
        <w:rPr>
          <w:sz w:val="20"/>
          <w:szCs w:val="20"/>
          <w:color w:val="auto"/>
        </w:rPr>
      </w:pPr>
    </w:p>
    <w:p>
      <w:pPr>
        <w:ind w:left="2100" w:hanging="634"/>
        <w:spacing w:after="0"/>
        <w:tabs>
          <w:tab w:leader="none" w:pos="210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PSUs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23" w:lineRule="exact"/>
        <w:rPr>
          <w:sz w:val="20"/>
          <w:szCs w:val="20"/>
          <w:color w:val="auto"/>
        </w:rPr>
      </w:pPr>
    </w:p>
    <w:p>
      <w:pPr>
        <w:ind w:left="2120" w:hanging="654"/>
        <w:spacing w:after="0"/>
        <w:tabs>
          <w:tab w:leader="none" w:pos="212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 w:lineRule="exact"/>
        <w:rPr>
          <w:sz w:val="20"/>
          <w:szCs w:val="20"/>
          <w:color w:val="auto"/>
        </w:rPr>
      </w:pPr>
    </w:p>
    <w:p>
      <w:pPr>
        <w:ind w:left="1940" w:hanging="393"/>
        <w:spacing w:after="0"/>
        <w:tabs>
          <w:tab w:leader="none" w:pos="194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236"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spacing w:after="0" w:line="27" w:lineRule="exact"/>
        <w:rPr>
          <w:rFonts w:ascii="Times New Roman" w:cs="Times New Roman" w:eastAsia="Times New Roman" w:hAnsi="Times New Roman"/>
          <w:sz w:val="22"/>
          <w:szCs w:val="22"/>
          <w:color w:val="auto"/>
        </w:rPr>
      </w:pPr>
    </w:p>
    <w:p>
      <w:pPr>
        <w:ind w:left="1960" w:right="6720"/>
        <w:spacing w:after="0" w:line="25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1177 Avenue of the Americas New York, New York 10036</w:t>
      </w:r>
    </w:p>
    <w:p>
      <w:pPr>
        <w:spacing w:after="0" w:line="1"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Douglas Friedman, General Counsel</w:t>
      </w:r>
    </w:p>
    <w:p>
      <w:pPr>
        <w:spacing w:after="0" w:line="3"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Douglas.Friedman@tradeweb.com</w:t>
      </w:r>
    </w:p>
    <w:p>
      <w:pPr>
        <w:spacing w:after="0" w:line="5" w:lineRule="exact"/>
        <w:rPr>
          <w:rFonts w:ascii="Times New Roman" w:cs="Times New Roman" w:eastAsia="Times New Roman" w:hAnsi="Times New Roman"/>
          <w:sz w:val="22"/>
          <w:szCs w:val="22"/>
          <w:color w:val="auto"/>
        </w:rPr>
      </w:pPr>
    </w:p>
    <w:p>
      <w:pPr>
        <w:ind w:left="1940" w:hanging="393"/>
        <w:spacing w:after="0"/>
        <w:tabs>
          <w:tab w:leader="none" w:pos="194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30"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95" w:name="page96"/>
    <w:bookmarkEnd w:id="95"/>
    <w:p>
      <w:pPr>
        <w:jc w:val="both"/>
        <w:ind w:firstLine="1304"/>
        <w:spacing w:after="0" w:line="253"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99" w:lineRule="exact"/>
        <w:rPr>
          <w:sz w:val="20"/>
          <w:szCs w:val="20"/>
          <w:color w:val="auto"/>
        </w:rPr>
      </w:pPr>
    </w:p>
    <w:p>
      <w:pPr>
        <w:ind w:left="2120" w:hanging="654"/>
        <w:spacing w:after="0"/>
        <w:tabs>
          <w:tab w:leader="none" w:pos="21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3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PSU that vests and becomes payable upon or in connection with the Grantee’s separation from service shall be delayed and will be payable on the day after the first to occur of (a) the day which is six (6) months following the date of such separation from service, and (b) the date of the Grantee’s death or Disability.</w:t>
      </w:r>
    </w:p>
    <w:p>
      <w:pPr>
        <w:spacing w:after="0" w:line="12" w:lineRule="exact"/>
        <w:rPr>
          <w:sz w:val="20"/>
          <w:szCs w:val="20"/>
          <w:color w:val="auto"/>
        </w:rPr>
      </w:pPr>
    </w:p>
    <w:p>
      <w:pPr>
        <w:ind w:left="2120" w:hanging="654"/>
        <w:spacing w:after="0"/>
        <w:tabs>
          <w:tab w:leader="none" w:pos="212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 w:lineRule="exact"/>
        <w:rPr>
          <w:sz w:val="20"/>
          <w:szCs w:val="20"/>
          <w:color w:val="auto"/>
        </w:rPr>
      </w:pPr>
    </w:p>
    <w:p>
      <w:pPr>
        <w:ind w:left="2120" w:hanging="654"/>
        <w:spacing w:after="0"/>
        <w:tabs>
          <w:tab w:leader="none" w:pos="212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96" w:name="page97"/>
    <w:bookmarkEnd w:id="96"/>
    <w:p>
      <w:pPr>
        <w:spacing w:after="0" w:line="221" w:lineRule="exact"/>
        <w:rPr>
          <w:sz w:val="20"/>
          <w:szCs w:val="20"/>
          <w:color w:val="auto"/>
        </w:rPr>
      </w:pPr>
    </w:p>
    <w:p>
      <w:pPr>
        <w:ind w:left="2120" w:hanging="654"/>
        <w:spacing w:after="0"/>
        <w:tabs>
          <w:tab w:leader="none" w:pos="212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81" w:lineRule="exact"/>
        <w:rPr>
          <w:sz w:val="20"/>
          <w:szCs w:val="20"/>
          <w:color w:val="auto"/>
        </w:rPr>
      </w:pPr>
    </w:p>
    <w:p>
      <w:pPr>
        <w:ind w:left="2120" w:hanging="654"/>
        <w:spacing w:after="0"/>
        <w:tabs>
          <w:tab w:leader="none" w:pos="212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 w:lineRule="exact"/>
        <w:rPr>
          <w:sz w:val="20"/>
          <w:szCs w:val="20"/>
          <w:color w:val="auto"/>
        </w:rPr>
      </w:pPr>
    </w:p>
    <w:p>
      <w:pPr>
        <w:ind w:left="2120" w:hanging="654"/>
        <w:spacing w:after="0"/>
        <w:tabs>
          <w:tab w:leader="none" w:pos="21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9" w:lineRule="exact"/>
        <w:rPr>
          <w:sz w:val="20"/>
          <w:szCs w:val="20"/>
          <w:color w:val="auto"/>
        </w:rPr>
      </w:pPr>
    </w:p>
    <w:p>
      <w:pPr>
        <w:ind w:left="2100" w:hanging="499"/>
        <w:spacing w:after="0"/>
        <w:tabs>
          <w:tab w:leader="none" w:pos="21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Recoupment</w:t>
      </w:r>
    </w:p>
    <w:p>
      <w:pPr>
        <w:spacing w:after="0" w:line="2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Notwithstanding any other provisions in this Award Agreement or any other agreement between the Company and the Grantee to the contrary, this Award Agreement, the PSUs granted hereunder, the Shares distributed in settlement of such PSUs and/or the gains realized upon a subsequent sale of such Shares by the Grantee shall be subject to repayment or forfeiture by the Grantee to the Company in accordance with the terms and conditions of the Company’s Omnibus Clawback Policy or any other “clawback” policy or mandatory recoupment policy adopted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Performance Modifier Determination</w:t>
      </w:r>
    </w:p>
    <w:p>
      <w:pPr>
        <w:spacing w:after="0" w:line="26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Performance Modifier will be based on the Company’s cumulative absolute total shareholder return (Cumulative Absolute TSR) over the Performance Period, or such shorter period as provided below in the event of a Change in Control.</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720" w:type="dxa"/>
            <w:vAlign w:val="bottom"/>
            <w:tcBorders>
              <w:top w:val="single" w:sz="8" w:color="auto"/>
              <w:left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Performance Level</w:t>
            </w:r>
          </w:p>
        </w:tc>
        <w:tc>
          <w:tcPr>
            <w:tcW w:w="4400" w:type="dxa"/>
            <w:vAlign w:val="bottom"/>
            <w:tcBorders>
              <w:top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Cumulative Absolute TSR for the Performance</w:t>
            </w:r>
          </w:p>
        </w:tc>
        <w:tc>
          <w:tcPr>
            <w:tcW w:w="4140" w:type="dxa"/>
            <w:vAlign w:val="bottom"/>
            <w:tcBorders>
              <w:top w:val="single" w:sz="8" w:color="auto"/>
              <w:right w:val="single" w:sz="8" w:color="auto"/>
            </w:tcBorders>
            <w:shd w:val="clear" w:color="auto" w:fill="B4C6E7"/>
          </w:tcPr>
          <w:p>
            <w:pPr>
              <w:ind w:left="760"/>
              <w:spacing w:after="0" w:line="203" w:lineRule="exact"/>
              <w:rPr>
                <w:sz w:val="20"/>
                <w:szCs w:val="20"/>
                <w:color w:val="auto"/>
              </w:rPr>
            </w:pPr>
            <w:r>
              <w:rPr>
                <w:rFonts w:ascii="Times New Roman" w:cs="Times New Roman" w:eastAsia="Times New Roman" w:hAnsi="Times New Roman"/>
                <w:sz w:val="20"/>
                <w:szCs w:val="20"/>
                <w:b w:val="1"/>
                <w:bCs w:val="1"/>
                <w:color w:val="auto"/>
              </w:rPr>
              <w:t>TSR Performance Modifier (1)</w:t>
            </w:r>
          </w:p>
        </w:tc>
      </w:tr>
      <w:tr>
        <w:trPr>
          <w:trHeight w:val="256"/>
        </w:trPr>
        <w:tc>
          <w:tcPr>
            <w:tcW w:w="2720" w:type="dxa"/>
            <w:vAlign w:val="bottom"/>
            <w:tcBorders>
              <w:left w:val="single" w:sz="8" w:color="auto"/>
              <w:bottom w:val="single" w:sz="8" w:color="auto"/>
              <w:right w:val="single" w:sz="8" w:color="auto"/>
            </w:tcBorders>
            <w:shd w:val="clear" w:color="auto" w:fill="B4C6E7"/>
          </w:tcPr>
          <w:p>
            <w:pPr>
              <w:spacing w:after="0"/>
              <w:rPr>
                <w:sz w:val="22"/>
                <w:szCs w:val="22"/>
                <w:color w:val="auto"/>
              </w:rPr>
            </w:pPr>
          </w:p>
        </w:tc>
        <w:tc>
          <w:tcPr>
            <w:tcW w:w="4400" w:type="dxa"/>
            <w:vAlign w:val="bottom"/>
            <w:tcBorders>
              <w:bottom w:val="single" w:sz="8" w:color="auto"/>
              <w:right w:val="single" w:sz="8" w:color="auto"/>
            </w:tcBorders>
            <w:shd w:val="clear" w:color="auto" w:fill="B4C6E7"/>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 (1)</w:t>
            </w:r>
          </w:p>
        </w:tc>
        <w:tc>
          <w:tcPr>
            <w:tcW w:w="4140" w:type="dxa"/>
            <w:vAlign w:val="bottom"/>
            <w:tcBorders>
              <w:bottom w:val="single" w:sz="8" w:color="auto"/>
              <w:right w:val="single" w:sz="8" w:color="auto"/>
            </w:tcBorders>
            <w:shd w:val="clear" w:color="auto" w:fill="B4C6E7"/>
          </w:tcPr>
          <w:p>
            <w:pPr>
              <w:spacing w:after="0"/>
              <w:rPr>
                <w:sz w:val="22"/>
                <w:szCs w:val="22"/>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Equal to or Greater Than 50%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Equal to 30%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Equal to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Below Threshold</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Less than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r>
    </w:tbl>
    <w:p>
      <w:pPr>
        <w:spacing w:after="0" w:line="72" w:lineRule="exact"/>
        <w:rPr>
          <w:sz w:val="20"/>
          <w:szCs w:val="20"/>
          <w:color w:val="auto"/>
        </w:rPr>
      </w:pPr>
    </w:p>
    <w:p>
      <w:pPr>
        <w:ind w:left="660" w:right="20" w:hanging="652"/>
        <w:spacing w:after="0" w:line="269" w:lineRule="auto"/>
        <w:tabs>
          <w:tab w:leader="none" w:pos="64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achievement between Maximum, Target and Threshold performance levels, the TSR Performance Modifier will be determined based on straight-line interpolation between such integers.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Award Agreement, the following terms have the following meanings:</w:t>
      </w:r>
    </w:p>
    <w:p>
      <w:pPr>
        <w:spacing w:after="0" w:line="2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Closing Price</w:t>
      </w:r>
      <w:r>
        <w:rPr>
          <w:rFonts w:ascii="Times New Roman" w:cs="Times New Roman" w:eastAsia="Times New Roman" w:hAnsi="Times New Roman"/>
          <w:sz w:val="20"/>
          <w:szCs w:val="20"/>
          <w:color w:val="auto"/>
        </w:rPr>
        <w:t xml:space="preserve">” means a price based on the Company’s highest average closing price for a Share for any consecutive 20-trading day period during the last calendar year of the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 the event of a Change in Control prior to the Vesting Date, the “Average Closing Price” will be equal to the per Share price to be paid to the stockholders of the Company in connection with the Change in Control.</w:t>
      </w:r>
    </w:p>
    <w:p>
      <w:pPr>
        <w:spacing w:after="0" w:line="17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Start Price</w:t>
      </w:r>
      <w:r>
        <w:rPr>
          <w:rFonts w:ascii="Times New Roman" w:cs="Times New Roman" w:eastAsia="Times New Roman" w:hAnsi="Times New Roman"/>
          <w:sz w:val="20"/>
          <w:szCs w:val="20"/>
          <w:color w:val="auto"/>
        </w:rPr>
        <w:t>” means a price calculated as the Company’s average closing price for a Share for the 20 trading days prior to and ending on the Date of Grant.</w:t>
      </w:r>
    </w:p>
    <w:p>
      <w:pPr>
        <w:spacing w:after="0" w:line="1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Cumulative Absolute TSR</w:t>
      </w:r>
      <w:r>
        <w:rPr>
          <w:rFonts w:ascii="Times New Roman" w:cs="Times New Roman" w:eastAsia="Times New Roman" w:hAnsi="Times New Roman"/>
          <w:sz w:val="20"/>
          <w:szCs w:val="20"/>
          <w:color w:val="auto"/>
        </w:rPr>
        <w:t>” means the percentage change in the cumulative (non-compounded) total return (expressed as a percentage) of an investment in the Company’s Shares for the Performance Period, determined using the Average Start Price to value the Company’s Shares at the start of the Performance Period and the Average Closing Price to value the Company’s Shares at the end of the Performance Period (or the time of a Change in Control, as applicable). In calculating the Cumulative Absolute TSR, all dividends paid during the Performance Period are assumed to have been reinvested in Shares on the ex-dividend date based on the closing price, with the resulting number of Shares ultimately valued in calculating the Cumulative Absolute TSR based on the Average Closing Price. For the sake of clarity, the Cumulative Absolute TSR will be calculated as follows:</w:t>
      </w:r>
    </w:p>
    <w:p>
      <w:pPr>
        <w:spacing w:after="0" w:line="177"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20"/>
          <w:szCs w:val="20"/>
          <w:color w:val="auto"/>
        </w:rPr>
        <w:t>Cumulative Absolute TSR = (a) divided by (b), expressed as a percentage, where (a) is the Average Closing Price - Average Start Price + sum of all dividends paid during Performance Period (assuming reinvestment as described above), and (b) is the Average Start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60"/>
          </w:cols>
          <w:pgMar w:left="320" w:top="1404" w:right="319" w:bottom="1440" w:gutter="0" w:footer="0" w:header="0"/>
        </w:sectPr>
      </w:pPr>
    </w:p>
    <w:bookmarkStart w:id="98" w:name="page99"/>
    <w:bookmarkEnd w:id="98"/>
    <w:p>
      <w:pPr>
        <w:spacing w:after="0" w:line="194"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49" w:lineRule="exact"/>
        <w:rPr>
          <w:sz w:val="20"/>
          <w:szCs w:val="20"/>
          <w:color w:val="auto"/>
        </w:rPr>
      </w:pPr>
    </w:p>
    <w:p>
      <w:pPr>
        <w:jc w:val="center"/>
        <w:ind w:left="340" w:right="20"/>
        <w:spacing w:after="0" w:line="249"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omitted from this document pursuant to Item 601(b)(10) of Regulation S-K because it is not material, is the type that the registrant treats as private or confidential and would be competitively harmful if publicly disclosed, and has been marked with “[***]” to indicate where omissions have been made.</w:t>
      </w:r>
    </w:p>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PRSU - NOTICE OF GRANT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Tradeweb Markets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 Delaware corporation, hereby grants to the Grantee set forth below (the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an Award of Performance Restricted Stock Units (the “</w:t>
      </w:r>
      <w:r>
        <w:rPr>
          <w:rFonts w:ascii="Times New Roman" w:cs="Times New Roman" w:eastAsia="Times New Roman" w:hAnsi="Times New Roman"/>
          <w:sz w:val="21"/>
          <w:szCs w:val="21"/>
          <w:u w:val="single" w:color="auto"/>
          <w:color w:val="auto"/>
        </w:rPr>
        <w:t>PRSUs</w:t>
      </w:r>
      <w:r>
        <w:rPr>
          <w:rFonts w:ascii="Times New Roman" w:cs="Times New Roman" w:eastAsia="Times New Roman" w:hAnsi="Times New Roman"/>
          <w:sz w:val="21"/>
          <w:szCs w:val="21"/>
          <w:color w:val="auto"/>
        </w:rPr>
        <w:t>”), pursuant to the terms and conditions of this Notice of Grant (the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the PRSU Award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and the Tradeweb Markets Inc. 2019 Omnibus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Capitalized terms used but not defined herein shall have the meaning attributed to such terms in the Award Agreement or, if not defined therein, in the Plan, unless the context requires otherwise. Each PRSU, to the extent earned and vested pursuant to the terms set forth in the Award Agreement, represents the right to receive 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Share at the time and in the manner set forth in Section 5 of the Award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6858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2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Name of Grantee:</w:t>
      </w:r>
      <w:r>
        <w:rPr>
          <w:sz w:val="20"/>
          <w:szCs w:val="20"/>
          <w:color w:val="auto"/>
        </w:rPr>
        <w:tab/>
      </w:r>
      <w:r>
        <w:rPr>
          <w:rFonts w:ascii="Times New Roman" w:cs="Times New Roman" w:eastAsia="Times New Roman" w:hAnsi="Times New Roman"/>
          <w:sz w:val="21"/>
          <w:szCs w:val="21"/>
          <w:color w:val="auto"/>
        </w:rPr>
        <w:t>William Hult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Number of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-11430</wp:posOffset>
            </wp:positionV>
            <wp:extent cx="6858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1"/>
          <w:szCs w:val="21"/>
          <w:color w:val="auto"/>
        </w:rPr>
        <w:t>The Award shall vest pursuant to the terms and conditions set forth in Section 3 of the Award Agreement.</w:t>
      </w:r>
    </w:p>
    <w:p>
      <w:pPr>
        <w:spacing w:after="0" w:line="24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January 1, 2024 – December 31, 2026</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William Hult</w:t>
      </w:r>
    </w:p>
    <w:p>
      <w:pPr>
        <w:sectPr>
          <w:pgSz w:w="11900" w:h="16838" w:orient="portrait"/>
          <w:cols w:equalWidth="0" w:num="1">
            <w:col w:w="10360"/>
          </w:cols>
          <w:pgMar w:left="980" w:top="1440" w:right="559" w:bottom="1440" w:gutter="0" w:footer="0" w:header="0"/>
          <w:type w:val="continuous"/>
        </w:sectPr>
      </w:pPr>
    </w:p>
    <w:bookmarkStart w:id="100" w:name="page101"/>
    <w:bookmarkEnd w:id="100"/>
    <w:p>
      <w:pPr>
        <w:spacing w:after="0" w:line="1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PRSU AWARD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PRSU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between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7" w:lineRule="exact"/>
        <w:rPr>
          <w:sz w:val="20"/>
          <w:szCs w:val="20"/>
          <w:color w:val="auto"/>
        </w:rPr>
      </w:pPr>
    </w:p>
    <w:p>
      <w:pPr>
        <w:ind w:left="2120" w:hanging="816"/>
        <w:spacing w:after="0"/>
        <w:tabs>
          <w:tab w:leader="none" w:pos="21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23" w:lineRule="exact"/>
        <w:rPr>
          <w:sz w:val="20"/>
          <w:szCs w:val="20"/>
          <w:color w:val="auto"/>
        </w:rPr>
      </w:pPr>
    </w:p>
    <w:p>
      <w:pPr>
        <w:ind w:left="2120" w:hanging="816"/>
        <w:spacing w:after="0"/>
        <w:tabs>
          <w:tab w:leader="none" w:pos="212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PRSUs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remain in effect until the Award has fully vested and been settled or been forfeited by the Grantee as provided in this Award Agreement.</w:t>
      </w:r>
    </w:p>
    <w:p>
      <w:pPr>
        <w:spacing w:after="0" w:line="181" w:lineRule="exact"/>
        <w:rPr>
          <w:sz w:val="20"/>
          <w:szCs w:val="20"/>
          <w:color w:val="auto"/>
        </w:rPr>
      </w:pPr>
    </w:p>
    <w:p>
      <w:pPr>
        <w:ind w:left="2120" w:hanging="816"/>
        <w:spacing w:after="0"/>
        <w:tabs>
          <w:tab w:leader="none" w:pos="212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PRSUs</w:t>
      </w:r>
    </w:p>
    <w:p>
      <w:pPr>
        <w:spacing w:after="0" w:line="264" w:lineRule="exact"/>
        <w:rPr>
          <w:sz w:val="20"/>
          <w:szCs w:val="20"/>
          <w:color w:val="auto"/>
        </w:rPr>
      </w:pPr>
    </w:p>
    <w:p>
      <w:pPr>
        <w:jc w:val="both"/>
        <w:ind w:firstLine="1304"/>
        <w:spacing w:after="0" w:line="249" w:lineRule="auto"/>
        <w:tabs>
          <w:tab w:leader="none" w:pos="19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Grantee’s not having Terminated, except as specifically provided herein or in the Plan, the Award granted hereunder will vest on the first day following the end of the Performance Period (the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In the event of a Change in Control or the Grantee’s Retirement prior to the Vesting Date, the Award will be fully vested on the date of the Change in Control or date of Retirement, as applicable. For the sake of clarity, this accelerated vesting (other than in the case of a Qualified Change in Control as described in Section 5(b) below) shall not change the Settlement Date as set forth in Section 5(b) below.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Except as set forth in Section 3(c) below, if the Grantee Terminates before the Vesting Date (other than on account of Retirement), no amounts will be payable hereunder.</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Resignation for Good Reason; Death or Disability</w:t>
      </w:r>
      <w:r>
        <w:rPr>
          <w:rFonts w:ascii="Times New Roman" w:cs="Times New Roman" w:eastAsia="Times New Roman" w:hAnsi="Times New Roman"/>
          <w:sz w:val="22"/>
          <w:szCs w:val="22"/>
          <w:color w:val="auto"/>
        </w:rPr>
        <w:t>. If the Grantee is Terminated (i) by the Company without Cause, (ii) as a result of the</w:t>
      </w:r>
    </w:p>
    <w:p>
      <w:pPr>
        <w:sectPr>
          <w:pgSz w:w="11900" w:h="16838" w:orient="portrait"/>
          <w:cols w:equalWidth="0" w:num="1">
            <w:col w:w="11240"/>
          </w:cols>
          <w:pgMar w:left="320" w:top="1440" w:right="339" w:bottom="1440" w:gutter="0" w:footer="0" w:header="0"/>
        </w:sectPr>
      </w:pPr>
    </w:p>
    <w:bookmarkStart w:id="101" w:name="page102"/>
    <w:bookmarkEnd w:id="10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Company’s nonrenewal of the Term (as defined in his employment agreement), (iii) on account of the Grantee’s death or Disability, or (iv) as a result of the Grantee’s resignation for Good Reason (as defined in his employment agreement), prior to the Vesting Date, the Grantee or the Grantee’s estate will be entitled to retain a pro rated portion of the Award, which shall remain eligible for settlement in accordance with Section 5 below and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(including application of any Performance Modifier). For purposes of the foregoing, the pro rated portion of the Award that the Grantee or the Grantee’s estate shall be entitled to retain shall be calculated by multiplying the total number of Target PRSUs awarded hereunder by a fraction, the numerator of which is the number of days from the first day of the Performance Period to the date of Termination, death or Disability, as applicable and the denominator of which is the total number of days in the Performance Period, which amount thereafter will represent the Grantee’s Target PRSUs under this Award Agreement.</w:t>
      </w:r>
    </w:p>
    <w:p>
      <w:pPr>
        <w:spacing w:after="0" w:line="180" w:lineRule="exact"/>
        <w:rPr>
          <w:sz w:val="20"/>
          <w:szCs w:val="20"/>
          <w:color w:val="auto"/>
        </w:rPr>
      </w:pPr>
    </w:p>
    <w:p>
      <w:pPr>
        <w:jc w:val="both"/>
        <w:ind w:firstLine="1304"/>
        <w:spacing w:after="0" w:line="249" w:lineRule="auto"/>
        <w:tabs>
          <w:tab w:leader="none" w:pos="193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herein, if a Grantee is Terminated by the Company for Cause at any time prior to the Settlement Date, the Grantee shall forfeit all rights hereunder (including with respect to Earned PRSUs (as defined below) and any associated dividend equivalent rights). In addition</w:t>
      </w:r>
      <w:r>
        <w:rPr>
          <w:rFonts w:ascii="Times New Roman" w:cs="Times New Roman" w:eastAsia="Times New Roman" w:hAnsi="Times New Roman"/>
          <w:sz w:val="23"/>
          <w:szCs w:val="23"/>
          <w:color w:val="auto"/>
        </w:rPr>
        <w:t>, i</w:t>
      </w:r>
      <w:r>
        <w:rPr>
          <w:rFonts w:ascii="Times New Roman" w:cs="Times New Roman" w:eastAsia="Times New Roman" w:hAnsi="Times New Roman"/>
          <w:sz w:val="22"/>
          <w:szCs w:val="22"/>
          <w:color w:val="auto"/>
        </w:rPr>
        <w:t>f within 180 days following any termination of the Grantee’s employment (whether voluntary or involuntary), the Company discovers that the Grantee engaged in 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Grantee) at the time of termination, then the Company may provide the Grantee with written notice, including the facts establishing that the Grantee’s conduct was not known at the time of the termination, in which case the Grantee’s termination of employment will be considered a for-Cause termination under this Award Agreement, and the Company may cancel any Shares received by the Grantee hereunder.</w:t>
      </w:r>
    </w:p>
    <w:p>
      <w:pPr>
        <w:spacing w:after="0" w:line="181" w:lineRule="exact"/>
        <w:rPr>
          <w:sz w:val="20"/>
          <w:szCs w:val="20"/>
          <w:color w:val="auto"/>
        </w:rPr>
      </w:pPr>
    </w:p>
    <w:p>
      <w:pPr>
        <w:ind w:left="2120" w:hanging="816"/>
        <w:spacing w:after="0"/>
        <w:tabs>
          <w:tab w:leader="none" w:pos="212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Award will accumulate dividend equivalent rights with respect to the Target PRSUs granted hereunder in respect of any dividends paid on Shares (on a one Share to one PRSU basis) from the first day of the Performance Period through the last day of the Performance Period. To the extent the Target PRSUs that gave rise to any dividend equivalent rights are forfeited pursuant to this Award or the Plan, those dividend equivalent rights will also be forfeited. The aggregate dollar amount of dividend equivalent rights accumulated under this Section 4 in respect of the Target PRSUs and not forfeited shall be added to, and be settled on the Settlement Date.</w:t>
      </w:r>
    </w:p>
    <w:p>
      <w:pPr>
        <w:spacing w:after="0" w:line="204" w:lineRule="exact"/>
        <w:rPr>
          <w:sz w:val="20"/>
          <w:szCs w:val="20"/>
          <w:color w:val="auto"/>
        </w:rPr>
      </w:pPr>
    </w:p>
    <w:p>
      <w:pPr>
        <w:ind w:left="2120" w:hanging="816"/>
        <w:spacing w:after="0"/>
        <w:tabs>
          <w:tab w:leader="none" w:pos="212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PRSUs</w:t>
      </w:r>
    </w:p>
    <w:p>
      <w:pPr>
        <w:spacing w:after="0" w:line="264" w:lineRule="exact"/>
        <w:rPr>
          <w:sz w:val="20"/>
          <w:szCs w:val="20"/>
          <w:color w:val="auto"/>
        </w:rPr>
      </w:pPr>
    </w:p>
    <w:p>
      <w:pPr>
        <w:jc w:val="both"/>
        <w:ind w:firstLine="1304"/>
        <w:spacing w:after="0" w:line="250" w:lineRule="auto"/>
        <w:tabs>
          <w:tab w:leader="none" w:pos="19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PRSUs and related dividend equivalent rights. The “</w:t>
      </w:r>
      <w:r>
        <w:rPr>
          <w:rFonts w:ascii="Times New Roman" w:cs="Times New Roman" w:eastAsia="Times New Roman" w:hAnsi="Times New Roman"/>
          <w:sz w:val="22"/>
          <w:szCs w:val="22"/>
          <w:u w:val="single" w:color="auto"/>
          <w:color w:val="auto"/>
        </w:rPr>
        <w:t>Settlement Number</w:t>
      </w:r>
      <w:r>
        <w:rPr>
          <w:rFonts w:ascii="Times New Roman" w:cs="Times New Roman" w:eastAsia="Times New Roman" w:hAnsi="Times New Roman"/>
          <w:sz w:val="22"/>
          <w:szCs w:val="22"/>
          <w:color w:val="auto"/>
        </w:rPr>
        <w:t>” is equal to the sum of (i) the number of Shares that are equal to the product of the number of Target PRSUs multiplied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2" w:name="page103"/>
    <w:bookmarkEnd w:id="102"/>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“Performance Modifier” determined in accordance with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Earned PRSUs</w:t>
      </w:r>
      <w:r>
        <w:rPr>
          <w:rFonts w:ascii="Times New Roman" w:cs="Times New Roman" w:eastAsia="Times New Roman" w:hAnsi="Times New Roman"/>
          <w:sz w:val="22"/>
          <w:szCs w:val="22"/>
          <w:color w:val="auto"/>
        </w:rPr>
        <w:t>”) plus (ii) the number of Shares that results from the quotient of (A) the product of any dividend equivalent rights payable pursuant to Section 4 above multiplied by the Performance Modifier, divided by (B) the Fair Market Value as of the Settlement Date, in each case, rounded down to the nearest whole Share. Any of the PRSUs that are not determined to be Earned PRSUs will be automatically forfeited, terminated and cancelled effective as of the Settlement Date without payment of any consideration by the Company, and the Grantee will have no further rights with respect to such unearned PRSUs under this Award Agreement.</w:t>
      </w:r>
    </w:p>
    <w:p>
      <w:pPr>
        <w:spacing w:after="0" w:line="181" w:lineRule="exact"/>
        <w:rPr>
          <w:sz w:val="20"/>
          <w:szCs w:val="20"/>
          <w:color w:val="auto"/>
        </w:rPr>
      </w:pPr>
    </w:p>
    <w:p>
      <w:pPr>
        <w:jc w:val="both"/>
        <w:ind w:firstLine="1304"/>
        <w:spacing w:after="0" w:line="260" w:lineRule="auto"/>
        <w:tabs>
          <w:tab w:leader="none" w:pos="193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settlement described in this Section 5 shall occur on the Settlement Date. For purposes of this Award Agreement,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means (i) as soon as practicable following the date that the Committee determines the level of achievement of the Performance Modifier and establishes the number of Earned PRSUs, which will occur after finalization of the Company’s audited financial statements for the final fiscal year of the Performance Period and in any event during the year in which the Vesting Date occurs, or (ii) if a Change in Control occurs prior to the Committee’s determination of the Performance Modifier, at the time(s) and in the same form of consideration as the consideration delivered to the Company’s stockholders in connection with such transaction (unless the amounts payable under this Award Agreement are deemed to be “nonqualified deferred compensation” under Code Section 409A, in which case the Settlement Date shall be as soon as practicable during the year following completion of the Performance Period); provided, however, that if a “Qualified Change in Control” (as defined below) occurs prior to the Committee’s determination of the Performance Modifier, settlement of the Earned PRSUs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1"/>
          <w:szCs w:val="21"/>
          <w:u w:val="single" w:color="auto"/>
          <w:color w:val="auto"/>
        </w:rPr>
        <w:t>Qualified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is a Change in Control that also constitutes a change of ownership or effective control of, or in the ownership of a substantial portion of the assets of, the Company for purposes of Code Section 409A.</w:t>
      </w:r>
    </w:p>
    <w:p>
      <w:pPr>
        <w:spacing w:after="0" w:line="175" w:lineRule="exact"/>
        <w:rPr>
          <w:rFonts w:ascii="Times New Roman" w:cs="Times New Roman" w:eastAsia="Times New Roman" w:hAnsi="Times New Roman"/>
          <w:sz w:val="21"/>
          <w:szCs w:val="21"/>
          <w:color w:val="auto"/>
        </w:rPr>
      </w:pPr>
    </w:p>
    <w:p>
      <w:pPr>
        <w:ind w:left="2120" w:hanging="654"/>
        <w:spacing w:after="0"/>
        <w:tabs>
          <w:tab w:leader="none" w:pos="212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Restrictive Covenants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190" w:lineRule="exact"/>
        <w:rPr>
          <w:sz w:val="20"/>
          <w:szCs w:val="20"/>
          <w:color w:val="auto"/>
        </w:rPr>
      </w:pPr>
    </w:p>
    <w:p>
      <w:pPr>
        <w:ind w:left="2120" w:hanging="654"/>
        <w:spacing w:after="0"/>
        <w:tabs>
          <w:tab w:leader="none" w:pos="2120"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portion of the Award will be subject to all of the same terms and conditions as provided in the Plan and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03" w:name="page104"/>
    <w:bookmarkEnd w:id="103"/>
    <w:p>
      <w:pPr>
        <w:spacing w:after="0" w:line="271" w:lineRule="auto"/>
        <w:rPr>
          <w:sz w:val="20"/>
          <w:szCs w:val="20"/>
          <w:color w:val="auto"/>
        </w:rPr>
      </w:pPr>
      <w:r>
        <w:rPr>
          <w:rFonts w:ascii="Times New Roman" w:cs="Times New Roman" w:eastAsia="Times New Roman" w:hAnsi="Times New Roman"/>
          <w:sz w:val="22"/>
          <w:szCs w:val="22"/>
          <w:color w:val="auto"/>
        </w:rPr>
        <w:t>and the Grantee’s estate or beneficiary appointed in accordance with the Plan will remain liable for any withholding tax that may be imposed by any federal, state or local tax authority.</w:t>
      </w:r>
    </w:p>
    <w:p>
      <w:pPr>
        <w:spacing w:after="0" w:line="185" w:lineRule="exact"/>
        <w:rPr>
          <w:sz w:val="20"/>
          <w:szCs w:val="20"/>
          <w:color w:val="auto"/>
        </w:rPr>
      </w:pPr>
    </w:p>
    <w:p>
      <w:pPr>
        <w:jc w:val="both"/>
        <w:ind w:firstLine="1304"/>
        <w:spacing w:after="0" w:line="267" w:lineRule="auto"/>
        <w:tabs>
          <w:tab w:leader="none" w:pos="1939"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Terminate PRSUs and Recovery</w:t>
      </w:r>
      <w:r>
        <w:rPr>
          <w:rFonts w:ascii="Times New Roman" w:cs="Times New Roman" w:eastAsia="Times New Roman" w:hAnsi="Times New Roman"/>
          <w:sz w:val="21"/>
          <w:szCs w:val="21"/>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26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materially breaches or violates the Grantee’s obligations under any Restrictive Agreement to which the Grantee is a party,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1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02" w:lineRule="exact"/>
        <w:rPr>
          <w:sz w:val="20"/>
          <w:szCs w:val="20"/>
          <w:color w:val="auto"/>
        </w:rPr>
      </w:pPr>
    </w:p>
    <w:p>
      <w:pPr>
        <w:ind w:left="2120" w:hanging="654"/>
        <w:spacing w:after="0"/>
        <w:tabs>
          <w:tab w:leader="none" w:pos="21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218" w:lineRule="exact"/>
        <w:rPr>
          <w:sz w:val="20"/>
          <w:szCs w:val="20"/>
          <w:color w:val="auto"/>
        </w:rPr>
      </w:pPr>
    </w:p>
    <w:p>
      <w:pPr>
        <w:ind w:left="2120" w:hanging="654"/>
        <w:spacing w:after="0"/>
        <w:tabs>
          <w:tab w:leader="none" w:pos="21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Company to satisfy all obligations for the payment of such withholding taxes.</w:t>
      </w:r>
    </w:p>
    <w:p>
      <w:pPr>
        <w:spacing w:after="0" w:line="204" w:lineRule="exact"/>
        <w:rPr>
          <w:sz w:val="20"/>
          <w:szCs w:val="20"/>
          <w:color w:val="auto"/>
        </w:rPr>
      </w:pPr>
    </w:p>
    <w:p>
      <w:pPr>
        <w:ind w:left="2120" w:hanging="654"/>
        <w:spacing w:after="0"/>
        <w:tabs>
          <w:tab w:leader="none" w:pos="21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this Award, the Grantee will make such written representations, warranties, and agreements as the Company may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04" w:name="page105"/>
    <w:bookmarkEnd w:id="104"/>
    <w:p>
      <w:pPr>
        <w:jc w:val="both"/>
        <w:spacing w:after="0" w:line="239" w:lineRule="auto"/>
        <w:rPr>
          <w:sz w:val="20"/>
          <w:szCs w:val="20"/>
          <w:color w:val="auto"/>
        </w:rPr>
      </w:pPr>
      <w:r>
        <w:rPr>
          <w:rFonts w:ascii="Times New Roman" w:cs="Times New Roman" w:eastAsia="Times New Roman" w:hAnsi="Times New Roman"/>
          <w:sz w:val="22"/>
          <w:szCs w:val="22"/>
          <w:color w:val="auto"/>
        </w:rPr>
        <w:t>request in order to comply with securities laws or with this Award Agreement. The Grantee hereby agrees not to offer, sell or otherwise attempt to dispose of any Shares issued to the Grantee upon settlement of this Award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231" w:lineRule="exact"/>
        <w:rPr>
          <w:sz w:val="20"/>
          <w:szCs w:val="20"/>
          <w:color w:val="auto"/>
        </w:rPr>
      </w:pPr>
    </w:p>
    <w:p>
      <w:pPr>
        <w:ind w:left="2100" w:hanging="634"/>
        <w:spacing w:after="0"/>
        <w:tabs>
          <w:tab w:leader="none" w:pos="210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PRSUs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09" w:lineRule="exact"/>
        <w:rPr>
          <w:sz w:val="20"/>
          <w:szCs w:val="20"/>
          <w:color w:val="auto"/>
        </w:rPr>
      </w:pPr>
    </w:p>
    <w:p>
      <w:pPr>
        <w:ind w:left="2120" w:hanging="654"/>
        <w:spacing w:after="0"/>
        <w:tabs>
          <w:tab w:leader="none" w:pos="21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 w:lineRule="exact"/>
        <w:rPr>
          <w:sz w:val="20"/>
          <w:szCs w:val="20"/>
          <w:color w:val="auto"/>
        </w:rPr>
      </w:pPr>
    </w:p>
    <w:p>
      <w:pPr>
        <w:ind w:left="1940" w:hanging="312"/>
        <w:spacing w:after="0"/>
        <w:tabs>
          <w:tab w:leader="none" w:pos="194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236"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spacing w:after="0" w:line="27" w:lineRule="exact"/>
        <w:rPr>
          <w:rFonts w:ascii="Times New Roman" w:cs="Times New Roman" w:eastAsia="Times New Roman" w:hAnsi="Times New Roman"/>
          <w:sz w:val="22"/>
          <w:szCs w:val="22"/>
          <w:color w:val="auto"/>
        </w:rPr>
      </w:pPr>
    </w:p>
    <w:p>
      <w:pPr>
        <w:ind w:left="1960" w:right="6720"/>
        <w:spacing w:after="0" w:line="25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1177 Avenue of the Americas New York, New York 10036</w:t>
      </w:r>
    </w:p>
    <w:p>
      <w:pPr>
        <w:spacing w:after="0" w:line="1"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Douglas Friedman, General Counsel</w:t>
      </w:r>
    </w:p>
    <w:p>
      <w:pPr>
        <w:spacing w:after="0" w:line="3"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Douglas.Friedman@tradeweb.com</w:t>
      </w:r>
    </w:p>
    <w:p>
      <w:pPr>
        <w:spacing w:after="0" w:line="5"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30"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105" w:name="page106"/>
    <w:bookmarkEnd w:id="105"/>
    <w:p>
      <w:pPr>
        <w:jc w:val="both"/>
        <w:spacing w:after="0" w:line="256" w:lineRule="auto"/>
        <w:rPr>
          <w:sz w:val="20"/>
          <w:szCs w:val="20"/>
          <w:color w:val="auto"/>
        </w:rPr>
      </w:pPr>
      <w:r>
        <w:rPr>
          <w:rFonts w:ascii="Times New Roman" w:cs="Times New Roman" w:eastAsia="Times New Roman" w:hAnsi="Times New Roman"/>
          <w:sz w:val="22"/>
          <w:szCs w:val="22"/>
          <w:color w:val="auto"/>
        </w:rPr>
        <w:t>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3" w:lineRule="exact"/>
        <w:rPr>
          <w:sz w:val="20"/>
          <w:szCs w:val="20"/>
          <w:color w:val="auto"/>
        </w:rPr>
      </w:pPr>
    </w:p>
    <w:p>
      <w:pPr>
        <w:jc w:val="both"/>
        <w:ind w:firstLine="1304"/>
        <w:spacing w:after="0" w:line="253"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2" w:lineRule="exact"/>
        <w:rPr>
          <w:sz w:val="20"/>
          <w:szCs w:val="20"/>
          <w:color w:val="auto"/>
        </w:rPr>
      </w:pPr>
    </w:p>
    <w:p>
      <w:pPr>
        <w:ind w:left="2120" w:hanging="654"/>
        <w:spacing w:after="0"/>
        <w:tabs>
          <w:tab w:leader="none" w:pos="212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PRSU that vests and becomes payable upon or in connection with the Grantee’s separation from service shall be delayed and will be payable on the day after the first to occur of (a) the day which is six (6) months following the date of such separation from service, and (b) the date of the Grantee’s death or Disability.</w:t>
      </w:r>
    </w:p>
    <w:p>
      <w:pPr>
        <w:spacing w:after="0" w:line="13" w:lineRule="exact"/>
        <w:rPr>
          <w:sz w:val="20"/>
          <w:szCs w:val="20"/>
          <w:color w:val="auto"/>
        </w:rPr>
      </w:pPr>
    </w:p>
    <w:p>
      <w:pPr>
        <w:ind w:left="2120" w:hanging="654"/>
        <w:spacing w:after="0"/>
        <w:tabs>
          <w:tab w:leader="none" w:pos="212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06" w:name="page107"/>
    <w:bookmarkEnd w:id="106"/>
    <w:p>
      <w:pPr>
        <w:ind w:left="2120" w:hanging="654"/>
        <w:spacing w:after="0"/>
        <w:tabs>
          <w:tab w:leader="none" w:pos="212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214" w:lineRule="exact"/>
        <w:rPr>
          <w:sz w:val="20"/>
          <w:szCs w:val="20"/>
          <w:color w:val="auto"/>
        </w:rPr>
      </w:pPr>
    </w:p>
    <w:p>
      <w:pPr>
        <w:ind w:left="2120" w:hanging="654"/>
        <w:spacing w:after="0"/>
        <w:tabs>
          <w:tab w:leader="none" w:pos="212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81" w:lineRule="exact"/>
        <w:rPr>
          <w:sz w:val="20"/>
          <w:szCs w:val="20"/>
          <w:color w:val="auto"/>
        </w:rPr>
      </w:pPr>
    </w:p>
    <w:p>
      <w:pPr>
        <w:ind w:left="2120" w:hanging="654"/>
        <w:spacing w:after="0"/>
        <w:tabs>
          <w:tab w:leader="none" w:pos="212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 w:lineRule="exact"/>
        <w:rPr>
          <w:sz w:val="20"/>
          <w:szCs w:val="20"/>
          <w:color w:val="auto"/>
        </w:rPr>
      </w:pPr>
    </w:p>
    <w:p>
      <w:pPr>
        <w:ind w:left="2120" w:hanging="654"/>
        <w:spacing w:after="0"/>
        <w:tabs>
          <w:tab w:leader="none" w:pos="212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9" w:lineRule="exact"/>
        <w:rPr>
          <w:sz w:val="20"/>
          <w:szCs w:val="20"/>
          <w:color w:val="auto"/>
        </w:rPr>
      </w:pPr>
    </w:p>
    <w:p>
      <w:pPr>
        <w:ind w:left="2120" w:hanging="654"/>
        <w:spacing w:after="0"/>
        <w:tabs>
          <w:tab w:leader="none" w:pos="212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Recoupment</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Notwithstanding any other provisions in this Award Agreement or any other agreement between the Company and the Grantee to the contrary, this Award Agreement, the PRSUs granted hereunder, the Shares distributed in settlement of such PRSUs and/or the gains realized upon a subsequent sale of such Shares by the Grantee shall be subject to repayment or forfeiture by the Grantee to the Company in accordance with the terms and conditions of the Company’s Omnibus Clawback Policy or any other “clawback” policy or mandatory recoupment policy adopted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Modifier Determination</w:t>
      </w:r>
    </w:p>
    <w:p>
      <w:pPr>
        <w:spacing w:after="0" w:line="26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Performance Modifier will be based on the Company’s performance against two equally weighted metrics (Adjusted EBITDA CAGR and Revenue CAGR (each as defined below)) over the Performance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Performance Modifier will be determined by the Committee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0575" cy="1123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1123315"/>
                    </a:xfrm>
                    <a:prstGeom prst="rect">
                      <a:avLst/>
                    </a:prstGeom>
                    <a:noFill/>
                  </pic:spPr>
                </pic:pic>
              </a:graphicData>
            </a:graphic>
          </wp:anchor>
        </w:drawing>
      </w:r>
    </w:p>
    <w:p>
      <w:pPr>
        <w:spacing w:after="0" w:line="290"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20"/>
          <w:szCs w:val="20"/>
          <w:color w:val="auto"/>
        </w:rPr>
        <w:t>Performance Modifier</w:t>
      </w: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Adjusted</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Revenue</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Modifier (as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EBITDA</w:t>
            </w: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defined</w:t>
            </w: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Modifier</w:t>
            </w:r>
          </w:p>
        </w:tc>
        <w:tc>
          <w:tcPr>
            <w:tcW w:w="1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w:t>
            </w:r>
          </w:p>
        </w:tc>
        <w:tc>
          <w:tcPr>
            <w:tcW w:w="1000" w:type="dxa"/>
            <w:vAlign w:val="bottom"/>
          </w:tcPr>
          <w:p>
            <w:pPr>
              <w:spacing w:after="0"/>
              <w:rPr>
                <w:sz w:val="22"/>
                <w:szCs w:val="22"/>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2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below)</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defined</w:t>
            </w: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below)</w:t>
            </w:r>
          </w:p>
        </w:tc>
        <w:tc>
          <w:tcPr>
            <w:tcW w:w="11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x</w:t>
            </w:r>
          </w:p>
        </w:tc>
        <w:tc>
          <w:tcPr>
            <w:tcW w:w="100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0.5</w:t>
            </w:r>
          </w:p>
        </w:tc>
        <w:tc>
          <w:tcPr>
            <w:tcW w:w="980" w:type="dxa"/>
            <w:vAlign w:val="bottom"/>
          </w:tcPr>
          <w:p>
            <w:pPr>
              <w:spacing w:after="0"/>
              <w:rPr>
                <w:sz w:val="22"/>
                <w:szCs w:val="22"/>
                <w:color w:val="auto"/>
              </w:rPr>
            </w:pPr>
          </w:p>
        </w:tc>
        <w:tc>
          <w:tcPr>
            <w:tcW w:w="2340" w:type="dxa"/>
            <w:vAlign w:val="bottom"/>
          </w:tcPr>
          <w:p>
            <w:pPr>
              <w:ind w:left="1980"/>
              <w:spacing w:after="0"/>
              <w:rPr>
                <w:sz w:val="20"/>
                <w:szCs w:val="20"/>
                <w:color w:val="auto"/>
              </w:rPr>
            </w:pPr>
            <w:r>
              <w:rPr>
                <w:rFonts w:ascii="Times New Roman" w:cs="Times New Roman" w:eastAsia="Times New Roman" w:hAnsi="Times New Roman"/>
                <w:sz w:val="20"/>
                <w:szCs w:val="20"/>
                <w:color w:val="auto"/>
              </w:rPr>
              <w:t>x</w:t>
            </w:r>
          </w:p>
        </w:tc>
        <w:tc>
          <w:tcPr>
            <w:tcW w:w="1760" w:type="dxa"/>
            <w:vAlign w:val="bottom"/>
          </w:tcPr>
          <w:p>
            <w:pPr>
              <w:jc w:val="right"/>
              <w:ind w:right="1141"/>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In no event will the Performance Modifier exceed 250%. Notwithstanding the foregoing, if a Change in Control occurs prior to the Committee’s determination of the Performance Modifier, the Performance Modifier will be deemed to be 100%.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Award Agreement, the following terms have the following meanings:</w:t>
      </w:r>
    </w:p>
    <w:p>
      <w:pPr>
        <w:spacing w:after="0" w:line="21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0"/>
          <w:szCs w:val="20"/>
          <w:color w:val="auto"/>
        </w:rPr>
        <w:t>” means Adjusted EBITDA, as publicly reported by the Company in its periodic filings, adjusted to reflect the constant currency basis used for management reporting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 CAGR</w:t>
      </w:r>
      <w:r>
        <w:rPr>
          <w:rFonts w:ascii="Times New Roman" w:cs="Times New Roman" w:eastAsia="Times New Roman" w:hAnsi="Times New Roman"/>
          <w:sz w:val="20"/>
          <w:szCs w:val="20"/>
          <w:color w:val="auto"/>
        </w:rPr>
        <w:t>” means the compound annual growth rate of Adjusted EBITDA over the Performance Period.</w:t>
      </w:r>
    </w:p>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 Modifier</w:t>
      </w:r>
      <w:r>
        <w:rPr>
          <w:rFonts w:ascii="Times New Roman" w:cs="Times New Roman" w:eastAsia="Times New Roman" w:hAnsi="Times New Roman"/>
          <w:sz w:val="20"/>
          <w:szCs w:val="20"/>
          <w:color w:val="auto"/>
        </w:rPr>
        <w:t xml:space="preserve">” means the percentage in the table below that corresponds to the Adjusted EBITDA CAGR, as determined by the Committee: </w:t>
      </w:r>
      <w:r>
        <w:rPr>
          <w:rFonts w:ascii="Times New Roman" w:cs="Times New Roman" w:eastAsia="Times New Roman" w:hAnsi="Times New Roman"/>
          <w:sz w:val="20"/>
          <w:szCs w:val="20"/>
          <w:b w:val="1"/>
          <w:bCs w:val="1"/>
          <w:color w:val="auto"/>
        </w:rPr>
        <w:t>[***]</w:t>
      </w:r>
    </w:p>
    <w:p>
      <w:pPr>
        <w:spacing w:after="0" w:line="14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Adjusted EBITDA Modifier for performance between the levels set forth in the table above will be determined through linear interpolation.</w:t>
      </w:r>
    </w:p>
    <w:p>
      <w:pPr>
        <w:spacing w:after="0" w:line="14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0"/>
          <w:szCs w:val="20"/>
          <w:color w:val="auto"/>
        </w:rPr>
        <w:t>” means total revenue of the Company as publicly reported by the Company in its periodic filings, adjusted to reflect the constant currency basis used for management reporting purposes.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CAGR</w:t>
      </w:r>
      <w:r>
        <w:rPr>
          <w:rFonts w:ascii="Times New Roman" w:cs="Times New Roman" w:eastAsia="Times New Roman" w:hAnsi="Times New Roman"/>
          <w:sz w:val="20"/>
          <w:szCs w:val="20"/>
          <w:color w:val="auto"/>
        </w:rPr>
        <w:t>” means the compound annual growth rate of Revenue over the Performance Period.</w:t>
      </w:r>
    </w:p>
    <w:p>
      <w:pPr>
        <w:spacing w:after="0" w:line="21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Modifier</w:t>
      </w:r>
      <w:r>
        <w:rPr>
          <w:rFonts w:ascii="Times New Roman" w:cs="Times New Roman" w:eastAsia="Times New Roman" w:hAnsi="Times New Roman"/>
          <w:sz w:val="20"/>
          <w:szCs w:val="20"/>
          <w:color w:val="auto"/>
        </w:rPr>
        <w:t xml:space="preserve">” means the percentage in the table below that corresponds to the Revenue CAGR over the Performance Period, as determined by the Committee: </w:t>
      </w:r>
      <w:r>
        <w:rPr>
          <w:rFonts w:ascii="Times New Roman" w:cs="Times New Roman" w:eastAsia="Times New Roman" w:hAnsi="Times New Roman"/>
          <w:sz w:val="20"/>
          <w:szCs w:val="20"/>
          <w:b w:val="1"/>
          <w:bCs w:val="1"/>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Revenue Modifier for performance between the levels set forth in the table above will be determined through linear interpolation.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4" w:right="339" w:bottom="1440" w:gutter="0" w:footer="0" w:header="0"/>
        </w:sectPr>
      </w:pPr>
    </w:p>
    <w:bookmarkStart w:id="108" w:name="page109"/>
    <w:bookmarkEnd w:id="108"/>
    <w:p>
      <w:pPr>
        <w:spacing w:after="0" w:line="194"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49" w:lineRule="exact"/>
        <w:rPr>
          <w:sz w:val="20"/>
          <w:szCs w:val="20"/>
          <w:color w:val="auto"/>
        </w:rPr>
      </w:pPr>
    </w:p>
    <w:p>
      <w:pPr>
        <w:jc w:val="center"/>
        <w:ind w:left="340" w:right="20"/>
        <w:spacing w:after="0" w:line="249"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omitted from this document pursuant to Item 601(b)(10) of Regulation S-K because it is not material, is the type that the registrant treats as private or confidential and would be competitively harmful if publicly disclosed, and has been marked with “[***]” to indicate where omissions have been made.</w:t>
      </w:r>
    </w:p>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PRSU - NOTICE OF GRANT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Tradeweb Markets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 Delaware corporation, hereby grants to the Grantee set forth below (the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an Award of Performance Restricted Stock Units (the “</w:t>
      </w:r>
      <w:r>
        <w:rPr>
          <w:rFonts w:ascii="Times New Roman" w:cs="Times New Roman" w:eastAsia="Times New Roman" w:hAnsi="Times New Roman"/>
          <w:sz w:val="21"/>
          <w:szCs w:val="21"/>
          <w:u w:val="single" w:color="auto"/>
          <w:color w:val="auto"/>
        </w:rPr>
        <w:t>PRSUs</w:t>
      </w:r>
      <w:r>
        <w:rPr>
          <w:rFonts w:ascii="Times New Roman" w:cs="Times New Roman" w:eastAsia="Times New Roman" w:hAnsi="Times New Roman"/>
          <w:sz w:val="21"/>
          <w:szCs w:val="21"/>
          <w:color w:val="auto"/>
        </w:rPr>
        <w:t>”), pursuant to the terms and conditions of this Notice of Grant (the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the PRSU Award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and the Tradeweb Markets Inc. 2019 Omnibus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Capitalized terms used but not defined herein shall have the meaning attributed to such terms in the Award Agreement or, if not defined therein, in the Plan, unless the context requires otherwise. Each PRSU, to the extent earned and vested pursuant to the terms set forth in the Award Agreement, represents the right to receive 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Share at the time and in the manner set forth in Section 5 of the Award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8229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-11430</wp:posOffset>
            </wp:positionV>
            <wp:extent cx="8229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Number of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-11430</wp:posOffset>
            </wp:positionV>
            <wp:extent cx="8229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1"/>
          <w:szCs w:val="21"/>
          <w:color w:val="auto"/>
        </w:rPr>
        <w:t>The Award shall vest pursuant to the terms and conditions set forth in Section 3 of the Award Agreement.</w:t>
      </w:r>
    </w:p>
    <w:p>
      <w:pPr>
        <w:spacing w:after="0" w:line="24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January 1, 2024 – December 31, 2026</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0360"/>
          </w:cols>
          <w:pgMar w:left="980" w:top="1440" w:right="559" w:bottom="1440" w:gutter="0" w:footer="0" w:header="0"/>
          <w:type w:val="continuous"/>
        </w:sectPr>
      </w:pPr>
    </w:p>
    <w:bookmarkStart w:id="110" w:name="page111"/>
    <w:bookmarkEnd w:id="110"/>
    <w:p>
      <w:pPr>
        <w:spacing w:after="0" w:line="1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PRSU AWARD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PRSU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between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7" w:lineRule="exact"/>
        <w:rPr>
          <w:sz w:val="20"/>
          <w:szCs w:val="20"/>
          <w:color w:val="auto"/>
        </w:rPr>
      </w:pPr>
    </w:p>
    <w:p>
      <w:pPr>
        <w:ind w:left="2120" w:hanging="816"/>
        <w:spacing w:after="0"/>
        <w:tabs>
          <w:tab w:leader="none" w:pos="212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23" w:lineRule="exact"/>
        <w:rPr>
          <w:sz w:val="20"/>
          <w:szCs w:val="20"/>
          <w:color w:val="auto"/>
        </w:rPr>
      </w:pPr>
    </w:p>
    <w:p>
      <w:pPr>
        <w:ind w:left="2120" w:hanging="816"/>
        <w:spacing w:after="0"/>
        <w:tabs>
          <w:tab w:leader="none" w:pos="212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PRSUs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remain in effect until the Award has fully vested and been settled or been forfeited by the Grantee as provided in this Award Agreement.</w:t>
      </w:r>
    </w:p>
    <w:p>
      <w:pPr>
        <w:spacing w:after="0" w:line="181" w:lineRule="exact"/>
        <w:rPr>
          <w:sz w:val="20"/>
          <w:szCs w:val="20"/>
          <w:color w:val="auto"/>
        </w:rPr>
      </w:pPr>
    </w:p>
    <w:p>
      <w:pPr>
        <w:ind w:left="2120" w:hanging="816"/>
        <w:spacing w:after="0"/>
        <w:tabs>
          <w:tab w:leader="none" w:pos="212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PRSUs</w:t>
      </w:r>
    </w:p>
    <w:p>
      <w:pPr>
        <w:spacing w:after="0" w:line="264" w:lineRule="exact"/>
        <w:rPr>
          <w:sz w:val="20"/>
          <w:szCs w:val="20"/>
          <w:color w:val="auto"/>
        </w:rPr>
      </w:pPr>
    </w:p>
    <w:p>
      <w:pPr>
        <w:jc w:val="both"/>
        <w:ind w:firstLine="1304"/>
        <w:spacing w:after="0" w:line="250"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Grantee’s not having Terminated, except as specifically provided herein or in the Plan, the Award granted hereunder will vest on the first day following the end of the Performance Period (the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In the event of a Change in Control prior to the Vesting Date, the Award will be fully vested on the date of the Change in Control. For the sake of clarity, this accelerated vesting (other than in the case of a Qualified Change in Control as described in Section 5(b) below) shall not change the Settlement Date as set forth in Section 5(b) below.</w:t>
      </w:r>
    </w:p>
    <w:p>
      <w:pPr>
        <w:spacing w:after="0" w:line="194"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Except as set forth in Section 3(c) below, if the Grantee Terminates before the Vesting Date, no amounts will be payable hereunder.</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Death or Disability; Retirement</w:t>
      </w:r>
      <w:r>
        <w:rPr>
          <w:rFonts w:ascii="Times New Roman" w:cs="Times New Roman" w:eastAsia="Times New Roman" w:hAnsi="Times New Roman"/>
          <w:sz w:val="22"/>
          <w:szCs w:val="22"/>
          <w:color w:val="auto"/>
        </w:rPr>
        <w:t xml:space="preserve">. In the event of (i) the Grantee’s Termination by the Company without Cause, or on account of his or her death or Disability, or (ii) the Grantee’s Retirement, in each case prior to the Vesting Date, the Grantee or the Grantee’s estate will be entitled to retain a pro rated portion of the Award, which shall remain eligible for settlement in accordance with Section 5 below and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(including application of any Performance Modifier). For purposes of the foregoing, the pro</w:t>
      </w:r>
    </w:p>
    <w:p>
      <w:pPr>
        <w:sectPr>
          <w:pgSz w:w="11900" w:h="16838" w:orient="portrait"/>
          <w:cols w:equalWidth="0" w:num="1">
            <w:col w:w="11240"/>
          </w:cols>
          <w:pgMar w:left="320" w:top="1440" w:right="339" w:bottom="1440" w:gutter="0" w:footer="0" w:header="0"/>
        </w:sectPr>
      </w:pPr>
    </w:p>
    <w:bookmarkStart w:id="111" w:name="page112"/>
    <w:bookmarkEnd w:id="111"/>
    <w:p>
      <w:pPr>
        <w:jc w:val="both"/>
        <w:spacing w:after="0" w:line="250" w:lineRule="auto"/>
        <w:rPr>
          <w:sz w:val="20"/>
          <w:szCs w:val="20"/>
          <w:color w:val="auto"/>
        </w:rPr>
      </w:pPr>
      <w:r>
        <w:rPr>
          <w:rFonts w:ascii="Times New Roman" w:cs="Times New Roman" w:eastAsia="Times New Roman" w:hAnsi="Times New Roman"/>
          <w:sz w:val="22"/>
          <w:szCs w:val="22"/>
          <w:color w:val="auto"/>
        </w:rPr>
        <w:t>rated portion of the Award that the Grantee or the Grantee’s estate shall be entitled to retain shall be calculated by multiplying the total number of Target PRSUs awarded hereunder by a fraction, the numerator of which is the number of days from the first day of the Performance Period to the date of Termination, death or Disability, as applicable and the denominator of which is the total number of days in the Performance Period, which amount thereafter will represent the Grantee’s Target PRSUs under this Award Agreement.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80" w:lineRule="exact"/>
        <w:rPr>
          <w:sz w:val="20"/>
          <w:szCs w:val="20"/>
          <w:color w:val="auto"/>
        </w:rPr>
      </w:pPr>
    </w:p>
    <w:p>
      <w:pPr>
        <w:jc w:val="both"/>
        <w:ind w:firstLine="1304"/>
        <w:spacing w:after="0" w:line="250"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herein, if the Grantee is Terminated by the Company for Cause at any time prior to the Settlement Date, the Grantee shall forfeit all rights hereunder (including with respect to Earned PRSUs (as defined below) and any associated dividend equivalent rights). In addition, if following the Grantee’s Termination (whether voluntary or involuntary) the Company discovers facts that would have established Cause for Termination, then the Company may provide the Grantee with written notice of such facts, in which case the Grantee’s Termination will be considered a for Cause Termination under this Award Agreement and the Company may cancel any Shares received by the Grantee hereunder.</w:t>
      </w:r>
    </w:p>
    <w:p>
      <w:pPr>
        <w:spacing w:after="0" w:line="190" w:lineRule="exact"/>
        <w:rPr>
          <w:sz w:val="20"/>
          <w:szCs w:val="20"/>
          <w:color w:val="auto"/>
        </w:rPr>
      </w:pPr>
    </w:p>
    <w:p>
      <w:pPr>
        <w:ind w:left="2120" w:hanging="816"/>
        <w:spacing w:after="0"/>
        <w:tabs>
          <w:tab w:leader="none" w:pos="212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Award will accumulate dividend equivalent rights with respect to the Target PRSUs granted hereunder in respect of any dividends paid on Shares (on a one Share to one PRSU basis) from the first day of the Performance Period through the last day of the Performance Period. To the extent the Target PRSUs that gave rise to any dividend equivalent rights are forfeited pursuant to this Award or the Plan, those dividend equivalent rights will also be forfeited. The aggregate dollar amount of dividend equivalent rights accumulated under this Section 4 in respect of the Target PRSUs and not forfeited shall be added to, and be settled on the Settlement Date.</w:t>
      </w:r>
    </w:p>
    <w:p>
      <w:pPr>
        <w:spacing w:after="0" w:line="204" w:lineRule="exact"/>
        <w:rPr>
          <w:sz w:val="20"/>
          <w:szCs w:val="20"/>
          <w:color w:val="auto"/>
        </w:rPr>
      </w:pPr>
    </w:p>
    <w:p>
      <w:pPr>
        <w:ind w:left="2120" w:hanging="816"/>
        <w:spacing w:after="0"/>
        <w:tabs>
          <w:tab w:leader="none" w:pos="212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PRSUs</w:t>
      </w:r>
    </w:p>
    <w:p>
      <w:pPr>
        <w:spacing w:after="0" w:line="251" w:lineRule="exact"/>
        <w:rPr>
          <w:sz w:val="20"/>
          <w:szCs w:val="20"/>
          <w:color w:val="auto"/>
        </w:rPr>
      </w:pPr>
    </w:p>
    <w:p>
      <w:pPr>
        <w:jc w:val="both"/>
        <w:ind w:firstLine="1304"/>
        <w:spacing w:after="0" w:line="263" w:lineRule="auto"/>
        <w:tabs>
          <w:tab w:leader="none" w:pos="1941"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PRSUs and related dividend equivalent rights. The “</w:t>
      </w:r>
      <w:r>
        <w:rPr>
          <w:rFonts w:ascii="Times New Roman" w:cs="Times New Roman" w:eastAsia="Times New Roman" w:hAnsi="Times New Roman"/>
          <w:sz w:val="21"/>
          <w:szCs w:val="21"/>
          <w:u w:val="single" w:color="auto"/>
          <w:color w:val="auto"/>
        </w:rPr>
        <w:t>Settlement Number</w:t>
      </w:r>
      <w:r>
        <w:rPr>
          <w:rFonts w:ascii="Times New Roman" w:cs="Times New Roman" w:eastAsia="Times New Roman" w:hAnsi="Times New Roman"/>
          <w:sz w:val="21"/>
          <w:szCs w:val="21"/>
          <w:color w:val="auto"/>
        </w:rPr>
        <w:t xml:space="preserve">” is equal to the sum of (i) the number of Shares that are equal to the product of the number of Target PRSUs multiplied by the “Performance Modifier” determined in accordance with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Earned PRSUs</w:t>
      </w:r>
      <w:r>
        <w:rPr>
          <w:rFonts w:ascii="Times New Roman" w:cs="Times New Roman" w:eastAsia="Times New Roman" w:hAnsi="Times New Roman"/>
          <w:sz w:val="21"/>
          <w:szCs w:val="21"/>
          <w:color w:val="auto"/>
        </w:rPr>
        <w:t>”), plus (ii) the number of Shares that results from the quotient of (A) the product of any dividend equivalent rights payable pursuant to Section 4 above multiplied by the Performance Modifier, divided by (B) the Fair Market Value as of the Settlement Date, in each case, rounded down to the nearest whole Share. Any of the PRSUs that are not determined to be Earned PRSUs will be automatically forfeited, terminated and cancelled effective as of the Settlement Date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12" w:name="page113"/>
    <w:bookmarkEnd w:id="112"/>
    <w:p>
      <w:pPr>
        <w:ind w:right="20"/>
        <w:spacing w:after="0" w:line="271" w:lineRule="auto"/>
        <w:rPr>
          <w:sz w:val="20"/>
          <w:szCs w:val="20"/>
          <w:color w:val="auto"/>
        </w:rPr>
      </w:pPr>
      <w:r>
        <w:rPr>
          <w:rFonts w:ascii="Times New Roman" w:cs="Times New Roman" w:eastAsia="Times New Roman" w:hAnsi="Times New Roman"/>
          <w:sz w:val="22"/>
          <w:szCs w:val="22"/>
          <w:color w:val="auto"/>
        </w:rPr>
        <w:t>payment of any consideration by the Company, and the Grantee will have no further rights with respect to such unearned PRSUs under this Award Agreement.</w:t>
      </w:r>
    </w:p>
    <w:p>
      <w:pPr>
        <w:spacing w:after="0" w:line="158" w:lineRule="exact"/>
        <w:rPr>
          <w:sz w:val="20"/>
          <w:szCs w:val="20"/>
          <w:color w:val="auto"/>
        </w:rPr>
      </w:pPr>
    </w:p>
    <w:p>
      <w:pPr>
        <w:jc w:val="both"/>
        <w:ind w:firstLine="1304"/>
        <w:spacing w:after="0" w:line="260" w:lineRule="auto"/>
        <w:tabs>
          <w:tab w:leader="none" w:pos="1939"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settlement described in this Section 5 shall occur on the Settlement Date. For purposes of this Award Agreement,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xml:space="preserve">” means (i) as soon as practicable following the date that the Committee determines the level of achievement of the Performance Modifier and establishes the number of Earned PRSUs, which will occur after finalization of the Company’s audited financial statements for the final fiscal year of the Performance Period and in any event during the year in which the Vesting Date occurs, or (ii) if a Change in Control occurs prior to the Committee’s determination of the Performance Modifier, at the time(s) and in the same form of consideration as the consideration delivered to the Company’s stockholders in connection with such transaction (unless the amounts payable under this Award Agreement are deemed to be “nonqualified deferred compensation” under Code Section 409A, in which case the Settlement Date shall be as soon as practicable during the year following completion of the Performance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“Qualified Change in Control” (as defined below) occurs prior to the Committee’s determination of the Performance Modifier, settlement of the Earned PRSUs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1"/>
          <w:szCs w:val="21"/>
          <w:u w:val="single" w:color="auto"/>
          <w:color w:val="auto"/>
        </w:rPr>
        <w:t>Qualified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is a Change in Control that also constitutes a change of ownership or effective control of, or in the ownership of a substantial portion of the assets of, the Company for purposes of Code Section 409A.</w:t>
      </w:r>
    </w:p>
    <w:p>
      <w:pPr>
        <w:spacing w:after="0" w:line="175" w:lineRule="exact"/>
        <w:rPr>
          <w:rFonts w:ascii="Times New Roman" w:cs="Times New Roman" w:eastAsia="Times New Roman" w:hAnsi="Times New Roman"/>
          <w:sz w:val="21"/>
          <w:szCs w:val="21"/>
          <w:color w:val="auto"/>
        </w:rPr>
      </w:pPr>
    </w:p>
    <w:p>
      <w:pPr>
        <w:ind w:left="2120" w:hanging="654"/>
        <w:spacing w:after="0"/>
        <w:tabs>
          <w:tab w:leader="none" w:pos="2120"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190" w:lineRule="exact"/>
        <w:rPr>
          <w:sz w:val="20"/>
          <w:szCs w:val="20"/>
          <w:color w:val="auto"/>
        </w:rPr>
      </w:pPr>
    </w:p>
    <w:p>
      <w:pPr>
        <w:ind w:left="2120" w:hanging="654"/>
        <w:spacing w:after="0"/>
        <w:tabs>
          <w:tab w:leader="none" w:pos="2120" w:val="left"/>
        </w:tabs>
        <w:numPr>
          <w:ilvl w:val="1"/>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08" w:lineRule="exact"/>
        <w:rPr>
          <w:rFonts w:ascii="Times New Roman" w:cs="Times New Roman" w:eastAsia="Times New Roman" w:hAnsi="Times New Roman"/>
          <w:sz w:val="22"/>
          <w:szCs w:val="22"/>
          <w:color w:val="auto"/>
        </w:rPr>
      </w:pPr>
    </w:p>
    <w:p>
      <w:pPr>
        <w:jc w:val="both"/>
        <w:ind w:firstLine="1304"/>
        <w:spacing w:after="0" w:line="281" w:lineRule="auto"/>
        <w:tabs>
          <w:tab w:leader="none" w:pos="193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Terminate PRSUs and Recovery</w:t>
      </w:r>
      <w:r>
        <w:rPr>
          <w:rFonts w:ascii="Times New Roman" w:cs="Times New Roman" w:eastAsia="Times New Roman" w:hAnsi="Times New Roman"/>
          <w:sz w:val="21"/>
          <w:szCs w:val="21"/>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13" w:name="page114"/>
    <w:bookmarkEnd w:id="113"/>
    <w:p>
      <w:pPr>
        <w:jc w:val="both"/>
        <w:ind w:firstLine="8"/>
        <w:spacing w:after="0" w:line="250" w:lineRule="auto"/>
        <w:tabs>
          <w:tab w:leader="none" w:pos="262"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materially breaches or violates the Grantee’s obligations under any Restrictive Agreement to which the Grantee is a party,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0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02" w:lineRule="exact"/>
        <w:rPr>
          <w:sz w:val="20"/>
          <w:szCs w:val="20"/>
          <w:color w:val="auto"/>
        </w:rPr>
      </w:pPr>
    </w:p>
    <w:p>
      <w:pPr>
        <w:ind w:left="2120" w:hanging="654"/>
        <w:spacing w:after="0"/>
        <w:tabs>
          <w:tab w:leader="none" w:pos="212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218" w:lineRule="exact"/>
        <w:rPr>
          <w:sz w:val="20"/>
          <w:szCs w:val="20"/>
          <w:color w:val="auto"/>
        </w:rPr>
      </w:pPr>
    </w:p>
    <w:p>
      <w:pPr>
        <w:ind w:left="2120" w:hanging="654"/>
        <w:spacing w:after="0"/>
        <w:tabs>
          <w:tab w:leader="none" w:pos="21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Company to satisfy all obligations for the payment of such withholding taxes.</w:t>
      </w:r>
    </w:p>
    <w:p>
      <w:pPr>
        <w:spacing w:after="0" w:line="204" w:lineRule="exact"/>
        <w:rPr>
          <w:sz w:val="20"/>
          <w:szCs w:val="20"/>
          <w:color w:val="auto"/>
        </w:rPr>
      </w:pPr>
    </w:p>
    <w:p>
      <w:pPr>
        <w:ind w:left="2120" w:hanging="654"/>
        <w:spacing w:after="0"/>
        <w:tabs>
          <w:tab w:leader="none" w:pos="212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this Award,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this Award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14" w:name="page115"/>
    <w:bookmarkEnd w:id="114"/>
    <w:p>
      <w:pPr>
        <w:spacing w:after="0" w:line="258" w:lineRule="auto"/>
        <w:rPr>
          <w:sz w:val="20"/>
          <w:szCs w:val="20"/>
          <w:color w:val="auto"/>
        </w:rPr>
      </w:pPr>
      <w:r>
        <w:rPr>
          <w:rFonts w:ascii="Times New Roman" w:cs="Times New Roman" w:eastAsia="Times New Roman" w:hAnsi="Times New Roman"/>
          <w:sz w:val="22"/>
          <w:szCs w:val="22"/>
          <w:color w:val="auto"/>
        </w:rPr>
        <w:t>other Federal, state or local law, or the laws of any other country. The Company reserves the right to place restrictions on any Shares the Grantee may receive as a result of the settlement of this Award.</w:t>
      </w:r>
    </w:p>
    <w:p>
      <w:pPr>
        <w:spacing w:after="0" w:line="208" w:lineRule="exact"/>
        <w:rPr>
          <w:sz w:val="20"/>
          <w:szCs w:val="20"/>
          <w:color w:val="auto"/>
        </w:rPr>
      </w:pPr>
    </w:p>
    <w:p>
      <w:pPr>
        <w:ind w:left="2100" w:hanging="634"/>
        <w:spacing w:after="0"/>
        <w:tabs>
          <w:tab w:leader="none" w:pos="210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PRSUs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23" w:lineRule="exact"/>
        <w:rPr>
          <w:sz w:val="20"/>
          <w:szCs w:val="20"/>
          <w:color w:val="auto"/>
        </w:rPr>
      </w:pPr>
    </w:p>
    <w:p>
      <w:pPr>
        <w:ind w:left="2120" w:hanging="654"/>
        <w:spacing w:after="0"/>
        <w:tabs>
          <w:tab w:leader="none" w:pos="212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 w:lineRule="exact"/>
        <w:rPr>
          <w:sz w:val="20"/>
          <w:szCs w:val="20"/>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236"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spacing w:after="0" w:line="27" w:lineRule="exact"/>
        <w:rPr>
          <w:rFonts w:ascii="Times New Roman" w:cs="Times New Roman" w:eastAsia="Times New Roman" w:hAnsi="Times New Roman"/>
          <w:sz w:val="22"/>
          <w:szCs w:val="22"/>
          <w:color w:val="auto"/>
        </w:rPr>
      </w:pPr>
    </w:p>
    <w:p>
      <w:pPr>
        <w:ind w:left="1960" w:right="6720"/>
        <w:spacing w:after="0" w:line="25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1177 Avenue of the Americas New York, New York 10036</w:t>
      </w:r>
    </w:p>
    <w:p>
      <w:pPr>
        <w:spacing w:after="0" w:line="1"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Douglas Friedman, General Counsel</w:t>
      </w:r>
    </w:p>
    <w:p>
      <w:pPr>
        <w:spacing w:after="0" w:line="3"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Douglas.Friedman@tradeweb.com</w:t>
      </w:r>
    </w:p>
    <w:p>
      <w:pPr>
        <w:spacing w:after="0" w:line="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30"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51" w:lineRule="exact"/>
        <w:rPr>
          <w:sz w:val="20"/>
          <w:szCs w:val="20"/>
          <w:color w:val="auto"/>
        </w:rPr>
      </w:pPr>
    </w:p>
    <w:p>
      <w:pPr>
        <w:jc w:val="both"/>
        <w:ind w:firstLine="1304"/>
        <w:spacing w:after="0" w:line="251"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115" w:name="page116"/>
    <w:bookmarkEnd w:id="115"/>
    <w:p>
      <w:pPr>
        <w:jc w:val="both"/>
        <w:ind w:firstLine="1304"/>
        <w:spacing w:after="0" w:line="253"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99" w:lineRule="exact"/>
        <w:rPr>
          <w:sz w:val="20"/>
          <w:szCs w:val="20"/>
          <w:color w:val="auto"/>
        </w:rPr>
      </w:pPr>
    </w:p>
    <w:p>
      <w:pPr>
        <w:ind w:left="2120" w:hanging="654"/>
        <w:spacing w:after="0"/>
        <w:tabs>
          <w:tab w:leader="none" w:pos="212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PRSU that vests and becomes payable upon or in connection with the Grantee’s separation from service shall be delayed and will be payable on the day after the first to occur of (a) the day which is six (6) months following the date of such separation from service, and (b) the date of the Grantee’s death or Disability.</w:t>
      </w:r>
    </w:p>
    <w:p>
      <w:pPr>
        <w:spacing w:after="0" w:line="11" w:lineRule="exact"/>
        <w:rPr>
          <w:sz w:val="20"/>
          <w:szCs w:val="20"/>
          <w:color w:val="auto"/>
        </w:rPr>
      </w:pPr>
    </w:p>
    <w:p>
      <w:pPr>
        <w:ind w:left="2120" w:hanging="654"/>
        <w:spacing w:after="0"/>
        <w:tabs>
          <w:tab w:leader="none" w:pos="21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 w:lineRule="exact"/>
        <w:rPr>
          <w:sz w:val="20"/>
          <w:szCs w:val="20"/>
          <w:color w:val="auto"/>
        </w:rPr>
      </w:pPr>
    </w:p>
    <w:p>
      <w:pPr>
        <w:ind w:left="2120" w:hanging="654"/>
        <w:spacing w:after="0"/>
        <w:tabs>
          <w:tab w:leader="none" w:pos="212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22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16" w:name="page117"/>
    <w:bookmarkEnd w:id="116"/>
    <w:p>
      <w:pPr>
        <w:spacing w:after="0" w:line="221" w:lineRule="exact"/>
        <w:rPr>
          <w:sz w:val="20"/>
          <w:szCs w:val="20"/>
          <w:color w:val="auto"/>
        </w:rPr>
      </w:pPr>
    </w:p>
    <w:p>
      <w:pPr>
        <w:ind w:left="2120" w:hanging="654"/>
        <w:spacing w:after="0"/>
        <w:tabs>
          <w:tab w:leader="none" w:pos="212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81" w:lineRule="exact"/>
        <w:rPr>
          <w:sz w:val="20"/>
          <w:szCs w:val="20"/>
          <w:color w:val="auto"/>
        </w:rPr>
      </w:pPr>
    </w:p>
    <w:p>
      <w:pPr>
        <w:ind w:left="2120" w:hanging="654"/>
        <w:spacing w:after="0"/>
        <w:tabs>
          <w:tab w:leader="none" w:pos="212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 w:lineRule="exact"/>
        <w:rPr>
          <w:sz w:val="20"/>
          <w:szCs w:val="20"/>
          <w:color w:val="auto"/>
        </w:rPr>
      </w:pPr>
    </w:p>
    <w:p>
      <w:pPr>
        <w:ind w:left="2120" w:hanging="654"/>
        <w:spacing w:after="0"/>
        <w:tabs>
          <w:tab w:leader="none" w:pos="212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9" w:lineRule="exact"/>
        <w:rPr>
          <w:sz w:val="20"/>
          <w:szCs w:val="20"/>
          <w:color w:val="auto"/>
        </w:rPr>
      </w:pPr>
    </w:p>
    <w:p>
      <w:pPr>
        <w:ind w:left="2120" w:hanging="654"/>
        <w:spacing w:after="0"/>
        <w:tabs>
          <w:tab w:leader="none" w:pos="21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Recoupment</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Notwithstanding any other provisions in this Award Agreement or any other agreement between the Company and the Grantee to the contrary, this Award Agreement, the PRSUs granted hereunder, the Shares distributed in settlement of such PRSUs and/or the gains realized upon a subsequent sale of such Shares by the Grantee shall be subject to repayment or forfeiture by the Grantee to the Company in accordance with the terms and conditions of the Company’s Omnibus Clawback Policy or any other “clawback” policy or mandatory recoupment policy adopted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Modifier Determination</w:t>
      </w:r>
    </w:p>
    <w:p>
      <w:pPr>
        <w:spacing w:after="0" w:line="26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Performance Modifier will be based on the Company’s performance against two equally weighted metrics (Adjusted EBITDA CAGR and Revenue CAGR (each as defined below)) over the Performance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Performance Modifier will be determined by the Committee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0575" cy="9861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986155"/>
                    </a:xfrm>
                    <a:prstGeom prst="rect">
                      <a:avLst/>
                    </a:prstGeom>
                    <a:noFill/>
                  </pic:spPr>
                </pic:pic>
              </a:graphicData>
            </a:graphic>
          </wp:anchor>
        </w:drawing>
      </w:r>
    </w:p>
    <w:p>
      <w:pPr>
        <w:spacing w:after="0" w:line="290"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20"/>
          <w:szCs w:val="20"/>
          <w:color w:val="auto"/>
        </w:rPr>
        <w:t>Performance Modifier</w:t>
      </w:r>
    </w:p>
    <w:p>
      <w:pPr>
        <w:spacing w:after="0" w:line="256"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Adjusted</w:t>
            </w: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EBITDA</w:t>
            </w: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Revenue</w:t>
            </w:r>
          </w:p>
        </w:tc>
        <w:tc>
          <w:tcPr>
            <w:tcW w:w="6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Modifier   (as</w:t>
            </w: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Modifier   (as</w:t>
            </w:r>
          </w:p>
        </w:tc>
        <w:tc>
          <w:tcPr>
            <w:tcW w:w="6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defined below)</w:t>
            </w:r>
          </w:p>
        </w:tc>
        <w:tc>
          <w:tcPr>
            <w:tcW w:w="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x</w:t>
            </w:r>
          </w:p>
        </w:tc>
        <w:tc>
          <w:tcPr>
            <w:tcW w:w="9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0.5</w:t>
            </w:r>
          </w:p>
        </w:tc>
        <w:tc>
          <w:tcPr>
            <w:tcW w:w="940" w:type="dxa"/>
            <w:vAlign w:val="bottom"/>
          </w:tcPr>
          <w:p>
            <w:pPr>
              <w:spacing w:after="0"/>
              <w:rPr>
                <w:sz w:val="22"/>
                <w:szCs w:val="22"/>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defined below)</w:t>
            </w:r>
          </w:p>
        </w:tc>
        <w:tc>
          <w:tcPr>
            <w:tcW w:w="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x</w:t>
            </w:r>
          </w:p>
        </w:tc>
        <w:tc>
          <w:tcPr>
            <w:tcW w:w="170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rPr>
              <w:t>0.5</w:t>
            </w:r>
          </w:p>
        </w:tc>
      </w:tr>
    </w:tbl>
    <w:p>
      <w:pPr>
        <w:spacing w:after="0" w:line="36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In no event will the Performance Modifier exceed 250%. Notwithstanding the foregoing, if a Change in Control occurs prior to the Committee’s determination of the Performance Modifier, the Performance Modifier will be deemed to be 100%.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Award Agreement, the following terms have the following meanings:</w:t>
      </w:r>
    </w:p>
    <w:p>
      <w:pPr>
        <w:spacing w:after="0" w:line="21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0"/>
          <w:szCs w:val="20"/>
          <w:color w:val="auto"/>
        </w:rPr>
        <w:t>” means Adjusted EBITDA, as publicly reported by the Company in its periodic filings, adjusted to reflect the constant currency basis used for management reporting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 CAGR</w:t>
      </w:r>
      <w:r>
        <w:rPr>
          <w:rFonts w:ascii="Times New Roman" w:cs="Times New Roman" w:eastAsia="Times New Roman" w:hAnsi="Times New Roman"/>
          <w:sz w:val="20"/>
          <w:szCs w:val="20"/>
          <w:color w:val="auto"/>
        </w:rPr>
        <w:t>” means the compound annual growth rate of Adjusted EBITDA over the Performance Period.</w:t>
      </w:r>
    </w:p>
    <w:p>
      <w:pPr>
        <w:spacing w:after="0" w:line="2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 Modifier</w:t>
      </w:r>
      <w:r>
        <w:rPr>
          <w:rFonts w:ascii="Times New Roman" w:cs="Times New Roman" w:eastAsia="Times New Roman" w:hAnsi="Times New Roman"/>
          <w:sz w:val="20"/>
          <w:szCs w:val="20"/>
          <w:color w:val="auto"/>
        </w:rPr>
        <w:t xml:space="preserve">” means the percentage in the table below that corresponds to the Adjusted EBITDA CAGR, as determined by the Committee: </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ind w:right="940"/>
        <w:spacing w:after="0" w:line="233" w:lineRule="auto"/>
        <w:rPr>
          <w:sz w:val="20"/>
          <w:szCs w:val="20"/>
          <w:color w:val="auto"/>
        </w:rPr>
      </w:pPr>
      <w:r>
        <w:rPr>
          <w:rFonts w:ascii="Times New Roman" w:cs="Times New Roman" w:eastAsia="Times New Roman" w:hAnsi="Times New Roman"/>
          <w:sz w:val="20"/>
          <w:szCs w:val="20"/>
          <w:color w:val="auto"/>
        </w:rPr>
        <w:t>The Adjusted EBITDA Modifier for performance between the levels set forth in the table above will be determined through linear interpolation.</w:t>
      </w:r>
    </w:p>
    <w:p>
      <w:pPr>
        <w:spacing w:after="0" w:line="17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0"/>
          <w:szCs w:val="20"/>
          <w:color w:val="auto"/>
        </w:rPr>
        <w:t>” means total revenue of the Company as publicly reported by the Company in its periodic filings, adjusted to reflect the constant currency basis used for management reporting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CAGR</w:t>
      </w:r>
      <w:r>
        <w:rPr>
          <w:rFonts w:ascii="Times New Roman" w:cs="Times New Roman" w:eastAsia="Times New Roman" w:hAnsi="Times New Roman"/>
          <w:sz w:val="20"/>
          <w:szCs w:val="20"/>
          <w:color w:val="auto"/>
        </w:rPr>
        <w:t>” means the compound annual growth rate of Revenue over the Performance Period.</w:t>
      </w:r>
    </w:p>
    <w:p>
      <w:pPr>
        <w:spacing w:after="0" w:line="229"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Modifier</w:t>
      </w:r>
      <w:r>
        <w:rPr>
          <w:rFonts w:ascii="Times New Roman" w:cs="Times New Roman" w:eastAsia="Times New Roman" w:hAnsi="Times New Roman"/>
          <w:sz w:val="20"/>
          <w:szCs w:val="20"/>
          <w:color w:val="auto"/>
        </w:rPr>
        <w:t xml:space="preserve">” means the percentage in the table below that corresponds to the Revenue CAGR over the Performance Period, as determined by the Committee: </w:t>
      </w:r>
      <w:r>
        <w:rPr>
          <w:rFonts w:ascii="Times New Roman" w:cs="Times New Roman" w:eastAsia="Times New Roman" w:hAnsi="Times New Roman"/>
          <w:sz w:val="20"/>
          <w:szCs w:val="20"/>
          <w:b w:val="1"/>
          <w:bCs w:val="1"/>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Revenue Modifier for performance between the levels set forth in the table above will be determined through linear interpolation.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 NOTICE OF GRANT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Delaware corporation, hereby grants to the Grantee set forth below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pursuant to the terms and conditions of this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 Tradeweb Markets Inc. 2019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5 of the Award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10972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40"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Name of Grantee:</w:t>
      </w:r>
      <w:r>
        <w:rPr>
          <w:sz w:val="20"/>
          <w:szCs w:val="20"/>
          <w:color w:val="auto"/>
        </w:rPr>
        <w:tab/>
      </w:r>
      <w:r>
        <w:rPr>
          <w:rFonts w:ascii="Times New Roman" w:cs="Times New Roman" w:eastAsia="Times New Roman" w:hAnsi="Times New Roman"/>
          <w:sz w:val="21"/>
          <w:szCs w:val="21"/>
          <w:color w:val="auto"/>
        </w:rPr>
        <w:t>William Hult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-29210</wp:posOffset>
            </wp:positionV>
            <wp:extent cx="10972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9" w:lineRule="exact"/>
        <w:rPr>
          <w:sz w:val="20"/>
          <w:szCs w:val="20"/>
          <w:color w:val="auto"/>
        </w:rPr>
      </w:pPr>
    </w:p>
    <w:p>
      <w:pPr>
        <w:ind w:left="960" w:right="860" w:hanging="2348"/>
        <w:spacing w:after="0" w:line="271" w:lineRule="auto"/>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2"/>
          <w:szCs w:val="22"/>
          <w:color w:val="auto"/>
        </w:rPr>
        <w:t>The Restricted Stock Units shall vest pursuant to the terms and conditions set forth in Section 3 of the Award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-11430</wp:posOffset>
            </wp:positionV>
            <wp:extent cx="10972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Restricted Stock Units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22" w:right="559" w:bottom="1440" w:gutter="0" w:footer="0" w:header="0"/>
        </w:sectPr>
      </w:pPr>
    </w:p>
    <w:p>
      <w:pPr>
        <w:spacing w:after="0" w:line="2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William Hult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[Signature Page to Notice of Restricted Stock Unit Grant for Tradeweb Markets Inc. 2019 Omnibus Equity Incentive Plan]</w:t>
      </w:r>
    </w:p>
    <w:p>
      <w:pPr>
        <w:sectPr>
          <w:pgSz w:w="11900" w:h="16838" w:orient="portrait"/>
          <w:cols w:equalWidth="0" w:num="1">
            <w:col w:w="10360"/>
          </w:cols>
          <w:pgMar w:left="980" w:top="1422" w:right="559" w:bottom="144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among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204" w:lineRule="exact"/>
        <w:rPr>
          <w:sz w:val="20"/>
          <w:szCs w:val="20"/>
          <w:color w:val="auto"/>
        </w:rPr>
      </w:pPr>
    </w:p>
    <w:p>
      <w:pPr>
        <w:ind w:left="2120" w:hanging="654"/>
        <w:spacing w:after="0"/>
        <w:tabs>
          <w:tab w:leader="none" w:pos="212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190" w:lineRule="exact"/>
        <w:rPr>
          <w:sz w:val="20"/>
          <w:szCs w:val="20"/>
          <w:color w:val="auto"/>
        </w:rPr>
      </w:pPr>
    </w:p>
    <w:p>
      <w:pPr>
        <w:ind w:left="2120" w:hanging="654"/>
        <w:spacing w:after="0"/>
        <w:tabs>
          <w:tab w:leader="none" w:pos="212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Restricted Stock Units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remain in effect until the Restricted Stock Units have fully vested and been settled or been forfeited by the Grantee as provided in this Award Agreement.</w:t>
      </w:r>
    </w:p>
    <w:p>
      <w:pPr>
        <w:spacing w:after="0" w:line="194" w:lineRule="exact"/>
        <w:rPr>
          <w:sz w:val="20"/>
          <w:szCs w:val="20"/>
          <w:color w:val="auto"/>
        </w:rPr>
      </w:pPr>
    </w:p>
    <w:p>
      <w:pPr>
        <w:ind w:left="2120" w:hanging="654"/>
        <w:spacing w:after="0"/>
        <w:tabs>
          <w:tab w:leader="none" w:pos="2120" w:val="left"/>
        </w:tabs>
        <w:numPr>
          <w:ilvl w:val="2"/>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Restricted Stock Units</w:t>
      </w:r>
    </w:p>
    <w:p>
      <w:pPr>
        <w:spacing w:after="0" w:line="31" w:lineRule="exact"/>
        <w:rPr>
          <w:rFonts w:ascii="Times New Roman" w:cs="Times New Roman" w:eastAsia="Times New Roman" w:hAnsi="Times New Roman"/>
          <w:sz w:val="22"/>
          <w:szCs w:val="22"/>
          <w:b w:val="1"/>
          <w:bCs w:val="1"/>
          <w:color w:val="auto"/>
        </w:rPr>
      </w:pPr>
    </w:p>
    <w:p>
      <w:pPr>
        <w:jc w:val="both"/>
        <w:ind w:firstLine="1304"/>
        <w:spacing w:after="0" w:line="245" w:lineRule="auto"/>
        <w:tabs>
          <w:tab w:leader="none" w:pos="1941"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Subject to the Grantee’s not having Terminated, except as specifically provided herein or in the Plan, one-third (1/3) of the Restricted Stock Units shall vest on each of the first, second, and third anniversaries of the Vesting Start Date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 not having Terminated prior to such anniversary.</w:t>
      </w:r>
    </w:p>
    <w:p>
      <w:pPr>
        <w:spacing w:after="0" w:line="213" w:lineRule="exact"/>
        <w:rPr>
          <w:rFonts w:ascii="Times New Roman" w:cs="Times New Roman" w:eastAsia="Times New Roman" w:hAnsi="Times New Roman"/>
          <w:sz w:val="22"/>
          <w:szCs w:val="22"/>
          <w:color w:val="auto"/>
        </w:rPr>
      </w:pPr>
    </w:p>
    <w:p>
      <w:pPr>
        <w:jc w:val="both"/>
        <w:ind w:firstLine="1223"/>
        <w:spacing w:after="0" w:line="251" w:lineRule="auto"/>
        <w:tabs>
          <w:tab w:leader="none" w:pos="193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in the event of a Change in Control, the portion of the Award that has not vested as of the date of the Change in Control shall become fully vested as of the date of the Change in Control, subject to the Grantee not having Terminated prior to the closing of such Change in Control. For the avoidance of doubt, this accelerated vesting (other than in the case of a Qualified Change in Control as described in Section 5 below) shall not change the Settlement Date as set forth in Section 5 below, and the Award will continue to be settled following the originally scheduled Vesting Dates.</w:t>
      </w:r>
    </w:p>
    <w:p>
      <w:pPr>
        <w:sectPr>
          <w:pgSz w:w="11900" w:h="16838" w:orient="portrait"/>
          <w:cols w:equalWidth="0" w:num="1">
            <w:col w:w="11240"/>
          </w:cols>
          <w:pgMar w:left="320" w:top="1418" w:right="339" w:bottom="1440" w:gutter="0" w:footer="0" w:header="0"/>
        </w:sectPr>
      </w:pPr>
    </w:p>
    <w:bookmarkStart w:id="121" w:name="page122"/>
    <w:bookmarkEnd w:id="121"/>
    <w:p>
      <w:pPr>
        <w:ind w:left="1940" w:hanging="717"/>
        <w:spacing w:after="0"/>
        <w:tabs>
          <w:tab w:leader="none" w:pos="194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3"/>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Except as set forth in Section 3(c)(ii) and 3(c)(iii) below, if the Grantee incurs a Termination for any reason, whether voluntarily or involuntarily, then the portion of the Restricted Stock Units that have not previously vested shall terminate as of the date of the Grantee’s Termination.</w:t>
      </w:r>
    </w:p>
    <w:p>
      <w:pPr>
        <w:spacing w:after="0" w:line="194" w:lineRule="exact"/>
        <w:rPr>
          <w:rFonts w:ascii="Times New Roman" w:cs="Times New Roman" w:eastAsia="Times New Roman" w:hAnsi="Times New Roman"/>
          <w:sz w:val="22"/>
          <w:szCs w:val="22"/>
          <w:color w:val="auto"/>
        </w:rPr>
      </w:pPr>
    </w:p>
    <w:p>
      <w:pPr>
        <w:jc w:val="both"/>
        <w:ind w:firstLine="1952"/>
        <w:spacing w:after="0" w:line="266" w:lineRule="auto"/>
        <w:tabs>
          <w:tab w:leader="none" w:pos="2586" w:val="left"/>
        </w:tabs>
        <w:numPr>
          <w:ilvl w:val="3"/>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Resignation for Good Reason</w:t>
      </w:r>
      <w:r>
        <w:rPr>
          <w:rFonts w:ascii="Times New Roman" w:cs="Times New Roman" w:eastAsia="Times New Roman" w:hAnsi="Times New Roman"/>
          <w:sz w:val="21"/>
          <w:szCs w:val="21"/>
          <w:color w:val="auto"/>
        </w:rPr>
        <w:t>. If the Grantee is Terminated (i) by the Company without Cause, (ii) as a result of the Company’s nonrenewal of the Term (as defined in his employment agreement), or</w:t>
      </w:r>
    </w:p>
    <w:p>
      <w:pPr>
        <w:spacing w:after="0" w:line="1" w:lineRule="exact"/>
        <w:rPr>
          <w:rFonts w:ascii="Times New Roman" w:cs="Times New Roman" w:eastAsia="Times New Roman" w:hAnsi="Times New Roman"/>
          <w:sz w:val="21"/>
          <w:szCs w:val="21"/>
          <w:color w:val="auto"/>
        </w:rPr>
      </w:pPr>
    </w:p>
    <w:p>
      <w:pPr>
        <w:jc w:val="both"/>
        <w:ind w:firstLine="8"/>
        <w:spacing w:after="0" w:line="259" w:lineRule="auto"/>
        <w:tabs>
          <w:tab w:leader="none" w:pos="382"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Grantee’s resignation for Good Reason (as defined in his employment agreement), the portion of the Award that has not vested as of the date of the Termination shall become fully vested as of the date of the Termination. For the avoidance of doubt, this accelerated vesting shall not change the Settlement Date as set forth in Section 5 below, and the Award will continue to be settled following the originally scheduled Vesting Dates. In addition</w:t>
      </w:r>
      <w:r>
        <w:rPr>
          <w:rFonts w:ascii="Times New Roman" w:cs="Times New Roman" w:eastAsia="Times New Roman" w:hAnsi="Times New Roman"/>
          <w:sz w:val="16"/>
          <w:szCs w:val="16"/>
          <w:color w:val="auto"/>
        </w:rPr>
        <w:t>, i</w:t>
      </w:r>
      <w:r>
        <w:rPr>
          <w:rFonts w:ascii="Times New Roman" w:cs="Times New Roman" w:eastAsia="Times New Roman" w:hAnsi="Times New Roman"/>
          <w:sz w:val="21"/>
          <w:szCs w:val="21"/>
          <w:color w:val="auto"/>
        </w:rPr>
        <w:t>f within 180 days following any termination of the Grantee’s employment (whether voluntary or involuntary), the Company discovers that the Grantee engaged in 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Grantee) at the time of termination, then the Company may provide the Grantee with written notice, including the facts establishing that the Grantee’s conduct was not known at the time of the termination, in which case the Grantee’s termination of employment will be considered a for-Cause termination under this Award Agreement, and the Company may cancel any Shares received by the Grantee hereunder.</w:t>
      </w:r>
    </w:p>
    <w:p>
      <w:pPr>
        <w:spacing w:after="0" w:line="200" w:lineRule="exact"/>
        <w:rPr>
          <w:rFonts w:ascii="Times New Roman" w:cs="Times New Roman" w:eastAsia="Times New Roman" w:hAnsi="Times New Roman"/>
          <w:sz w:val="21"/>
          <w:szCs w:val="21"/>
          <w:color w:val="auto"/>
        </w:rPr>
      </w:pPr>
    </w:p>
    <w:p>
      <w:pPr>
        <w:jc w:val="both"/>
        <w:ind w:firstLine="1952"/>
        <w:spacing w:after="0" w:line="248" w:lineRule="auto"/>
        <w:tabs>
          <w:tab w:leader="none" w:pos="2592" w:val="left"/>
        </w:tabs>
        <w:numPr>
          <w:ilvl w:val="3"/>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 Retirement</w:t>
      </w:r>
      <w:r>
        <w:rPr>
          <w:rFonts w:ascii="Times New Roman" w:cs="Times New Roman" w:eastAsia="Times New Roman" w:hAnsi="Times New Roman"/>
          <w:sz w:val="22"/>
          <w:szCs w:val="22"/>
          <w:color w:val="auto"/>
        </w:rPr>
        <w:t>. If the Grantee incurs a Termination (i) due to death or Disability, or (ii) due to his or her Retirement (as defined below), the portion of the Grantee’s Restricted Stock Units that have not previously vested shall continue to vest following the date of the Grantee’s death or Termination in accordance with the vesting schedule described in Section 3(a) hereof, and will continue to be settled in accordance with Section 5 below.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2"/>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Restricted Stock Units granted hereunder will accumulate dividend equivalent rights in respect of any dividends paid on Shares (on a one Share to one Restricted Stock Unit basis) from the Date of Grant through each Vesting Date. To the extent the Restricted Stock Units that gave rise to any dividend equivalent rights are forfeited pursuant to this Award Agreement or the Plan, those dividend equivalent rights will also be forfeited. The aggregate dollar amount of dividend</w:t>
      </w:r>
    </w:p>
    <w:p>
      <w:pPr>
        <w:sectPr>
          <w:pgSz w:w="11900" w:h="16838" w:orient="portrait"/>
          <w:cols w:equalWidth="0" w:num="1">
            <w:col w:w="11240"/>
          </w:cols>
          <w:pgMar w:left="320" w:top="1422" w:right="339" w:bottom="1440" w:gutter="0" w:footer="0" w:header="0"/>
        </w:sectPr>
      </w:pPr>
    </w:p>
    <w:bookmarkStart w:id="122" w:name="page123"/>
    <w:bookmarkEnd w:id="122"/>
    <w:p>
      <w:pPr>
        <w:spacing w:after="0" w:line="271" w:lineRule="auto"/>
        <w:rPr>
          <w:sz w:val="20"/>
          <w:szCs w:val="20"/>
          <w:color w:val="auto"/>
        </w:rPr>
      </w:pPr>
      <w:r>
        <w:rPr>
          <w:rFonts w:ascii="Times New Roman" w:cs="Times New Roman" w:eastAsia="Times New Roman" w:hAnsi="Times New Roman"/>
          <w:sz w:val="22"/>
          <w:szCs w:val="22"/>
          <w:color w:val="auto"/>
        </w:rPr>
        <w:t>equivalent rights accumulated under this Section 4 and not forfeited shall be added to, and be settled at the same time as the related Restricted Stock Units pursuant to Section 5 below.</w:t>
      </w:r>
    </w:p>
    <w:p>
      <w:pPr>
        <w:spacing w:after="0" w:line="181" w:lineRule="exact"/>
        <w:rPr>
          <w:sz w:val="20"/>
          <w:szCs w:val="20"/>
          <w:color w:val="auto"/>
        </w:rPr>
      </w:pPr>
    </w:p>
    <w:p>
      <w:pPr>
        <w:ind w:left="2120" w:hanging="654"/>
        <w:spacing w:after="0"/>
        <w:tabs>
          <w:tab w:leader="none" w:pos="212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Restricted Stock Units</w:t>
      </w: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Award Agreement shall entitle the Grantee to receive one (1) Share in settlement of each vested Restricted Stock Unit on the first trading date following the applicable Vesting Date (each such date,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xml:space="preserve">”), less a number of Shares having an aggregate Fair Market Value equal to the withholding and employment taxes associated with the settlement of the Restricted Stock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“Qualified Change in Control” (as defined below) occurs prior to the settlement of any Restricted Stock Unit, settlement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1"/>
          <w:szCs w:val="21"/>
          <w:u w:val="single" w:color="auto"/>
          <w:color w:val="auto"/>
        </w:rPr>
        <w:t>Qualified Change in Control</w:t>
      </w:r>
      <w:r>
        <w:rPr>
          <w:rFonts w:ascii="Times New Roman" w:cs="Times New Roman" w:eastAsia="Times New Roman" w:hAnsi="Times New Roman"/>
          <w:sz w:val="21"/>
          <w:szCs w:val="21"/>
          <w:color w:val="auto"/>
        </w:rPr>
        <w:t>” is a Change in Control that also constitutes a change of ownership or effective control of, or in the ownership of a substantial portion of the assets of, the Company for purposes of Code Section 409A. In addition, the Company shall deliver to the Grantee on the Settlement Date a number of Shares having an aggregate Fair Market Value on the Settlement Date equal to any dividend equivalent rights accrued pursuant to Section 4 hereof in respect of the Restricted Stock Units to be settled on the Settlement Date, less a number of Shares having an aggregate Fair Market Value equal to the withholding and employment taxes associated with the settlement of such dividend equivalent rights.</w:t>
      </w:r>
    </w:p>
    <w:p>
      <w:pPr>
        <w:spacing w:after="0" w:line="193" w:lineRule="exact"/>
        <w:rPr>
          <w:sz w:val="20"/>
          <w:szCs w:val="20"/>
          <w:color w:val="auto"/>
        </w:rPr>
      </w:pPr>
    </w:p>
    <w:p>
      <w:pPr>
        <w:ind w:left="2120" w:hanging="654"/>
        <w:spacing w:after="0"/>
        <w:tabs>
          <w:tab w:leader="none" w:pos="21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Restrictive Covenants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209" w:lineRule="exact"/>
        <w:rPr>
          <w:sz w:val="20"/>
          <w:szCs w:val="20"/>
          <w:color w:val="auto"/>
        </w:rPr>
      </w:pPr>
    </w:p>
    <w:p>
      <w:pPr>
        <w:ind w:left="2120" w:hanging="654"/>
        <w:spacing w:after="0"/>
        <w:tabs>
          <w:tab w:leader="none" w:pos="2120" w:val="left"/>
        </w:tabs>
        <w:numPr>
          <w:ilvl w:val="1"/>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the Restricted Stock Units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08"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39"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Terminate Restricted Stock Units and Recovery</w:t>
      </w:r>
      <w:r>
        <w:rPr>
          <w:rFonts w:ascii="Times New Roman" w:cs="Times New Roman" w:eastAsia="Times New Roman" w:hAnsi="Times New Roman"/>
          <w:sz w:val="21"/>
          <w:szCs w:val="21"/>
          <w:color w:val="auto"/>
        </w:rPr>
        <w:t>. The Grantee understands and agrees that the Company has granted the Restricted Stock Units to the Grantee to reward the Grantee for the Grantee’s future efforts and loyalty to the Company and its Affiliates by giving the Grantee the opportunity to participate in the potential future appreciation</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49" w:lineRule="auto"/>
        <w:rPr>
          <w:sz w:val="20"/>
          <w:szCs w:val="20"/>
          <w:color w:val="auto"/>
        </w:rPr>
      </w:pPr>
      <w:r>
        <w:rPr>
          <w:rFonts w:ascii="Times New Roman" w:cs="Times New Roman" w:eastAsia="Times New Roman" w:hAnsi="Times New Roman"/>
          <w:sz w:val="22"/>
          <w:szCs w:val="22"/>
          <w:color w:val="auto"/>
        </w:rPr>
        <w:t>of the Company. Accordingly, if (i) the Grantee materially breaches or violates the Grantee’s obligations under any Restrictive Agreement,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22" w:lineRule="exact"/>
        <w:rPr>
          <w:sz w:val="20"/>
          <w:szCs w:val="20"/>
          <w:color w:val="auto"/>
        </w:rPr>
      </w:pPr>
    </w:p>
    <w:p>
      <w:pPr>
        <w:jc w:val="both"/>
        <w:ind w:firstLine="1304"/>
        <w:spacing w:after="0" w:line="250" w:lineRule="auto"/>
        <w:tabs>
          <w:tab w:leader="none" w:pos="19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03"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196" w:lineRule="exact"/>
        <w:rPr>
          <w:sz w:val="20"/>
          <w:szCs w:val="20"/>
          <w:color w:val="auto"/>
        </w:rPr>
      </w:pPr>
    </w:p>
    <w:p>
      <w:pPr>
        <w:ind w:left="2120" w:hanging="654"/>
        <w:spacing w:after="0"/>
        <w:tabs>
          <w:tab w:leader="none" w:pos="212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Restricted Stock Units, or any payment or transfer under, or with respect to, the Restricted Stock Units and to take such other action as may be necessary in the reasonable opinion of the Company to satisfy all obligations for the payment of such withholding taxes.</w:t>
      </w:r>
    </w:p>
    <w:p>
      <w:pPr>
        <w:spacing w:after="0" w:line="218" w:lineRule="exact"/>
        <w:rPr>
          <w:sz w:val="20"/>
          <w:szCs w:val="20"/>
          <w:color w:val="auto"/>
        </w:rPr>
      </w:pPr>
    </w:p>
    <w:p>
      <w:pPr>
        <w:ind w:left="2120" w:hanging="654"/>
        <w:spacing w:after="0"/>
        <w:tabs>
          <w:tab w:leader="none" w:pos="2120"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the Restricted Stock Units,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the Restricted Stock Units in any way which would: (a) require the Company to file any registration statement with the Securities and Exchange Commission (or any similar filing under state law or the laws of any other county) or to amend or supplement any</w:t>
      </w:r>
    </w:p>
    <w:p>
      <w:pPr>
        <w:sectPr>
          <w:pgSz w:w="11900" w:h="16838" w:orient="portrait"/>
          <w:cols w:equalWidth="0" w:num="1">
            <w:col w:w="11240"/>
          </w:cols>
          <w:pgMar w:left="320" w:top="1422"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22"/>
          <w:szCs w:val="22"/>
          <w:color w:val="auto"/>
        </w:rPr>
        <w:t>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199" w:lineRule="exact"/>
        <w:rPr>
          <w:sz w:val="20"/>
          <w:szCs w:val="20"/>
          <w:color w:val="auto"/>
        </w:rPr>
      </w:pPr>
    </w:p>
    <w:p>
      <w:pPr>
        <w:ind w:left="2100" w:hanging="634"/>
        <w:spacing w:after="0"/>
        <w:tabs>
          <w:tab w:leader="none" w:pos="210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Restricted Stock Units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99" w:lineRule="exact"/>
        <w:rPr>
          <w:sz w:val="20"/>
          <w:szCs w:val="20"/>
          <w:color w:val="auto"/>
        </w:rPr>
      </w:pPr>
    </w:p>
    <w:p>
      <w:pPr>
        <w:ind w:left="2120" w:hanging="654"/>
        <w:spacing w:after="0"/>
        <w:tabs>
          <w:tab w:leader="none" w:pos="212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3" w:lineRule="exact"/>
        <w:rPr>
          <w:sz w:val="20"/>
          <w:szCs w:val="20"/>
          <w:color w:val="auto"/>
        </w:rPr>
      </w:pPr>
    </w:p>
    <w:p>
      <w:pPr>
        <w:ind w:left="1740" w:hanging="436"/>
        <w:spacing w:after="0"/>
        <w:tabs>
          <w:tab w:leader="none" w:pos="17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25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Douglas Friedman, General Counsel</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Douglas.Friedman@tradeweb.com</w:t>
      </w:r>
    </w:p>
    <w:p>
      <w:pPr>
        <w:spacing w:after="0" w:line="4" w:lineRule="exact"/>
        <w:rPr>
          <w:sz w:val="20"/>
          <w:szCs w:val="20"/>
          <w:color w:val="auto"/>
        </w:rPr>
      </w:pPr>
    </w:p>
    <w:p>
      <w:pPr>
        <w:ind w:left="1800" w:hanging="496"/>
        <w:spacing w:after="0"/>
        <w:tabs>
          <w:tab w:leader="none" w:pos="18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4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51" w:lineRule="exact"/>
        <w:rPr>
          <w:sz w:val="20"/>
          <w:szCs w:val="20"/>
          <w:color w:val="auto"/>
        </w:rPr>
      </w:pPr>
    </w:p>
    <w:p>
      <w:pPr>
        <w:jc w:val="both"/>
        <w:ind w:firstLine="1304"/>
        <w:spacing w:after="0" w:line="252" w:lineRule="auto"/>
        <w:tabs>
          <w:tab w:leader="none" w:pos="194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w:t>
      </w:r>
    </w:p>
    <w:p>
      <w:pPr>
        <w:sectPr>
          <w:pgSz w:w="11900" w:h="16838" w:orient="portrait"/>
          <w:cols w:equalWidth="0" w:num="1">
            <w:col w:w="11240"/>
          </w:cols>
          <w:pgMar w:left="320" w:top="1422" w:right="339" w:bottom="1440" w:gutter="0" w:footer="0" w:header="0"/>
        </w:sectPr>
      </w:pPr>
    </w:p>
    <w:bookmarkStart w:id="125" w:name="page126"/>
    <w:bookmarkEnd w:id="125"/>
    <w:p>
      <w:pPr>
        <w:ind w:right="20"/>
        <w:spacing w:after="0" w:line="295" w:lineRule="auto"/>
        <w:rPr>
          <w:sz w:val="20"/>
          <w:szCs w:val="20"/>
          <w:color w:val="auto"/>
        </w:rPr>
      </w:pPr>
      <w:r>
        <w:rPr>
          <w:rFonts w:ascii="Times New Roman" w:cs="Times New Roman" w:eastAsia="Times New Roman" w:hAnsi="Times New Roman"/>
          <w:sz w:val="21"/>
          <w:szCs w:val="21"/>
          <w:color w:val="auto"/>
        </w:rPr>
        <w:t>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162" w:lineRule="exact"/>
        <w:rPr>
          <w:sz w:val="20"/>
          <w:szCs w:val="20"/>
          <w:color w:val="auto"/>
        </w:rPr>
      </w:pPr>
    </w:p>
    <w:p>
      <w:pPr>
        <w:jc w:val="both"/>
        <w:ind w:firstLine="1304"/>
        <w:spacing w:after="0" w:line="253" w:lineRule="auto"/>
        <w:tabs>
          <w:tab w:leader="none" w:pos="193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99" w:lineRule="exact"/>
        <w:rPr>
          <w:sz w:val="20"/>
          <w:szCs w:val="20"/>
          <w:color w:val="auto"/>
        </w:rPr>
      </w:pPr>
    </w:p>
    <w:p>
      <w:pPr>
        <w:ind w:left="2120" w:hanging="654"/>
        <w:spacing w:after="0"/>
        <w:tabs>
          <w:tab w:leader="none" w:pos="212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Restricted Stock Units are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Restricted Stock Unit that vests and becomes payable upon or in connection with the Grantee’s separation from service shall be delayed and will be payable on the day after the first to occur of (a) the day which is six (6) months following the date of such separation from service, and (b) the date of the Grantee’s death or Disability.</w:t>
      </w:r>
    </w:p>
    <w:p>
      <w:pPr>
        <w:spacing w:after="0" w:line="4" w:lineRule="exact"/>
        <w:rPr>
          <w:sz w:val="20"/>
          <w:szCs w:val="20"/>
          <w:color w:val="auto"/>
        </w:rPr>
      </w:pPr>
    </w:p>
    <w:p>
      <w:pPr>
        <w:ind w:left="2120" w:hanging="654"/>
        <w:spacing w:after="0"/>
        <w:tabs>
          <w:tab w:leader="none" w:pos="21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2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ectPr>
          <w:pgSz w:w="11900" w:h="16838" w:orient="portrait"/>
          <w:cols w:equalWidth="0" w:num="1">
            <w:col w:w="11240"/>
          </w:cols>
          <w:pgMar w:left="320" w:top="1422" w:right="339" w:bottom="1440" w:gutter="0" w:footer="0" w:header="0"/>
        </w:sectPr>
      </w:pPr>
    </w:p>
    <w:bookmarkStart w:id="126" w:name="page127"/>
    <w:bookmarkEnd w:id="126"/>
    <w:p>
      <w:pPr>
        <w:ind w:left="2120" w:hanging="654"/>
        <w:spacing w:after="0"/>
        <w:tabs>
          <w:tab w:leader="none" w:pos="212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202" w:lineRule="exact"/>
        <w:rPr>
          <w:sz w:val="20"/>
          <w:szCs w:val="20"/>
          <w:color w:val="auto"/>
        </w:rPr>
      </w:pPr>
    </w:p>
    <w:p>
      <w:pPr>
        <w:ind w:left="2120" w:hanging="654"/>
        <w:spacing w:after="0"/>
        <w:tabs>
          <w:tab w:leader="none" w:pos="212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5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67" w:lineRule="exact"/>
        <w:rPr>
          <w:sz w:val="20"/>
          <w:szCs w:val="20"/>
          <w:color w:val="auto"/>
        </w:rPr>
      </w:pPr>
    </w:p>
    <w:p>
      <w:pPr>
        <w:ind w:left="2120" w:hanging="654"/>
        <w:spacing w:after="0"/>
        <w:tabs>
          <w:tab w:leader="none" w:pos="21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3" w:lineRule="exact"/>
        <w:rPr>
          <w:sz w:val="20"/>
          <w:szCs w:val="20"/>
          <w:color w:val="auto"/>
        </w:rPr>
      </w:pPr>
    </w:p>
    <w:p>
      <w:pPr>
        <w:ind w:left="2120" w:hanging="654"/>
        <w:spacing w:after="0"/>
        <w:tabs>
          <w:tab w:leader="none" w:pos="2120"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ectPr>
          <w:pgSz w:w="11900" w:h="16838" w:orient="portrait"/>
          <w:cols w:equalWidth="0" w:num="1">
            <w:col w:w="11240"/>
          </w:cols>
          <w:pgMar w:left="320" w:top="141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 NOTICE OF GRANT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Delaware corporation, hereby grants to the Grantee set forth below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pursuant to the terms and conditions of this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 Tradeweb Markets Inc. 2019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5 of the Award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6858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-11430</wp:posOffset>
            </wp:positionV>
            <wp:extent cx="6858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-29210</wp:posOffset>
            </wp:positionV>
            <wp:extent cx="6858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99" w:lineRule="exact"/>
        <w:rPr>
          <w:sz w:val="20"/>
          <w:szCs w:val="20"/>
          <w:color w:val="auto"/>
        </w:rPr>
      </w:pPr>
    </w:p>
    <w:p>
      <w:pPr>
        <w:ind w:left="960" w:right="860" w:hanging="2348"/>
        <w:spacing w:after="0" w:line="271" w:lineRule="auto"/>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2"/>
          <w:szCs w:val="22"/>
          <w:color w:val="auto"/>
        </w:rPr>
        <w:t>The Restricted Stock Units shall vest pursuant to the terms and conditions set forth in Section 3 of the Award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-11430</wp:posOffset>
            </wp:positionV>
            <wp:extent cx="6858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Restricted Stock Units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22" w:right="559" w:bottom="1440" w:gutter="0" w:footer="0" w:header="0"/>
        </w:sectPr>
      </w:pPr>
    </w:p>
    <w:p>
      <w:pPr>
        <w:spacing w:after="0" w:line="2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3086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[Signature Page to Notice of Restricted Stock Unit Grant for Tradeweb Markets Inc. 2019 Omnibus Equity Incentive Plan]</w:t>
      </w:r>
    </w:p>
    <w:p>
      <w:pPr>
        <w:sectPr>
          <w:pgSz w:w="11900" w:h="16838" w:orient="portrait"/>
          <w:cols w:equalWidth="0" w:num="1">
            <w:col w:w="10360"/>
          </w:cols>
          <w:pgMar w:left="980" w:top="1422" w:right="559" w:bottom="144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2024)</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among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204" w:lineRule="exact"/>
        <w:rPr>
          <w:sz w:val="20"/>
          <w:szCs w:val="20"/>
          <w:color w:val="auto"/>
        </w:rPr>
      </w:pPr>
    </w:p>
    <w:p>
      <w:pPr>
        <w:ind w:left="2120" w:hanging="654"/>
        <w:spacing w:after="0"/>
        <w:tabs>
          <w:tab w:leader="none" w:pos="212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190" w:lineRule="exact"/>
        <w:rPr>
          <w:sz w:val="20"/>
          <w:szCs w:val="20"/>
          <w:color w:val="auto"/>
        </w:rPr>
      </w:pPr>
    </w:p>
    <w:p>
      <w:pPr>
        <w:ind w:left="2120" w:hanging="654"/>
        <w:spacing w:after="0"/>
        <w:tabs>
          <w:tab w:leader="none" w:pos="2120"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Restricted Stock Units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remain in effect until the Restricted Stock Units have fully vested and been settled or been forfeited by the Grantee as provided in this Award Agreement.</w:t>
      </w:r>
    </w:p>
    <w:p>
      <w:pPr>
        <w:spacing w:after="0" w:line="194" w:lineRule="exact"/>
        <w:rPr>
          <w:sz w:val="20"/>
          <w:szCs w:val="20"/>
          <w:color w:val="auto"/>
        </w:rPr>
      </w:pPr>
    </w:p>
    <w:p>
      <w:pPr>
        <w:ind w:left="2120" w:hanging="654"/>
        <w:spacing w:after="0"/>
        <w:tabs>
          <w:tab w:leader="none" w:pos="2120" w:val="left"/>
        </w:tabs>
        <w:numPr>
          <w:ilvl w:val="2"/>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Restricted Stock Units</w:t>
      </w:r>
    </w:p>
    <w:p>
      <w:pPr>
        <w:spacing w:after="0" w:line="31" w:lineRule="exact"/>
        <w:rPr>
          <w:rFonts w:ascii="Times New Roman" w:cs="Times New Roman" w:eastAsia="Times New Roman" w:hAnsi="Times New Roman"/>
          <w:sz w:val="22"/>
          <w:szCs w:val="22"/>
          <w:b w:val="1"/>
          <w:bCs w:val="1"/>
          <w:color w:val="auto"/>
        </w:rPr>
      </w:pPr>
    </w:p>
    <w:p>
      <w:pPr>
        <w:jc w:val="both"/>
        <w:ind w:firstLine="1304"/>
        <w:spacing w:after="0" w:line="245" w:lineRule="auto"/>
        <w:tabs>
          <w:tab w:leader="none" w:pos="194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Subject to the Grantee’s not having Terminated, except as specifically provided herein or in the Plan, one-third (1/3) of the Restricted Stock Units shall vest on each of the first, second, and third anniversaries of the Vesting Start Date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 not having Terminated prior to such anniversary.</w:t>
      </w:r>
    </w:p>
    <w:p>
      <w:pPr>
        <w:spacing w:after="0" w:line="213" w:lineRule="exact"/>
        <w:rPr>
          <w:rFonts w:ascii="Times New Roman" w:cs="Times New Roman" w:eastAsia="Times New Roman" w:hAnsi="Times New Roman"/>
          <w:sz w:val="22"/>
          <w:szCs w:val="22"/>
          <w:color w:val="auto"/>
        </w:rPr>
      </w:pPr>
    </w:p>
    <w:p>
      <w:pPr>
        <w:jc w:val="both"/>
        <w:ind w:firstLine="1223"/>
        <w:spacing w:after="0" w:line="251" w:lineRule="auto"/>
        <w:tabs>
          <w:tab w:leader="none" w:pos="193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in the event of a Change in Control, the portion of the Award that has not vested as of the date of the Change in Control shall become fully vested as of the date of the Change in Control, subject to the Grantee not having Terminated prior to the closing of such Change in Control. For the avoidance of doubt, this accelerated vesting (other than in the case of a Qualified Change in Control as described in Section 5 below) shall not change the Settlement Date as set forth in Section 5 below, and the Award will continue to be settled following the originally scheduled Vesting Dates.</w:t>
      </w:r>
    </w:p>
    <w:p>
      <w:pPr>
        <w:sectPr>
          <w:pgSz w:w="11900" w:h="16838" w:orient="portrait"/>
          <w:cols w:equalWidth="0" w:num="1">
            <w:col w:w="11240"/>
          </w:cols>
          <w:pgMar w:left="320" w:top="1418" w:right="339" w:bottom="1440" w:gutter="0" w:footer="0" w:header="0"/>
        </w:sectPr>
      </w:pPr>
    </w:p>
    <w:bookmarkStart w:id="130" w:name="page131"/>
    <w:bookmarkEnd w:id="130"/>
    <w:p>
      <w:pPr>
        <w:ind w:left="1940" w:hanging="717"/>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2"/>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Except as set forth in Section 3(c)(ii) below, if the Grantee incurs a Termination for any reason, whether voluntarily or involuntarily, then the portion of the Restricted Stock Units that have not previously vested shall terminate as of the date of the Grantee’s Termination.</w:t>
      </w:r>
    </w:p>
    <w:p>
      <w:pPr>
        <w:spacing w:after="0" w:line="194"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6" w:val="left"/>
        </w:tabs>
        <w:numPr>
          <w:ilvl w:val="2"/>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Death or Disability; Retirement</w:t>
      </w:r>
      <w:r>
        <w:rPr>
          <w:rFonts w:ascii="Times New Roman" w:cs="Times New Roman" w:eastAsia="Times New Roman" w:hAnsi="Times New Roman"/>
          <w:sz w:val="22"/>
          <w:szCs w:val="22"/>
          <w:color w:val="auto"/>
        </w:rPr>
        <w:t>. If the Grantee incurs a Termination (i) without Cause, (ii) due to death or Disability, or (iii) due to his or her Retirement (as defined below), the portion of the Grantee’s Restricted Stock Units that have not previously vested shall continue to vest following the date of the Grantee’s death or Termination in accordance with the vesting schedule described in Section 3(a) hereof, and will continue to be settled in accordance with Section 5 below. In addition, if following the Grantee’s Termination (whether voluntary or involuntary) the Company discovers facts that would have established Cause for Termination, then the Company may provide the Grantee with written notice of such facts, in which case the Grantee’s Termination will be considered a for Cause Termination under this Award Agreement and the Company may cancel any Shares received by the Grantee hereunder.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211"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Restricted Stock Units granted hereunder will accumulate dividend equivalent rights in respect of any dividends paid on Shares (on a one Share to one Restricted Stock Unit basis) from the Date of Grant through each Vesting Date. To the extent the Restricted Stock Units that gave rise to any dividend equivalent rights are forfeited pursuant to this Award Agreement or the Plan, those dividend equivalent rights will also be forfeited. The aggregate dollar amount of dividend equivalent rights accumulated under this Section 4 and not forfeited shall be added to, and be settled at the same time as the related Restricted Stock Units pursuant to Section 5 below.</w:t>
      </w:r>
    </w:p>
    <w:p>
      <w:pPr>
        <w:spacing w:after="0" w:line="204" w:lineRule="exact"/>
        <w:rPr>
          <w:sz w:val="20"/>
          <w:szCs w:val="20"/>
          <w:color w:val="auto"/>
        </w:rPr>
      </w:pPr>
    </w:p>
    <w:p>
      <w:pPr>
        <w:ind w:left="2120" w:hanging="654"/>
        <w:spacing w:after="0"/>
        <w:tabs>
          <w:tab w:leader="none" w:pos="212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Restricted Stock Units</w:t>
      </w:r>
    </w:p>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This Award Agreement shall entitle the Grantee to receive one (1) Share in settlement of each vested Restricted Stock Unit on the first trading date following the applicable Vesting Date (each such date,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xml:space="preserve">”), less a number of Shares having an aggregate Fair Market Value equal to the withholding and employment taxes associated with the settlement of the Restricted Stock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“Qualified Change in Control” (as defined below) occurs prior to the settlement of any Restricted Stock Unit, settlement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1"/>
          <w:szCs w:val="21"/>
          <w:u w:val="single" w:color="auto"/>
          <w:color w:val="auto"/>
        </w:rPr>
        <w:t>Qualified Change in Control</w:t>
      </w:r>
      <w:r>
        <w:rPr>
          <w:rFonts w:ascii="Times New Roman" w:cs="Times New Roman" w:eastAsia="Times New Roman" w:hAnsi="Times New Roman"/>
          <w:sz w:val="21"/>
          <w:szCs w:val="21"/>
          <w:color w:val="auto"/>
        </w:rPr>
        <w:t>” is a Change in Control that also constitutes a change of ownership or effective control of, or in the ownership of a substantial portion of the assets of, the Company for purposes of Code Section 409A. In addition, the</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6" w:lineRule="auto"/>
        <w:rPr>
          <w:sz w:val="20"/>
          <w:szCs w:val="20"/>
          <w:color w:val="auto"/>
        </w:rPr>
      </w:pPr>
      <w:r>
        <w:rPr>
          <w:rFonts w:ascii="Times New Roman" w:cs="Times New Roman" w:eastAsia="Times New Roman" w:hAnsi="Times New Roman"/>
          <w:sz w:val="22"/>
          <w:szCs w:val="22"/>
          <w:color w:val="auto"/>
        </w:rPr>
        <w:t>Company shall deliver to the Grantee on the Settlement Date a number of Shares having an aggregate Fair Market Value on the Settlement Date equal to any dividend equivalent rights accrued pursuant to Section 4 hereof in respect of the Restricted Stock Units to be settled on the Settlement Date, less a number of Shares having an aggregate Fair Market Value equal to the withholding and employment taxes associated with the settlement of such dividend equivalent rights.</w:t>
      </w:r>
    </w:p>
    <w:p>
      <w:pPr>
        <w:spacing w:after="0" w:line="199" w:lineRule="exact"/>
        <w:rPr>
          <w:sz w:val="20"/>
          <w:szCs w:val="20"/>
          <w:color w:val="auto"/>
        </w:rPr>
      </w:pPr>
    </w:p>
    <w:p>
      <w:pPr>
        <w:ind w:left="2120" w:hanging="654"/>
        <w:spacing w:after="0"/>
        <w:tabs>
          <w:tab w:leader="none" w:pos="212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209" w:lineRule="exact"/>
        <w:rPr>
          <w:sz w:val="20"/>
          <w:szCs w:val="20"/>
          <w:color w:val="auto"/>
        </w:rPr>
      </w:pPr>
    </w:p>
    <w:p>
      <w:pPr>
        <w:ind w:left="2120" w:hanging="654"/>
        <w:spacing w:after="0"/>
        <w:tabs>
          <w:tab w:leader="none" w:pos="2120" w:val="left"/>
        </w:tabs>
        <w:numPr>
          <w:ilvl w:val="1"/>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the Restricted Stock Units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0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Terminate Restricted Stock Units and Recovery</w:t>
      </w:r>
      <w:r>
        <w:rPr>
          <w:rFonts w:ascii="Times New Roman" w:cs="Times New Roman" w:eastAsia="Times New Roman" w:hAnsi="Times New Roman"/>
          <w:sz w:val="22"/>
          <w:szCs w:val="22"/>
          <w:color w:val="auto"/>
        </w:rPr>
        <w:t>. The Grantee understands and agrees that the Company has granted the Restricted Stock Units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1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ectPr>
          <w:pgSz w:w="11900" w:h="16838" w:orient="portrait"/>
          <w:cols w:equalWidth="0" w:num="1">
            <w:col w:w="11240"/>
          </w:cols>
          <w:pgMar w:left="320" w:top="1422" w:right="339" w:bottom="1440" w:gutter="0" w:footer="0" w:header="0"/>
        </w:sectPr>
      </w:pPr>
    </w:p>
    <w:bookmarkStart w:id="132" w:name="page133"/>
    <w:bookmarkEnd w:id="132"/>
    <w:p>
      <w:pPr>
        <w:spacing w:after="0" w:line="221" w:lineRule="exact"/>
        <w:rPr>
          <w:sz w:val="20"/>
          <w:szCs w:val="20"/>
          <w:color w:val="auto"/>
        </w:rPr>
      </w:pPr>
    </w:p>
    <w:p>
      <w:pPr>
        <w:ind w:left="2120" w:hanging="654"/>
        <w:spacing w:after="0"/>
        <w:tabs>
          <w:tab w:leader="none" w:pos="212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190" w:lineRule="exact"/>
        <w:rPr>
          <w:sz w:val="20"/>
          <w:szCs w:val="20"/>
          <w:color w:val="auto"/>
        </w:rPr>
      </w:pPr>
    </w:p>
    <w:p>
      <w:pPr>
        <w:ind w:left="2120" w:hanging="654"/>
        <w:spacing w:after="0"/>
        <w:tabs>
          <w:tab w:leader="none" w:pos="2120"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Restricted Stock Units, or any payment or transfer under, or with respect to, the Restricted Stock Units and to take such other action as may be necessary in the reasonable opinion of the Company to satisfy all obligations for the payment of such withholding taxes.</w:t>
      </w:r>
    </w:p>
    <w:p>
      <w:pPr>
        <w:spacing w:after="0" w:line="204" w:lineRule="exact"/>
        <w:rPr>
          <w:sz w:val="20"/>
          <w:szCs w:val="20"/>
          <w:color w:val="auto"/>
        </w:rPr>
      </w:pPr>
    </w:p>
    <w:p>
      <w:pPr>
        <w:ind w:left="2120" w:hanging="648"/>
        <w:spacing w:after="0"/>
        <w:tabs>
          <w:tab w:leader="none" w:pos="2120" w:val="left"/>
        </w:tabs>
        <w:numPr>
          <w:ilvl w:val="0"/>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the Restricted Stock Units,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the Restricted Stock Units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203" w:lineRule="exact"/>
        <w:rPr>
          <w:sz w:val="20"/>
          <w:szCs w:val="20"/>
          <w:color w:val="auto"/>
        </w:rPr>
      </w:pPr>
    </w:p>
    <w:p>
      <w:pPr>
        <w:ind w:left="2100" w:hanging="628"/>
        <w:spacing w:after="0"/>
        <w:tabs>
          <w:tab w:leader="none" w:pos="2100"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Restricted Stock Units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ectPr>
          <w:pgSz w:w="11900" w:h="16838" w:orient="portrait"/>
          <w:cols w:equalWidth="0" w:num="1">
            <w:col w:w="11240"/>
          </w:cols>
          <w:pgMar w:left="320" w:top="1440" w:right="339" w:bottom="1440" w:gutter="0" w:footer="0" w:header="0"/>
        </w:sectPr>
      </w:pPr>
    </w:p>
    <w:bookmarkStart w:id="133" w:name="page134"/>
    <w:bookmarkEnd w:id="133"/>
    <w:p>
      <w:pPr>
        <w:ind w:left="2120" w:hanging="648"/>
        <w:spacing w:after="0"/>
        <w:tabs>
          <w:tab w:leader="none" w:pos="2120"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5" w:lineRule="exact"/>
        <w:rPr>
          <w:sz w:val="20"/>
          <w:szCs w:val="20"/>
          <w:color w:val="auto"/>
        </w:rPr>
      </w:pPr>
    </w:p>
    <w:p>
      <w:pPr>
        <w:ind w:left="1940" w:hanging="393"/>
        <w:spacing w:after="0"/>
        <w:tabs>
          <w:tab w:leader="none" w:pos="1940" w:val="left"/>
        </w:tabs>
        <w:numPr>
          <w:ilvl w:val="2"/>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234"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spacing w:after="0" w:line="27" w:lineRule="exact"/>
        <w:rPr>
          <w:rFonts w:ascii="Times New Roman" w:cs="Times New Roman" w:eastAsia="Times New Roman" w:hAnsi="Times New Roman"/>
          <w:sz w:val="22"/>
          <w:szCs w:val="22"/>
          <w:color w:val="auto"/>
        </w:rPr>
      </w:pPr>
    </w:p>
    <w:p>
      <w:pPr>
        <w:ind w:left="1960" w:right="6720"/>
        <w:spacing w:after="0" w:line="25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1177 Avenue of the Americas New York, New York 10036</w:t>
      </w:r>
    </w:p>
    <w:p>
      <w:pPr>
        <w:spacing w:after="0" w:line="1"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Douglas Friedman, General Counsel</w:t>
      </w:r>
    </w:p>
    <w:p>
      <w:pPr>
        <w:spacing w:after="0" w:line="3"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Douglas.Friedman@tradeweb.com</w:t>
      </w:r>
    </w:p>
    <w:p>
      <w:pPr>
        <w:spacing w:after="0" w:line="5" w:lineRule="exact"/>
        <w:rPr>
          <w:rFonts w:ascii="Times New Roman" w:cs="Times New Roman" w:eastAsia="Times New Roman" w:hAnsi="Times New Roman"/>
          <w:sz w:val="22"/>
          <w:szCs w:val="22"/>
          <w:color w:val="auto"/>
        </w:rPr>
      </w:pPr>
    </w:p>
    <w:p>
      <w:pPr>
        <w:ind w:left="1940" w:hanging="393"/>
        <w:spacing w:after="0"/>
        <w:tabs>
          <w:tab w:leader="none" w:pos="1940" w:val="left"/>
        </w:tabs>
        <w:numPr>
          <w:ilvl w:val="2"/>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30" w:lineRule="exact"/>
        <w:rPr>
          <w:rFonts w:ascii="Times New Roman" w:cs="Times New Roman" w:eastAsia="Times New Roman" w:hAnsi="Times New Roman"/>
          <w:sz w:val="22"/>
          <w:szCs w:val="22"/>
          <w:color w:val="auto"/>
        </w:rPr>
      </w:pPr>
    </w:p>
    <w:p>
      <w:pPr>
        <w:ind w:left="2120" w:hanging="648"/>
        <w:spacing w:after="0"/>
        <w:tabs>
          <w:tab w:leader="none" w:pos="2120" w:val="left"/>
        </w:tabs>
        <w:numPr>
          <w:ilvl w:val="1"/>
          <w:numId w:val="1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w:t>
      </w:r>
    </w:p>
    <w:p>
      <w:pPr>
        <w:sectPr>
          <w:pgSz w:w="11900" w:h="16838" w:orient="portrait"/>
          <w:cols w:equalWidth="0" w:num="1">
            <w:col w:w="11240"/>
          </w:cols>
          <w:pgMar w:left="320" w:top="14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color w:val="auto"/>
        </w:rPr>
        <w:t>action brought in any court, federal or state, within the State of Delaware having subject matter jurisdiction in the matter.</w:t>
      </w:r>
    </w:p>
    <w:p>
      <w:pPr>
        <w:spacing w:after="0" w:line="243" w:lineRule="exact"/>
        <w:rPr>
          <w:sz w:val="20"/>
          <w:szCs w:val="20"/>
          <w:color w:val="auto"/>
        </w:rPr>
      </w:pPr>
    </w:p>
    <w:p>
      <w:pPr>
        <w:ind w:left="2120" w:hanging="648"/>
        <w:spacing w:after="0"/>
        <w:tabs>
          <w:tab w:leader="none" w:pos="2120"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Restricted Stock Units are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Restricted Stock Unit that vests and becomes payable upon or in connection with the Grantee’s separation from service shall be delayed and will be payable on the day after the first to occur of (a) the day which is six (6) months following the date of such separation from service, and (b) the date of the Grantee’s death or Disability.</w:t>
      </w:r>
    </w:p>
    <w:p>
      <w:pPr>
        <w:spacing w:after="0" w:line="4" w:lineRule="exact"/>
        <w:rPr>
          <w:sz w:val="20"/>
          <w:szCs w:val="20"/>
          <w:color w:val="auto"/>
        </w:rPr>
      </w:pPr>
    </w:p>
    <w:p>
      <w:pPr>
        <w:ind w:left="2120" w:hanging="648"/>
        <w:spacing w:after="0"/>
        <w:tabs>
          <w:tab w:leader="none" w:pos="2120"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3" w:lineRule="exact"/>
        <w:rPr>
          <w:sz w:val="20"/>
          <w:szCs w:val="20"/>
          <w:color w:val="auto"/>
        </w:rPr>
      </w:pPr>
    </w:p>
    <w:p>
      <w:pPr>
        <w:ind w:left="2120" w:hanging="648"/>
        <w:spacing w:after="0"/>
        <w:tabs>
          <w:tab w:leader="none" w:pos="2120" w:val="left"/>
        </w:tabs>
        <w:numPr>
          <w:ilvl w:val="0"/>
          <w:numId w:val="1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217" w:lineRule="exact"/>
        <w:rPr>
          <w:sz w:val="20"/>
          <w:szCs w:val="20"/>
          <w:color w:val="auto"/>
        </w:rPr>
      </w:pPr>
    </w:p>
    <w:p>
      <w:pPr>
        <w:ind w:left="2120" w:hanging="648"/>
        <w:spacing w:after="0"/>
        <w:tabs>
          <w:tab w:leader="none" w:pos="2120" w:val="left"/>
        </w:tabs>
        <w:numPr>
          <w:ilvl w:val="0"/>
          <w:numId w:val="1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ectPr>
          <w:pgSz w:w="11900" w:h="16838" w:orient="portrait"/>
          <w:cols w:equalWidth="0" w:num="1">
            <w:col w:w="11240"/>
          </w:cols>
          <w:pgMar w:left="320" w:top="1421" w:right="339" w:bottom="1440" w:gutter="0" w:footer="0" w:header="0"/>
        </w:sectPr>
      </w:pPr>
    </w:p>
    <w:bookmarkStart w:id="135" w:name="page136"/>
    <w:bookmarkEnd w:id="135"/>
    <w:p>
      <w:pPr>
        <w:ind w:left="2120" w:hanging="648"/>
        <w:spacing w:after="0"/>
        <w:tabs>
          <w:tab w:leader="none" w:pos="2120" w:val="left"/>
        </w:tabs>
        <w:numPr>
          <w:ilvl w:val="0"/>
          <w:numId w:val="1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 w:lineRule="exact"/>
        <w:rPr>
          <w:sz w:val="20"/>
          <w:szCs w:val="20"/>
          <w:color w:val="auto"/>
        </w:rPr>
      </w:pPr>
    </w:p>
    <w:p>
      <w:pPr>
        <w:ind w:left="2120" w:hanging="648"/>
        <w:spacing w:after="0"/>
        <w:tabs>
          <w:tab w:leader="none" w:pos="2120" w:val="left"/>
        </w:tabs>
        <w:numPr>
          <w:ilvl w:val="0"/>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ectPr>
          <w:pgSz w:w="11900" w:h="16838" w:orient="portrait"/>
          <w:cols w:equalWidth="0" w:num="1">
            <w:col w:w="11240"/>
          </w:cols>
          <w:pgMar w:left="320" w:top="14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2024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2024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25, 2024</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March 31, 2024,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25, 2024</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March 31, 2024,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endash "/>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
      <w:numFmt w:val="bullet"/>
      <w:start w:val="1"/>
    </w:lvl>
  </w:abstractNum>
  <w:abstractNum w:abstractNumId="9">
    <w:nsid w:val="53299938"/>
    <w:multiLevelType w:val="hybridMultilevel"/>
    <w:lvl w:ilvl="0">
      <w:lvlJc w:val="left"/>
      <w:lvlText w:val="(%1)"/>
      <w:numFmt w:val="decimal"/>
      <w:start w:val="232"/>
    </w:lvl>
  </w:abstractNum>
  <w:abstractNum w:abstractNumId="10">
    <w:nsid w:val="1FBFE8E0"/>
    <w:multiLevelType w:val="hybridMultilevel"/>
    <w:lvl w:ilvl="0">
      <w:lvlJc w:val="left"/>
      <w:lvlText w:val="•"/>
      <w:numFmt w:val="bullet"/>
      <w:start w:val="1"/>
    </w:lvl>
  </w:abstractNum>
  <w:abstractNum w:abstractNumId="11">
    <w:nsid w:val="5092CA79"/>
    <w:multiLevelType w:val="hybridMultilevel"/>
    <w:lvl w:ilvl="0">
      <w:lvlJc w:val="left"/>
      <w:lvlText w:val="•"/>
      <w:numFmt w:val="bullet"/>
      <w:start w:val="1"/>
    </w:lvl>
  </w:abstractNum>
  <w:abstractNum w:abstractNumId="12">
    <w:nsid w:val="1D545C4D"/>
    <w:multiLevelType w:val="hybridMultilevel"/>
    <w:lvl w:ilvl="0">
      <w:lvlJc w:val="left"/>
      <w:lvlText w:val="•"/>
      <w:numFmt w:val="bullet"/>
      <w:start w:val="1"/>
    </w:lvl>
  </w:abstractNum>
  <w:abstractNum w:abstractNumId="13">
    <w:nsid w:val="59ADEA3D"/>
    <w:multiLevelType w:val="hybridMultilevel"/>
    <w:lvl w:ilvl="0">
      <w:lvlJc w:val="left"/>
      <w:lvlText w:val="•"/>
      <w:numFmt w:val="bullet"/>
      <w:start w:val="1"/>
    </w:lvl>
  </w:abstractNum>
  <w:abstractNum w:abstractNumId="14">
    <w:nsid w:val="288F1A34"/>
    <w:multiLevelType w:val="hybridMultilevel"/>
    <w:lvl w:ilvl="0">
      <w:lvlJc w:val="left"/>
      <w:lvlText w:val="•"/>
      <w:numFmt w:val="bullet"/>
      <w:start w:val="1"/>
    </w:lvl>
  </w:abstractNum>
  <w:abstractNum w:abstractNumId="15">
    <w:nsid w:val="2A155DBC"/>
    <w:multiLevelType w:val="hybridMultilevel"/>
    <w:lvl w:ilvl="0">
      <w:lvlJc w:val="left"/>
      <w:lvlText w:val="(%1)"/>
      <w:numFmt w:val="decimal"/>
      <w:start w:val="1"/>
    </w:lvl>
  </w:abstractNum>
  <w:abstractNum w:abstractNumId="16">
    <w:nsid w:val="1D9F6E5F"/>
    <w:multiLevelType w:val="hybridMultilevel"/>
    <w:lvl w:ilvl="0">
      <w:lvlJc w:val="left"/>
      <w:lvlText w:val="(%1)"/>
      <w:numFmt w:val="decimal"/>
      <w:start w:val="1"/>
    </w:lvl>
  </w:abstractNum>
  <w:abstractNum w:abstractNumId="17">
    <w:nsid w:val="97E1B4E"/>
    <w:multiLevelType w:val="hybridMultilevel"/>
    <w:lvl w:ilvl="0">
      <w:lvlJc w:val="left"/>
      <w:lvlText w:val="%1."/>
      <w:numFmt w:val="decimal"/>
      <w:start w:val="11"/>
    </w:lvl>
  </w:abstractNum>
  <w:abstractNum w:abstractNumId="18">
    <w:nsid w:val="51088277"/>
    <w:multiLevelType w:val="hybridMultilevel"/>
    <w:lvl w:ilvl="0">
      <w:lvlJc w:val="left"/>
      <w:lvlText w:val="(%1)"/>
      <w:numFmt w:val="decimal"/>
      <w:start w:val="1"/>
    </w:lvl>
  </w:abstractNum>
  <w:abstractNum w:abstractNumId="19">
    <w:nsid w:val="1CA0C5FA"/>
    <w:multiLevelType w:val="hybridMultilevel"/>
    <w:lvl w:ilvl="0">
      <w:lvlJc w:val="left"/>
      <w:lvlText w:val="%1."/>
      <w:numFmt w:val="decimal"/>
      <w:start w:val="1"/>
    </w:lvl>
  </w:abstractNum>
  <w:abstractNum w:abstractNumId="20">
    <w:nsid w:val="53584BCB"/>
    <w:multiLevelType w:val="hybridMultilevel"/>
    <w:lvl w:ilvl="0">
      <w:lvlJc w:val="left"/>
      <w:lvlText w:val="(%1)"/>
      <w:numFmt w:val="lowerRoman"/>
      <w:start w:val="1"/>
    </w:lvl>
  </w:abstractNum>
  <w:abstractNum w:abstractNumId="21">
    <w:nsid w:val="415E286C"/>
    <w:multiLevelType w:val="hybridMultilevel"/>
    <w:lvl w:ilvl="0">
      <w:lvlJc w:val="left"/>
      <w:lvlText w:val="(%1)"/>
      <w:numFmt w:val="decimal"/>
      <w:start w:val="1"/>
    </w:lvl>
  </w:abstractNum>
  <w:abstractNum w:abstractNumId="22">
    <w:nsid w:val="7C58FD05"/>
    <w:multiLevelType w:val="hybridMultilevel"/>
    <w:lvl w:ilvl="0">
      <w:lvlJc w:val="left"/>
      <w:lvlText w:val="(%1)"/>
      <w:numFmt w:val="decimal"/>
      <w:start w:val="1"/>
    </w:lvl>
  </w:abstractNum>
  <w:abstractNum w:abstractNumId="23">
    <w:nsid w:val="23D86AAC"/>
    <w:multiLevelType w:val="hybridMultilevel"/>
    <w:lvl w:ilvl="0">
      <w:lvlJc w:val="left"/>
      <w:lvlText w:val="(%1)"/>
      <w:numFmt w:val="decimal"/>
      <w:start w:val="1"/>
    </w:lvl>
  </w:abstractNum>
  <w:abstractNum w:abstractNumId="24">
    <w:nsid w:val="45E6D486"/>
    <w:multiLevelType w:val="hybridMultilevel"/>
    <w:lvl w:ilvl="0">
      <w:lvlJc w:val="left"/>
      <w:lvlText w:val="(%1)"/>
      <w:numFmt w:val="decimal"/>
      <w:start w:val="1"/>
    </w:lvl>
  </w:abstractNum>
  <w:abstractNum w:abstractNumId="25">
    <w:nsid w:val="5C10FE21"/>
    <w:multiLevelType w:val="hybridMultilevel"/>
    <w:lvl w:ilvl="0">
      <w:lvlJc w:val="left"/>
      <w:lvlText w:val="(%1)"/>
      <w:numFmt w:val="decimal"/>
      <w:start w:val="1"/>
    </w:lvl>
  </w:abstractNum>
  <w:abstractNum w:abstractNumId="26">
    <w:nsid w:val="E7FFA2B"/>
    <w:multiLevelType w:val="hybridMultilevel"/>
    <w:lvl w:ilvl="0">
      <w:lvlJc w:val="left"/>
      <w:lvlText w:val="(%1)"/>
      <w:numFmt w:val="decimal"/>
      <w:start w:val="1"/>
    </w:lvl>
  </w:abstractNum>
  <w:abstractNum w:abstractNumId="27">
    <w:nsid w:val="3C5991AA"/>
    <w:multiLevelType w:val="hybridMultilevel"/>
    <w:lvl w:ilvl="0">
      <w:lvlJc w:val="left"/>
      <w:lvlText w:val="(%1)"/>
      <w:numFmt w:val="decimal"/>
      <w:start w:val="1"/>
    </w:lvl>
  </w:abstractNum>
  <w:abstractNum w:abstractNumId="28">
    <w:nsid w:val="4BD8591A"/>
    <w:multiLevelType w:val="hybridMultilevel"/>
    <w:lvl w:ilvl="0">
      <w:lvlJc w:val="left"/>
      <w:lvlText w:val="(%1)"/>
      <w:numFmt w:val="decimal"/>
      <w:start w:val="1"/>
    </w:lvl>
  </w:abstractNum>
  <w:abstractNum w:abstractNumId="29">
    <w:nsid w:val="78DF6A55"/>
    <w:multiLevelType w:val="hybridMultilevel"/>
    <w:lvl w:ilvl="0">
      <w:lvlJc w:val="left"/>
      <w:lvlText w:val="•"/>
      <w:numFmt w:val="bullet"/>
      <w:start w:val="1"/>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1)"/>
      <w:numFmt w:val="decimal"/>
      <w:start w:val="1"/>
    </w:lvl>
  </w:abstractNum>
  <w:abstractNum w:abstractNumId="32">
    <w:nsid w:val="6C80EC70"/>
    <w:multiLevelType w:val="hybridMultilevel"/>
    <w:lvl w:ilvl="0">
      <w:lvlJc w:val="left"/>
      <w:lvlText w:val="(%1)"/>
      <w:numFmt w:val="lowerLetter"/>
      <w:start w:val="1"/>
    </w:lvl>
  </w:abstractNum>
  <w:abstractNum w:abstractNumId="33">
    <w:nsid w:val="379E21B5"/>
    <w:multiLevelType w:val="hybridMultilevel"/>
    <w:lvl w:ilvl="0">
      <w:lvlJc w:val="left"/>
      <w:lvlText w:val="(%1)"/>
      <w:numFmt w:val="lowerLetter"/>
      <w:start w:val="3"/>
    </w:lvl>
  </w:abstractNum>
  <w:abstractNum w:abstractNumId="34">
    <w:nsid w:val="69E373"/>
    <w:multiLevelType w:val="hybridMultilevel"/>
    <w:lvl w:ilvl="0">
      <w:lvlJc w:val="left"/>
      <w:lvlText w:val="†"/>
      <w:numFmt w:val="bullet"/>
      <w:start w:val="1"/>
    </w:lvl>
  </w:abstractNum>
  <w:abstractNum w:abstractNumId="35">
    <w:nsid w:val="2C27173B"/>
    <w:multiLevelType w:val="hybridMultilevel"/>
    <w:lvl w:ilvl="0">
      <w:lvlJc w:val="left"/>
      <w:lvlText w:val="++"/>
      <w:numFmt w:val="bullet"/>
      <w:start w:val="1"/>
    </w:lvl>
  </w:abstractNum>
  <w:abstractNum w:abstractNumId="36">
    <w:nsid w:val="4C9B0904"/>
    <w:multiLevelType w:val="hybridMultilevel"/>
    <w:lvl w:ilvl="0">
      <w:lvlJc w:val="left"/>
      <w:lvlText w:val="%1."/>
      <w:numFmt w:val="decimal"/>
      <w:start w:val="1"/>
    </w:lvl>
  </w:abstractNum>
  <w:abstractNum w:abstractNumId="37">
    <w:nsid w:val="6AA7B75C"/>
    <w:multiLevelType w:val="hybridMultilevel"/>
    <w:lvl w:ilvl="0">
      <w:lvlJc w:val="left"/>
      <w:lvlText w:val="%1."/>
      <w:numFmt w:val="decimal"/>
      <w:start w:val="2"/>
    </w:lvl>
  </w:abstractNum>
  <w:abstractNum w:abstractNumId="38">
    <w:nsid w:val="1DF029D3"/>
    <w:multiLevelType w:val="hybridMultilevel"/>
    <w:lvl w:ilvl="0">
      <w:lvlJc w:val="left"/>
      <w:lvlText w:val="%1."/>
      <w:numFmt w:val="decimal"/>
      <w:start w:val="3"/>
    </w:lvl>
  </w:abstractNum>
  <w:abstractNum w:abstractNumId="39">
    <w:nsid w:val="5675FF36"/>
    <w:multiLevelType w:val="hybridMultilevel"/>
    <w:lvl w:ilvl="0">
      <w:lvlJc w:val="left"/>
      <w:lvlText w:val="(%1)"/>
      <w:numFmt w:val="lowerLetter"/>
      <w:start w:val="1"/>
    </w:lvl>
  </w:abstractNum>
  <w:abstractNum w:abstractNumId="40">
    <w:nsid w:val="3DD15094"/>
    <w:multiLevelType w:val="hybridMultilevel"/>
    <w:lvl w:ilvl="0">
      <w:lvlJc w:val="left"/>
      <w:lvlText w:val="(%1)"/>
      <w:numFmt w:val="lowerLetter"/>
      <w:start w:val="4"/>
    </w:lvl>
  </w:abstractNum>
  <w:abstractNum w:abstractNumId="41">
    <w:nsid w:val="3DB012B3"/>
    <w:multiLevelType w:val="hybridMultilevel"/>
    <w:lvl w:ilvl="0">
      <w:lvlJc w:val="left"/>
      <w:lvlText w:val="%1."/>
      <w:numFmt w:val="decimal"/>
      <w:start w:val="4"/>
    </w:lvl>
  </w:abstractNum>
  <w:abstractNum w:abstractNumId="42">
    <w:nsid w:val="2708C9AF"/>
    <w:multiLevelType w:val="hybridMultilevel"/>
    <w:lvl w:ilvl="0">
      <w:lvlJc w:val="left"/>
      <w:lvlText w:val="%1."/>
      <w:numFmt w:val="decimal"/>
      <w:start w:val="5"/>
    </w:lvl>
  </w:abstractNum>
  <w:abstractNum w:abstractNumId="43">
    <w:nsid w:val="5B25ACE2"/>
    <w:multiLevelType w:val="hybridMultilevel"/>
    <w:lvl w:ilvl="0">
      <w:lvlJc w:val="left"/>
      <w:lvlText w:val="(%1)"/>
      <w:numFmt w:val="lowerLetter"/>
      <w:start w:val="1"/>
    </w:lvl>
  </w:abstractNum>
  <w:abstractNum w:abstractNumId="44">
    <w:nsid w:val="175DFCF0"/>
    <w:multiLevelType w:val="hybridMultilevel"/>
    <w:lvl w:ilvl="0">
      <w:lvlJc w:val="left"/>
      <w:lvlText w:val="(%1)"/>
      <w:numFmt w:val="lowerLetter"/>
      <w:start w:val="2"/>
    </w:lvl>
    <w:lvl w:ilvl="1">
      <w:lvlJc w:val="left"/>
      <w:lvlText w:val="%2."/>
      <w:numFmt w:val="decimal"/>
      <w:start w:val="6"/>
    </w:lvl>
  </w:abstractNum>
  <w:abstractNum w:abstractNumId="45">
    <w:nsid w:val="4F97E3E4"/>
    <w:multiLevelType w:val="hybridMultilevel"/>
    <w:lvl w:ilvl="0">
      <w:lvlJc w:val="left"/>
      <w:lvlText w:val="%1"/>
      <w:numFmt w:val="lowerLetter"/>
      <w:start w:val="1"/>
    </w:lvl>
    <w:lvl w:ilvl="1">
      <w:lvlJc w:val="left"/>
      <w:lvlText w:val="%2."/>
      <w:numFmt w:val="decimal"/>
      <w:start w:val="7"/>
    </w:lvl>
  </w:abstractNum>
  <w:abstractNum w:abstractNumId="46">
    <w:nsid w:val="53B0A9E"/>
    <w:multiLevelType w:val="hybridMultilevel"/>
    <w:lvl w:ilvl="0">
      <w:lvlJc w:val="left"/>
      <w:lvlText w:val="(%1)"/>
      <w:numFmt w:val="lowerLetter"/>
      <w:start w:val="1"/>
    </w:lvl>
    <w:lvl w:ilvl="1">
      <w:lvlJc w:val="left"/>
      <w:lvlText w:val="%2"/>
      <w:numFmt w:val="decimal"/>
      <w:start w:val="1"/>
    </w:lvl>
  </w:abstractNum>
  <w:abstractNum w:abstractNumId="47">
    <w:nsid w:val="34FD6B4F"/>
    <w:multiLevelType w:val="hybridMultilevel"/>
    <w:lvl w:ilvl="0">
      <w:lvlJc w:val="left"/>
      <w:lvlText w:val="(%1)"/>
      <w:numFmt w:val="lowerLetter"/>
      <w:start w:val="2"/>
    </w:lvl>
    <w:lvl w:ilvl="1">
      <w:lvlJc w:val="left"/>
      <w:lvlText w:val="%2."/>
      <w:numFmt w:val="decimal"/>
      <w:start w:val="8"/>
    </w:lvl>
  </w:abstractNum>
  <w:abstractNum w:abstractNumId="48">
    <w:nsid w:val="5915FF32"/>
    <w:multiLevelType w:val="hybridMultilevel"/>
    <w:lvl w:ilvl="0">
      <w:lvlJc w:val="left"/>
      <w:lvlText w:val="%1."/>
      <w:numFmt w:val="decimal"/>
      <w:start w:val="9"/>
    </w:lvl>
  </w:abstractNum>
  <w:abstractNum w:abstractNumId="49">
    <w:nsid w:val="56438D15"/>
    <w:multiLevelType w:val="hybridMultilevel"/>
    <w:lvl w:ilvl="0">
      <w:lvlJc w:val="left"/>
      <w:lvlText w:val="%1."/>
      <w:numFmt w:val="decimal"/>
      <w:start w:val="10"/>
    </w:lvl>
  </w:abstractNum>
  <w:abstractNum w:abstractNumId="50">
    <w:nsid w:val="519E3149"/>
    <w:multiLevelType w:val="hybridMultilevel"/>
    <w:lvl w:ilvl="0">
      <w:lvlJc w:val="left"/>
      <w:lvlText w:val="%1."/>
      <w:numFmt w:val="decimal"/>
      <w:start w:val="11"/>
    </w:lvl>
  </w:abstractNum>
  <w:abstractNum w:abstractNumId="51">
    <w:nsid w:val="2C6E4AFD"/>
    <w:multiLevelType w:val="hybridMultilevel"/>
    <w:lvl w:ilvl="0">
      <w:lvlJc w:val="left"/>
      <w:lvlText w:val="%1."/>
      <w:numFmt w:val="decimal"/>
      <w:start w:val="12"/>
    </w:lvl>
  </w:abstractNum>
  <w:abstractNum w:abstractNumId="52">
    <w:nsid w:val="17A1B582"/>
    <w:multiLevelType w:val="hybridMultilevel"/>
    <w:lvl w:ilvl="0">
      <w:lvlJc w:val="left"/>
      <w:lvlText w:val="(%1)"/>
      <w:numFmt w:val="lowerRoman"/>
      <w:start w:val="1"/>
    </w:lvl>
  </w:abstractNum>
  <w:abstractNum w:abstractNumId="53">
    <w:nsid w:val="4DF72E4E"/>
    <w:multiLevelType w:val="hybridMultilevel"/>
    <w:lvl w:ilvl="0">
      <w:lvlJc w:val="left"/>
      <w:lvlText w:val="%1"/>
      <w:numFmt w:val="lowerLetter"/>
      <w:start w:val="1"/>
    </w:lvl>
    <w:lvl w:ilvl="1">
      <w:lvlJc w:val="left"/>
      <w:lvlText w:val="%2."/>
      <w:numFmt w:val="decimal"/>
      <w:start w:val="13"/>
    </w:lvl>
  </w:abstractNum>
  <w:abstractNum w:abstractNumId="54">
    <w:nsid w:val="5046B5A9"/>
    <w:multiLevelType w:val="hybridMultilevel"/>
    <w:lvl w:ilvl="0">
      <w:lvlJc w:val="left"/>
      <w:lvlText w:val="(%1)"/>
      <w:numFmt w:val="lowerLetter"/>
      <w:start w:val="1"/>
    </w:lvl>
    <w:lvl w:ilvl="1">
      <w:lvlJc w:val="left"/>
      <w:lvlText w:val="%2."/>
      <w:numFmt w:val="decimal"/>
      <w:start w:val="14"/>
    </w:lvl>
  </w:abstractNum>
  <w:abstractNum w:abstractNumId="55">
    <w:nsid w:val="5D888A08"/>
    <w:multiLevelType w:val="hybridMultilevel"/>
    <w:lvl w:ilvl="0">
      <w:lvlJc w:val="left"/>
      <w:lvlText w:val="%1."/>
      <w:numFmt w:val="decimal"/>
      <w:start w:val="15"/>
    </w:lvl>
  </w:abstractNum>
  <w:abstractNum w:abstractNumId="56">
    <w:nsid w:val="2A082C70"/>
    <w:multiLevelType w:val="hybridMultilevel"/>
    <w:lvl w:ilvl="0">
      <w:lvlJc w:val="left"/>
      <w:lvlText w:val="%1."/>
      <w:numFmt w:val="decimal"/>
      <w:start w:val="16"/>
    </w:lvl>
  </w:abstractNum>
  <w:abstractNum w:abstractNumId="57">
    <w:nsid w:val="5EC6AFD4"/>
    <w:multiLevelType w:val="hybridMultilevel"/>
    <w:lvl w:ilvl="0">
      <w:lvlJc w:val="left"/>
      <w:lvlText w:val="%1."/>
      <w:numFmt w:val="decimal"/>
      <w:start w:val="17"/>
    </w:lvl>
  </w:abstractNum>
  <w:abstractNum w:abstractNumId="58">
    <w:nsid w:val="19E21BB2"/>
    <w:multiLevelType w:val="hybridMultilevel"/>
    <w:lvl w:ilvl="0">
      <w:lvlJc w:val="left"/>
      <w:lvlText w:val="%1."/>
      <w:numFmt w:val="decimal"/>
      <w:start w:val="18"/>
    </w:lvl>
  </w:abstractNum>
  <w:abstractNum w:abstractNumId="59">
    <w:nsid w:val="75E0858A"/>
    <w:multiLevelType w:val="hybridMultilevel"/>
    <w:lvl w:ilvl="0">
      <w:lvlJc w:val="left"/>
      <w:lvlText w:val="%1."/>
      <w:numFmt w:val="decimal"/>
      <w:start w:val="19"/>
    </w:lvl>
  </w:abstractNum>
  <w:abstractNum w:abstractNumId="60">
    <w:nsid w:val="57A61A29"/>
    <w:multiLevelType w:val="hybridMultilevel"/>
    <w:lvl w:ilvl="0">
      <w:lvlJc w:val="left"/>
      <w:lvlText w:val="%1."/>
      <w:numFmt w:val="decimal"/>
      <w:start w:val="20"/>
    </w:lvl>
  </w:abstractNum>
  <w:abstractNum w:abstractNumId="61">
    <w:nsid w:val="5399C654"/>
    <w:multiLevelType w:val="hybridMultilevel"/>
    <w:lvl w:ilvl="0">
      <w:lvlJc w:val="left"/>
      <w:lvlText w:val="(%1)"/>
      <w:numFmt w:val="decimal"/>
      <w:start w:val="1"/>
    </w:lvl>
  </w:abstractNum>
  <w:abstractNum w:abstractNumId="62">
    <w:nsid w:val="20EE1348"/>
    <w:multiLevelType w:val="hybridMultilevel"/>
    <w:lvl w:ilvl="0">
      <w:lvlJc w:val="left"/>
      <w:lvlText w:val="%1."/>
      <w:numFmt w:val="decimal"/>
      <w:start w:val="1"/>
    </w:lvl>
  </w:abstractNum>
  <w:abstractNum w:abstractNumId="63">
    <w:nsid w:val="4427069A"/>
    <w:multiLevelType w:val="hybridMultilevel"/>
    <w:lvl w:ilvl="0">
      <w:lvlJc w:val="left"/>
      <w:lvlText w:val="%1."/>
      <w:numFmt w:val="decimal"/>
      <w:start w:val="2"/>
    </w:lvl>
  </w:abstractNum>
  <w:abstractNum w:abstractNumId="64">
    <w:nsid w:val="B37E80A"/>
    <w:multiLevelType w:val="hybridMultilevel"/>
    <w:lvl w:ilvl="0">
      <w:lvlJc w:val="left"/>
      <w:lvlText w:val="%1."/>
      <w:numFmt w:val="decimal"/>
      <w:start w:val="3"/>
    </w:lvl>
  </w:abstractNum>
  <w:abstractNum w:abstractNumId="65">
    <w:nsid w:val="2157F6BC"/>
    <w:multiLevelType w:val="hybridMultilevel"/>
    <w:lvl w:ilvl="0">
      <w:lvlJc w:val="left"/>
      <w:lvlText w:val="(%1)"/>
      <w:numFmt w:val="lowerLetter"/>
      <w:start w:val="1"/>
    </w:lvl>
  </w:abstractNum>
  <w:abstractNum w:abstractNumId="66">
    <w:nsid w:val="704E1DD5"/>
    <w:multiLevelType w:val="hybridMultilevel"/>
    <w:lvl w:ilvl="0">
      <w:lvlJc w:val="left"/>
      <w:lvlText w:val="(%1)"/>
      <w:numFmt w:val="lowerLetter"/>
      <w:start w:val="4"/>
    </w:lvl>
  </w:abstractNum>
  <w:abstractNum w:abstractNumId="67">
    <w:nsid w:val="57D2F10E"/>
    <w:multiLevelType w:val="hybridMultilevel"/>
    <w:lvl w:ilvl="0">
      <w:lvlJc w:val="left"/>
      <w:lvlText w:val="%1."/>
      <w:numFmt w:val="decimal"/>
      <w:start w:val="4"/>
    </w:lvl>
  </w:abstractNum>
  <w:abstractNum w:abstractNumId="68">
    <w:nsid w:val="BFFAE18"/>
    <w:multiLevelType w:val="hybridMultilevel"/>
    <w:lvl w:ilvl="0">
      <w:lvlJc w:val="left"/>
      <w:lvlText w:val="%1."/>
      <w:numFmt w:val="decimal"/>
      <w:start w:val="5"/>
    </w:lvl>
  </w:abstractNum>
  <w:abstractNum w:abstractNumId="69">
    <w:nsid w:val="E3E47A8"/>
    <w:multiLevelType w:val="hybridMultilevel"/>
    <w:lvl w:ilvl="0">
      <w:lvlJc w:val="left"/>
      <w:lvlText w:val="(%1)"/>
      <w:numFmt w:val="lowerLetter"/>
      <w:start w:val="1"/>
    </w:lvl>
  </w:abstractNum>
  <w:abstractNum w:abstractNumId="70">
    <w:nsid w:val="2E48F044"/>
    <w:multiLevelType w:val="hybridMultilevel"/>
    <w:lvl w:ilvl="0">
      <w:lvlJc w:val="left"/>
      <w:lvlText w:val="(%1)"/>
      <w:numFmt w:val="lowerLetter"/>
      <w:start w:val="2"/>
    </w:lvl>
    <w:lvl w:ilvl="1">
      <w:lvlJc w:val="left"/>
      <w:lvlText w:val="%2."/>
      <w:numFmt w:val="decimal"/>
      <w:start w:val="6"/>
    </w:lvl>
  </w:abstractNum>
  <w:abstractNum w:abstractNumId="71">
    <w:nsid w:val="49D0FEAC"/>
    <w:multiLevelType w:val="hybridMultilevel"/>
    <w:lvl w:ilvl="0">
      <w:lvlJc w:val="left"/>
      <w:lvlText w:val="%1"/>
      <w:numFmt w:val="lowerLetter"/>
      <w:start w:val="1"/>
    </w:lvl>
    <w:lvl w:ilvl="1">
      <w:lvlJc w:val="left"/>
      <w:lvlText w:val="%2."/>
      <w:numFmt w:val="decimal"/>
      <w:start w:val="7"/>
    </w:lvl>
  </w:abstractNum>
  <w:abstractNum w:abstractNumId="72">
    <w:nsid w:val="4BEE5A5B"/>
    <w:multiLevelType w:val="hybridMultilevel"/>
    <w:lvl w:ilvl="0">
      <w:lvlJc w:val="left"/>
      <w:lvlText w:val="(%1)"/>
      <w:numFmt w:val="lowerLetter"/>
      <w:start w:val="1"/>
    </w:lvl>
    <w:lvl w:ilvl="1">
      <w:lvlJc w:val="left"/>
      <w:lvlText w:val="%2"/>
      <w:numFmt w:val="decimal"/>
      <w:start w:val="1"/>
    </w:lvl>
  </w:abstractNum>
  <w:abstractNum w:abstractNumId="73">
    <w:nsid w:val="5551B9F3"/>
    <w:multiLevelType w:val="hybridMultilevel"/>
    <w:lvl w:ilvl="0">
      <w:lvlJc w:val="left"/>
      <w:lvlText w:val="(%1)"/>
      <w:numFmt w:val="lowerLetter"/>
      <w:start w:val="9"/>
    </w:lvl>
    <w:lvl w:ilvl="1">
      <w:lvlJc w:val="left"/>
      <w:lvlText w:val="(%2)"/>
      <w:numFmt w:val="lowerLetter"/>
      <w:start w:val="3"/>
    </w:lvl>
  </w:abstractNum>
  <w:abstractNum w:abstractNumId="74">
    <w:nsid w:val="24F6AB8E"/>
    <w:multiLevelType w:val="hybridMultilevel"/>
    <w:lvl w:ilvl="0">
      <w:lvlJc w:val="left"/>
      <w:lvlText w:val="%1."/>
      <w:numFmt w:val="decimal"/>
      <w:start w:val="8"/>
    </w:lvl>
  </w:abstractNum>
  <w:abstractNum w:abstractNumId="75">
    <w:nsid w:val="634C574C"/>
    <w:multiLevelType w:val="hybridMultilevel"/>
    <w:lvl w:ilvl="0">
      <w:lvlJc w:val="left"/>
      <w:lvlText w:val="%1."/>
      <w:numFmt w:val="decimal"/>
      <w:start w:val="9"/>
    </w:lvl>
  </w:abstractNum>
  <w:abstractNum w:abstractNumId="76">
    <w:nsid w:val="24E99DD7"/>
    <w:multiLevelType w:val="hybridMultilevel"/>
    <w:lvl w:ilvl="0">
      <w:lvlJc w:val="left"/>
      <w:lvlText w:val="%1."/>
      <w:numFmt w:val="decimal"/>
      <w:start w:val="10"/>
    </w:lvl>
  </w:abstractNum>
  <w:abstractNum w:abstractNumId="77">
    <w:nsid w:val="2A31B62D"/>
    <w:multiLevelType w:val="hybridMultilevel"/>
    <w:lvl w:ilvl="0">
      <w:lvlJc w:val="left"/>
      <w:lvlText w:val="%1."/>
      <w:numFmt w:val="decimal"/>
      <w:start w:val="11"/>
    </w:lvl>
  </w:abstractNum>
  <w:abstractNum w:abstractNumId="78">
    <w:nsid w:val="1849C29B"/>
    <w:multiLevelType w:val="hybridMultilevel"/>
    <w:lvl w:ilvl="0">
      <w:lvlJc w:val="left"/>
      <w:lvlText w:val="%1."/>
      <w:numFmt w:val="decimal"/>
      <w:start w:val="12"/>
    </w:lvl>
  </w:abstractNum>
  <w:abstractNum w:abstractNumId="79">
    <w:nsid w:val="7DFF9D0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0">
    <w:nsid w:val="754342"/>
    <w:multiLevelType w:val="hybridMultilevel"/>
    <w:lvl w:ilvl="0">
      <w:lvlJc w:val="left"/>
      <w:lvlText w:val="%1"/>
      <w:numFmt w:val="lowerLetter"/>
      <w:start w:val="1"/>
    </w:lvl>
    <w:lvl w:ilvl="1">
      <w:lvlJc w:val="left"/>
      <w:lvlText w:val="%2."/>
      <w:numFmt w:val="decimal"/>
      <w:start w:val="13"/>
    </w:lvl>
    <w:lvl w:ilvl="2">
      <w:lvlJc w:val="left"/>
      <w:lvlText w:val="%3"/>
      <w:numFmt w:val="lowerRoman"/>
      <w:start w:val="1"/>
    </w:lvl>
  </w:abstractNum>
  <w:abstractNum w:abstractNumId="81">
    <w:nsid w:val="69E7F3E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2">
    <w:nsid w:val="2A6DE806"/>
    <w:multiLevelType w:val="hybridMultilevel"/>
    <w:lvl w:ilvl="0">
      <w:lvlJc w:val="left"/>
      <w:lvlText w:val="(%1)"/>
      <w:numFmt w:val="lowerLetter"/>
      <w:start w:val="2"/>
    </w:lvl>
  </w:abstractNum>
  <w:abstractNum w:abstractNumId="83">
    <w:nsid w:val="1816F8C4"/>
    <w:multiLevelType w:val="hybridMultilevel"/>
    <w:lvl w:ilvl="0">
      <w:lvlJc w:val="left"/>
      <w:lvlText w:val="%1."/>
      <w:numFmt w:val="decimal"/>
      <w:start w:val="14"/>
    </w:lvl>
  </w:abstractNum>
  <w:abstractNum w:abstractNumId="84">
    <w:nsid w:val="37DF2233"/>
    <w:multiLevelType w:val="hybridMultilevel"/>
    <w:lvl w:ilvl="0">
      <w:lvlJc w:val="left"/>
      <w:lvlText w:val="%1."/>
      <w:numFmt w:val="decimal"/>
      <w:start w:val="15"/>
    </w:lvl>
  </w:abstractNum>
  <w:abstractNum w:abstractNumId="85">
    <w:nsid w:val="7AB49DAF"/>
    <w:multiLevelType w:val="hybridMultilevel"/>
    <w:lvl w:ilvl="0">
      <w:lvlJc w:val="left"/>
      <w:lvlText w:val="%1."/>
      <w:numFmt w:val="decimal"/>
      <w:start w:val="16"/>
    </w:lvl>
  </w:abstractNum>
  <w:abstractNum w:abstractNumId="86">
    <w:nsid w:val="759F82CD"/>
    <w:multiLevelType w:val="hybridMultilevel"/>
    <w:lvl w:ilvl="0">
      <w:lvlJc w:val="left"/>
      <w:lvlText w:val="%1."/>
      <w:numFmt w:val="decimal"/>
      <w:start w:val="17"/>
    </w:lvl>
  </w:abstractNum>
  <w:abstractNum w:abstractNumId="87">
    <w:nsid w:val="61E74EA3"/>
    <w:multiLevelType w:val="hybridMultilevel"/>
    <w:lvl w:ilvl="0">
      <w:lvlJc w:val="left"/>
      <w:lvlText w:val="%1."/>
      <w:numFmt w:val="decimal"/>
      <w:start w:val="18"/>
    </w:lvl>
  </w:abstractNum>
  <w:abstractNum w:abstractNumId="88">
    <w:nsid w:val="597B4D84"/>
    <w:multiLevelType w:val="hybridMultilevel"/>
    <w:lvl w:ilvl="0">
      <w:lvlJc w:val="left"/>
      <w:lvlText w:val="%1."/>
      <w:numFmt w:val="decimal"/>
      <w:start w:val="19"/>
    </w:lvl>
  </w:abstractNum>
  <w:abstractNum w:abstractNumId="89">
    <w:nsid w:val="F819E7F"/>
    <w:multiLevelType w:val="hybridMultilevel"/>
    <w:lvl w:ilvl="0">
      <w:lvlJc w:val="left"/>
      <w:lvlText w:val="%1."/>
      <w:numFmt w:val="decimal"/>
      <w:start w:val="20"/>
    </w:lvl>
  </w:abstractNum>
  <w:abstractNum w:abstractNumId="90">
    <w:nsid w:val="57C7D42D"/>
    <w:multiLevelType w:val="hybridMultilevel"/>
    <w:lvl w:ilvl="0">
      <w:lvlJc w:val="left"/>
      <w:lvlText w:val="(%1)"/>
      <w:numFmt w:val="decimal"/>
      <w:start w:val="1"/>
    </w:lvl>
  </w:abstractNum>
  <w:abstractNum w:abstractNumId="91">
    <w:nsid w:val="312167AD"/>
    <w:multiLevelType w:val="hybridMultilevel"/>
    <w:lvl w:ilvl="0">
      <w:lvlJc w:val="left"/>
      <w:lvlText w:val="%1."/>
      <w:numFmt w:val="decimal"/>
      <w:start w:val="1"/>
    </w:lvl>
  </w:abstractNum>
  <w:abstractNum w:abstractNumId="92">
    <w:nsid w:val="631B64D4"/>
    <w:multiLevelType w:val="hybridMultilevel"/>
    <w:lvl w:ilvl="0">
      <w:lvlJc w:val="left"/>
      <w:lvlText w:val="%1."/>
      <w:numFmt w:val="decimal"/>
      <w:start w:val="2"/>
    </w:lvl>
  </w:abstractNum>
  <w:abstractNum w:abstractNumId="93">
    <w:nsid w:val="78B5E776"/>
    <w:multiLevelType w:val="hybridMultilevel"/>
    <w:lvl w:ilvl="0">
      <w:lvlJc w:val="left"/>
      <w:lvlText w:val="%1."/>
      <w:numFmt w:val="decimal"/>
      <w:start w:val="3"/>
    </w:lvl>
  </w:abstractNum>
  <w:abstractNum w:abstractNumId="94">
    <w:nsid w:val="75486E47"/>
    <w:multiLevelType w:val="hybridMultilevel"/>
    <w:lvl w:ilvl="0">
      <w:lvlJc w:val="left"/>
      <w:lvlText w:val="(%1)"/>
      <w:numFmt w:val="lowerLetter"/>
      <w:start w:val="1"/>
    </w:lvl>
  </w:abstractNum>
  <w:abstractNum w:abstractNumId="95">
    <w:nsid w:val="6E534CDE"/>
    <w:multiLevelType w:val="hybridMultilevel"/>
    <w:lvl w:ilvl="0">
      <w:lvlJc w:val="left"/>
      <w:lvlText w:val="(%1)"/>
      <w:numFmt w:val="lowerLetter"/>
      <w:start w:val="4"/>
    </w:lvl>
  </w:abstractNum>
  <w:abstractNum w:abstractNumId="96">
    <w:nsid w:val="1A0DDE32"/>
    <w:multiLevelType w:val="hybridMultilevel"/>
    <w:lvl w:ilvl="0">
      <w:lvlJc w:val="left"/>
      <w:lvlText w:val="%1."/>
      <w:numFmt w:val="decimal"/>
      <w:start w:val="4"/>
    </w:lvl>
  </w:abstractNum>
  <w:abstractNum w:abstractNumId="97">
    <w:nsid w:val="65968C1C"/>
    <w:multiLevelType w:val="hybridMultilevel"/>
    <w:lvl w:ilvl="0">
      <w:lvlJc w:val="left"/>
      <w:lvlText w:val="%1."/>
      <w:numFmt w:val="decimal"/>
      <w:start w:val="5"/>
    </w:lvl>
  </w:abstractNum>
  <w:abstractNum w:abstractNumId="98">
    <w:nsid w:val="46263DEC"/>
    <w:multiLevelType w:val="hybridMultilevel"/>
    <w:lvl w:ilvl="0">
      <w:lvlJc w:val="left"/>
      <w:lvlText w:val="(%1)"/>
      <w:numFmt w:val="lowerLetter"/>
      <w:start w:val="1"/>
    </w:lvl>
  </w:abstractNum>
  <w:abstractNum w:abstractNumId="99">
    <w:nsid w:val="260D8C4A"/>
    <w:multiLevelType w:val="hybridMultilevel"/>
    <w:lvl w:ilvl="0">
      <w:lvlJc w:val="left"/>
      <w:lvlText w:val="(%1)"/>
      <w:numFmt w:val="lowerLetter"/>
      <w:start w:val="2"/>
    </w:lvl>
    <w:lvl w:ilvl="1">
      <w:lvlJc w:val="left"/>
      <w:lvlText w:val="%2."/>
      <w:numFmt w:val="decimal"/>
      <w:start w:val="6"/>
    </w:lvl>
  </w:abstractNum>
  <w:abstractNum w:abstractNumId="100">
    <w:nsid w:val="73D4D3C4"/>
    <w:multiLevelType w:val="hybridMultilevel"/>
    <w:lvl w:ilvl="0">
      <w:lvlJc w:val="left"/>
      <w:lvlText w:val="%1"/>
      <w:numFmt w:val="lowerLetter"/>
      <w:start w:val="1"/>
    </w:lvl>
    <w:lvl w:ilvl="1">
      <w:lvlJc w:val="left"/>
      <w:lvlText w:val="%2."/>
      <w:numFmt w:val="decimal"/>
      <w:start w:val="7"/>
    </w:lvl>
  </w:abstractNum>
  <w:abstractNum w:abstractNumId="101">
    <w:nsid w:val="746F2E30"/>
    <w:multiLevelType w:val="hybridMultilevel"/>
    <w:lvl w:ilvl="0">
      <w:lvlJc w:val="left"/>
      <w:lvlText w:val="(%1)"/>
      <w:numFmt w:val="lowerLetter"/>
      <w:start w:val="1"/>
    </w:lvl>
    <w:lvl w:ilvl="1">
      <w:lvlJc w:val="left"/>
      <w:lvlText w:val="%2"/>
      <w:numFmt w:val="decimal"/>
      <w:start w:val="1"/>
    </w:lvl>
  </w:abstractNum>
  <w:abstractNum w:abstractNumId="102">
    <w:nsid w:val="6FDE8AF6"/>
    <w:multiLevelType w:val="hybridMultilevel"/>
    <w:lvl w:ilvl="0">
      <w:lvlJc w:val="left"/>
      <w:lvlText w:val="%1"/>
      <w:numFmt w:val="lowerLetter"/>
      <w:start w:val="1"/>
    </w:lvl>
    <w:lvl w:ilvl="1">
      <w:lvlJc w:val="left"/>
      <w:lvlText w:val="(%2)"/>
      <w:numFmt w:val="lowerLetter"/>
      <w:start w:val="2"/>
    </w:lvl>
  </w:abstractNum>
  <w:abstractNum w:abstractNumId="103">
    <w:nsid w:val="3FC32E20"/>
    <w:multiLevelType w:val="hybridMultilevel"/>
    <w:lvl w:ilvl="0">
      <w:lvlJc w:val="left"/>
      <w:lvlText w:val="(%1)"/>
      <w:numFmt w:val="lowerLetter"/>
      <w:start w:val="9"/>
    </w:lvl>
    <w:lvl w:ilvl="1">
      <w:lvlJc w:val="left"/>
      <w:lvlText w:val="(%2)"/>
      <w:numFmt w:val="lowerLetter"/>
      <w:start w:val="3"/>
    </w:lvl>
  </w:abstractNum>
  <w:abstractNum w:abstractNumId="104">
    <w:nsid w:val="49C0E823"/>
    <w:multiLevelType w:val="hybridMultilevel"/>
    <w:lvl w:ilvl="0">
      <w:lvlJc w:val="left"/>
      <w:lvlText w:val="%1."/>
      <w:numFmt w:val="decimal"/>
      <w:start w:val="8"/>
    </w:lvl>
  </w:abstractNum>
  <w:abstractNum w:abstractNumId="105">
    <w:nsid w:val="14D53685"/>
    <w:multiLevelType w:val="hybridMultilevel"/>
    <w:lvl w:ilvl="0">
      <w:lvlJc w:val="left"/>
      <w:lvlText w:val="%1."/>
      <w:numFmt w:val="decimal"/>
      <w:start w:val="9"/>
    </w:lvl>
  </w:abstractNum>
  <w:abstractNum w:abstractNumId="106">
    <w:nsid w:val="230F856C"/>
    <w:multiLevelType w:val="hybridMultilevel"/>
    <w:lvl w:ilvl="0">
      <w:lvlJc w:val="left"/>
      <w:lvlText w:val="%1."/>
      <w:numFmt w:val="decimal"/>
      <w:start w:val="10"/>
    </w:lvl>
  </w:abstractNum>
  <w:abstractNum w:abstractNumId="107">
    <w:nsid w:val="6EAA85FB"/>
    <w:multiLevelType w:val="hybridMultilevel"/>
    <w:lvl w:ilvl="0">
      <w:lvlJc w:val="left"/>
      <w:lvlText w:val="%1."/>
      <w:numFmt w:val="decimal"/>
      <w:start w:val="11"/>
    </w:lvl>
  </w:abstractNum>
  <w:abstractNum w:abstractNumId="108">
    <w:nsid w:val="3F06ECB2"/>
    <w:multiLevelType w:val="hybridMultilevel"/>
    <w:lvl w:ilvl="0">
      <w:lvlJc w:val="left"/>
      <w:lvlText w:val="%1."/>
      <w:numFmt w:val="decimal"/>
      <w:start w:val="12"/>
    </w:lvl>
  </w:abstractNum>
  <w:abstractNum w:abstractNumId="109">
    <w:nsid w:val="3B59480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0">
    <w:nsid w:val="6CAA2304"/>
    <w:multiLevelType w:val="hybridMultilevel"/>
    <w:lvl w:ilvl="0">
      <w:lvlJc w:val="left"/>
      <w:lvlText w:val="%1"/>
      <w:numFmt w:val="lowerLetter"/>
      <w:start w:val="1"/>
    </w:lvl>
    <w:lvl w:ilvl="1">
      <w:lvlJc w:val="left"/>
      <w:lvlText w:val="%2."/>
      <w:numFmt w:val="decimal"/>
      <w:start w:val="13"/>
    </w:lvl>
    <w:lvl w:ilvl="2">
      <w:lvlJc w:val="left"/>
      <w:lvlText w:val="%3"/>
      <w:numFmt w:val="lowerRoman"/>
      <w:start w:val="1"/>
    </w:lvl>
  </w:abstractNum>
  <w:abstractNum w:abstractNumId="111">
    <w:nsid w:val="3F7C2FF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2">
    <w:nsid w:val="25413BEC"/>
    <w:multiLevelType w:val="hybridMultilevel"/>
    <w:lvl w:ilvl="0">
      <w:lvlJc w:val="left"/>
      <w:lvlText w:val="(%1)"/>
      <w:numFmt w:val="lowerLetter"/>
      <w:start w:val="2"/>
    </w:lvl>
  </w:abstractNum>
  <w:abstractNum w:abstractNumId="113">
    <w:nsid w:val="17180B0B"/>
    <w:multiLevelType w:val="hybridMultilevel"/>
    <w:lvl w:ilvl="0">
      <w:lvlJc w:val="left"/>
      <w:lvlText w:val="%1."/>
      <w:numFmt w:val="decimal"/>
      <w:start w:val="14"/>
    </w:lvl>
  </w:abstractNum>
  <w:abstractNum w:abstractNumId="114">
    <w:nsid w:val="579328B9"/>
    <w:multiLevelType w:val="hybridMultilevel"/>
    <w:lvl w:ilvl="0">
      <w:lvlJc w:val="left"/>
      <w:lvlText w:val="%1."/>
      <w:numFmt w:val="decimal"/>
      <w:start w:val="15"/>
    </w:lvl>
  </w:abstractNum>
  <w:abstractNum w:abstractNumId="115">
    <w:nsid w:val="5D205E20"/>
    <w:multiLevelType w:val="hybridMultilevel"/>
    <w:lvl w:ilvl="0">
      <w:lvlJc w:val="left"/>
      <w:lvlText w:val="%1."/>
      <w:numFmt w:val="decimal"/>
      <w:start w:val="16"/>
    </w:lvl>
  </w:abstractNum>
  <w:abstractNum w:abstractNumId="116">
    <w:nsid w:val="11CCA8BA"/>
    <w:multiLevelType w:val="hybridMultilevel"/>
    <w:lvl w:ilvl="0">
      <w:lvlJc w:val="left"/>
      <w:lvlText w:val="%1."/>
      <w:numFmt w:val="decimal"/>
      <w:start w:val="17"/>
    </w:lvl>
  </w:abstractNum>
  <w:abstractNum w:abstractNumId="117">
    <w:nsid w:val="4D32AB86"/>
    <w:multiLevelType w:val="hybridMultilevel"/>
    <w:lvl w:ilvl="0">
      <w:lvlJc w:val="left"/>
      <w:lvlText w:val="%1."/>
      <w:numFmt w:val="decimal"/>
      <w:start w:val="18"/>
    </w:lvl>
  </w:abstractNum>
  <w:abstractNum w:abstractNumId="118">
    <w:nsid w:val="3F07ACC3"/>
    <w:multiLevelType w:val="hybridMultilevel"/>
    <w:lvl w:ilvl="0">
      <w:lvlJc w:val="left"/>
      <w:lvlText w:val="%1."/>
      <w:numFmt w:val="decimal"/>
      <w:start w:val="19"/>
    </w:lvl>
  </w:abstractNum>
  <w:abstractNum w:abstractNumId="119">
    <w:nsid w:val="6B47F63E"/>
    <w:multiLevelType w:val="hybridMultilevel"/>
    <w:lvl w:ilvl="0">
      <w:lvlJc w:val="left"/>
      <w:lvlText w:val="%1."/>
      <w:numFmt w:val="decimal"/>
      <w:start w:val="20"/>
    </w:lvl>
  </w:abstractNum>
  <w:abstractNum w:abstractNumId="120">
    <w:nsid w:val="5CB44A05"/>
    <w:multiLevelType w:val="hybridMultilevel"/>
    <w:lvl w:ilvl="0">
      <w:lvlJc w:val="left"/>
      <w:lvlText w:val="%1."/>
      <w:numFmt w:val="decimal"/>
      <w:start w:val="1"/>
    </w:lvl>
  </w:abstractNum>
  <w:abstractNum w:abstractNumId="121">
    <w:nsid w:val="16CF80F1"/>
    <w:multiLevelType w:val="hybridMultilevel"/>
    <w:lvl w:ilvl="0">
      <w:lvlJc w:val="left"/>
      <w:lvlText w:val="%1."/>
      <w:numFmt w:val="decimal"/>
      <w:start w:val="2"/>
    </w:lvl>
  </w:abstractNum>
  <w:abstractNum w:abstractNumId="122">
    <w:nsid w:val="1C695DEC"/>
    <w:multiLevelType w:val="hybridMultilevel"/>
    <w:lvl w:ilvl="0">
      <w:lvlJc w:val="left"/>
      <w:lvlText w:val="%1."/>
      <w:numFmt w:val="decimal"/>
      <w:start w:val="3"/>
    </w:lvl>
  </w:abstractNum>
  <w:abstractNum w:abstractNumId="123">
    <w:nsid w:val="3FCFAED9"/>
    <w:multiLevelType w:val="hybridMultilevel"/>
    <w:lvl w:ilvl="0">
      <w:lvlJc w:val="left"/>
      <w:lvlText w:val="(%1)"/>
      <w:numFmt w:val="lowerLetter"/>
      <w:start w:val="1"/>
    </w:lvl>
  </w:abstractNum>
  <w:abstractNum w:abstractNumId="124">
    <w:nsid w:val="F856867"/>
    <w:multiLevelType w:val="hybridMultilevel"/>
    <w:lvl w:ilvl="0">
      <w:lvlJc w:val="left"/>
      <w:lvlText w:val="(%1)"/>
      <w:numFmt w:val="lowerLetter"/>
      <w:start w:val="4"/>
    </w:lvl>
  </w:abstractNum>
  <w:abstractNum w:abstractNumId="125">
    <w:nsid w:val="11B1CC33"/>
    <w:multiLevelType w:val="hybridMultilevel"/>
    <w:lvl w:ilvl="0">
      <w:lvlJc w:val="left"/>
      <w:lvlText w:val="%1."/>
      <w:numFmt w:val="decimal"/>
      <w:start w:val="4"/>
    </w:lvl>
  </w:abstractNum>
  <w:abstractNum w:abstractNumId="126">
    <w:nsid w:val="2E22FBB7"/>
    <w:multiLevelType w:val="hybridMultilevel"/>
    <w:lvl w:ilvl="0">
      <w:lvlJc w:val="left"/>
      <w:lvlText w:val="%1."/>
      <w:numFmt w:val="decimal"/>
      <w:start w:val="5"/>
    </w:lvl>
  </w:abstractNum>
  <w:abstractNum w:abstractNumId="127">
    <w:nsid w:val="29934699"/>
    <w:multiLevelType w:val="hybridMultilevel"/>
    <w:lvl w:ilvl="0">
      <w:lvlJc w:val="left"/>
      <w:lvlText w:val="(%1)"/>
      <w:numFmt w:val="lowerLetter"/>
      <w:start w:val="1"/>
    </w:lvl>
  </w:abstractNum>
  <w:abstractNum w:abstractNumId="128">
    <w:nsid w:val="77485850"/>
    <w:multiLevelType w:val="hybridMultilevel"/>
    <w:lvl w:ilvl="0">
      <w:lvlJc w:val="left"/>
      <w:lvlText w:val="(%1)"/>
      <w:numFmt w:val="lowerLetter"/>
      <w:start w:val="2"/>
    </w:lvl>
    <w:lvl w:ilvl="1">
      <w:lvlJc w:val="left"/>
      <w:lvlText w:val="%2."/>
      <w:numFmt w:val="decimal"/>
      <w:start w:val="6"/>
    </w:lvl>
  </w:abstractNum>
  <w:abstractNum w:abstractNumId="129">
    <w:nsid w:val="744939A3"/>
    <w:multiLevelType w:val="hybridMultilevel"/>
    <w:lvl w:ilvl="0">
      <w:lvlJc w:val="left"/>
      <w:lvlText w:val="%1"/>
      <w:numFmt w:val="lowerLetter"/>
      <w:start w:val="1"/>
    </w:lvl>
    <w:lvl w:ilvl="1">
      <w:lvlJc w:val="left"/>
      <w:lvlText w:val="%2."/>
      <w:numFmt w:val="decimal"/>
      <w:start w:val="7"/>
    </w:lvl>
  </w:abstractNum>
  <w:abstractNum w:abstractNumId="130">
    <w:nsid w:val="4FA0D2E3"/>
    <w:multiLevelType w:val="hybridMultilevel"/>
    <w:lvl w:ilvl="0">
      <w:lvlJc w:val="left"/>
      <w:lvlText w:val="(%1)"/>
      <w:numFmt w:val="lowerLetter"/>
      <w:start w:val="1"/>
    </w:lvl>
    <w:lvl w:ilvl="1">
      <w:lvlJc w:val="left"/>
      <w:lvlText w:val="%2"/>
      <w:numFmt w:val="decimal"/>
      <w:start w:val="1"/>
    </w:lvl>
  </w:abstractNum>
  <w:abstractNum w:abstractNumId="131">
    <w:nsid w:val="6B1D2C14"/>
    <w:multiLevelType w:val="hybridMultilevel"/>
    <w:lvl w:ilvl="0">
      <w:lvlJc w:val="left"/>
      <w:lvlText w:val="(%1)"/>
      <w:numFmt w:val="lowerLetter"/>
      <w:start w:val="9"/>
    </w:lvl>
    <w:lvl w:ilvl="1">
      <w:lvlJc w:val="left"/>
      <w:lvlText w:val="(%2)"/>
      <w:numFmt w:val="lowerLetter"/>
      <w:start w:val="3"/>
    </w:lvl>
  </w:abstractNum>
  <w:abstractNum w:abstractNumId="132">
    <w:nsid w:val="68B867D3"/>
    <w:multiLevelType w:val="hybridMultilevel"/>
    <w:lvl w:ilvl="0">
      <w:lvlJc w:val="left"/>
      <w:lvlText w:val="%1."/>
      <w:numFmt w:val="decimal"/>
      <w:start w:val="8"/>
    </w:lvl>
  </w:abstractNum>
  <w:abstractNum w:abstractNumId="133">
    <w:nsid w:val="3F7F5DD9"/>
    <w:multiLevelType w:val="hybridMultilevel"/>
    <w:lvl w:ilvl="0">
      <w:lvlJc w:val="left"/>
      <w:lvlText w:val="%1."/>
      <w:numFmt w:val="decimal"/>
      <w:start w:val="9"/>
    </w:lvl>
  </w:abstractNum>
  <w:abstractNum w:abstractNumId="134">
    <w:nsid w:val="2AE05A34"/>
    <w:multiLevelType w:val="hybridMultilevel"/>
    <w:lvl w:ilvl="0">
      <w:lvlJc w:val="left"/>
      <w:lvlText w:val="%1."/>
      <w:numFmt w:val="decimal"/>
      <w:start w:val="10"/>
    </w:lvl>
  </w:abstractNum>
  <w:abstractNum w:abstractNumId="135">
    <w:nsid w:val="32794FF7"/>
    <w:multiLevelType w:val="hybridMultilevel"/>
    <w:lvl w:ilvl="0">
      <w:lvlJc w:val="left"/>
      <w:lvlText w:val="%1."/>
      <w:numFmt w:val="decimal"/>
      <w:start w:val="11"/>
    </w:lvl>
  </w:abstractNum>
  <w:abstractNum w:abstractNumId="136">
    <w:nsid w:val="5454945E"/>
    <w:multiLevelType w:val="hybridMultilevel"/>
    <w:lvl w:ilvl="0">
      <w:lvlJc w:val="left"/>
      <w:lvlText w:val="%1."/>
      <w:numFmt w:val="decimal"/>
      <w:start w:val="12"/>
    </w:lvl>
  </w:abstractNum>
  <w:abstractNum w:abstractNumId="137">
    <w:nsid w:val="4DEFDFA0"/>
    <w:multiLevelType w:val="hybridMultilevel"/>
    <w:lvl w:ilvl="0">
      <w:lvlJc w:val="left"/>
      <w:lvlText w:val="(%1)"/>
      <w:numFmt w:val="lowerRoman"/>
      <w:start w:val="1"/>
    </w:lvl>
    <w:lvl w:ilvl="1">
      <w:lvlJc w:val="left"/>
      <w:lvlText w:val="%2."/>
      <w:numFmt w:val="decimal"/>
      <w:start w:val="13"/>
    </w:lvl>
  </w:abstractNum>
  <w:abstractNum w:abstractNumId="138">
    <w:nsid w:val="2123D5F2"/>
    <w:multiLevelType w:val="hybridMultilevel"/>
    <w:lvl w:ilvl="0">
      <w:lvlJc w:val="left"/>
      <w:lvlText w:val="(%1)"/>
      <w:numFmt w:val="lowerLetter"/>
      <w:start w:val="1"/>
    </w:lvl>
  </w:abstractNum>
  <w:abstractNum w:abstractNumId="139">
    <w:nsid w:val="135B8110"/>
    <w:multiLevelType w:val="hybridMultilevel"/>
    <w:lvl w:ilvl="0">
      <w:lvlJc w:val="left"/>
      <w:lvlText w:val="(%1)"/>
      <w:numFmt w:val="lowerLetter"/>
      <w:start w:val="2"/>
    </w:lvl>
  </w:abstractNum>
  <w:abstractNum w:abstractNumId="140">
    <w:nsid w:val="94927A8"/>
    <w:multiLevelType w:val="hybridMultilevel"/>
    <w:lvl w:ilvl="0">
      <w:lvlJc w:val="left"/>
      <w:lvlText w:val="%1."/>
      <w:numFmt w:val="decimal"/>
      <w:start w:val="14"/>
    </w:lvl>
  </w:abstractNum>
  <w:abstractNum w:abstractNumId="141">
    <w:nsid w:val="DCDF8F6"/>
    <w:multiLevelType w:val="hybridMultilevel"/>
    <w:lvl w:ilvl="0">
      <w:lvlJc w:val="left"/>
      <w:lvlText w:val="%1."/>
      <w:numFmt w:val="decimal"/>
      <w:start w:val="15"/>
    </w:lvl>
  </w:abstractNum>
  <w:abstractNum w:abstractNumId="142">
    <w:nsid w:val="52D7B105"/>
    <w:multiLevelType w:val="hybridMultilevel"/>
    <w:lvl w:ilvl="0">
      <w:lvlJc w:val="left"/>
      <w:lvlText w:val="%1."/>
      <w:numFmt w:val="decimal"/>
      <w:start w:val="16"/>
    </w:lvl>
  </w:abstractNum>
  <w:abstractNum w:abstractNumId="143">
    <w:nsid w:val="2E8A6394"/>
    <w:multiLevelType w:val="hybridMultilevel"/>
    <w:lvl w:ilvl="0">
      <w:lvlJc w:val="left"/>
      <w:lvlText w:val="%1."/>
      <w:numFmt w:val="decimal"/>
      <w:start w:val="17"/>
    </w:lvl>
  </w:abstractNum>
  <w:abstractNum w:abstractNumId="144">
    <w:nsid w:val="24E60401"/>
    <w:multiLevelType w:val="hybridMultilevel"/>
    <w:lvl w:ilvl="0">
      <w:lvlJc w:val="left"/>
      <w:lvlText w:val="%1."/>
      <w:numFmt w:val="decimal"/>
      <w:start w:val="18"/>
    </w:lvl>
  </w:abstractNum>
  <w:abstractNum w:abstractNumId="145">
    <w:nsid w:val="2A6AD9BE"/>
    <w:multiLevelType w:val="hybridMultilevel"/>
    <w:lvl w:ilvl="0">
      <w:lvlJc w:val="left"/>
      <w:lvlText w:val="%1."/>
      <w:numFmt w:val="decimal"/>
      <w:start w:val="19"/>
    </w:lvl>
  </w:abstractNum>
  <w:abstractNum w:abstractNumId="146">
    <w:nsid w:val="BAAC1B4"/>
    <w:multiLevelType w:val="hybridMultilevel"/>
    <w:lvl w:ilvl="0">
      <w:lvlJc w:val="left"/>
      <w:lvlText w:val="%1."/>
      <w:numFmt w:val="decimal"/>
      <w:start w:val="20"/>
    </w:lvl>
  </w:abstractNum>
  <w:abstractNum w:abstractNumId="147">
    <w:nsid w:val="36B2ACBC"/>
    <w:multiLevelType w:val="hybridMultilevel"/>
    <w:lvl w:ilvl="0">
      <w:lvlJc w:val="left"/>
      <w:lvlText w:val="%1."/>
      <w:numFmt w:val="decimal"/>
      <w:start w:val="1"/>
    </w:lvl>
  </w:abstractNum>
  <w:abstractNum w:abstractNumId="148">
    <w:nsid w:val="779D8544"/>
    <w:multiLevelType w:val="hybridMultilevel"/>
    <w:lvl w:ilvl="0">
      <w:lvlJc w:val="left"/>
      <w:lvlText w:val="%1."/>
      <w:numFmt w:val="decimal"/>
      <w:start w:val="2"/>
    </w:lvl>
  </w:abstractNum>
  <w:abstractNum w:abstractNumId="149">
    <w:nsid w:val="4AB26E7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150">
    <w:nsid w:val="21FAA2F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1">
    <w:nsid w:val="5451CF49"/>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152">
    <w:nsid w:val="6181EF69"/>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lvl w:ilvl="3">
      <w:lvlJc w:val="left"/>
      <w:lvlText w:val="(%4)"/>
      <w:numFmt w:val="lowerRoman"/>
      <w:start w:val="1"/>
    </w:lvl>
  </w:abstractNum>
  <w:abstractNum w:abstractNumId="153">
    <w:nsid w:val="3E6400E6"/>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3"/>
    </w:lvl>
    <w:lvl w:ilvl="3">
      <w:lvlJc w:val="left"/>
      <w:lvlText w:val="(%4)"/>
      <w:numFmt w:val="lowerRoman"/>
      <w:start w:val="3"/>
    </w:lvl>
  </w:abstractNum>
  <w:abstractNum w:abstractNumId="154">
    <w:nsid w:val="14217E23"/>
    <w:multiLevelType w:val="hybridMultilevel"/>
    <w:lvl w:ilvl="0">
      <w:lvlJc w:val="left"/>
      <w:lvlText w:val="%1."/>
      <w:numFmt w:val="decimal"/>
      <w:start w:val="5"/>
    </w:lvl>
  </w:abstractNum>
  <w:abstractNum w:abstractNumId="155">
    <w:nsid w:val="710757D0"/>
    <w:multiLevelType w:val="hybridMultilevel"/>
    <w:lvl w:ilvl="0">
      <w:lvlJc w:val="left"/>
      <w:lvlText w:val="%1."/>
      <w:numFmt w:val="decimal"/>
      <w:start w:val="6"/>
    </w:lvl>
  </w:abstractNum>
  <w:abstractNum w:abstractNumId="156">
    <w:nsid w:val="5015CD1A"/>
    <w:multiLevelType w:val="hybridMultilevel"/>
    <w:lvl w:ilvl="0">
      <w:lvlJc w:val="left"/>
      <w:lvlText w:val="%1"/>
      <w:numFmt w:val="lowerLetter"/>
      <w:start w:val="1"/>
    </w:lvl>
    <w:lvl w:ilvl="1">
      <w:lvlJc w:val="left"/>
      <w:lvlText w:val="%2."/>
      <w:numFmt w:val="decimal"/>
      <w:start w:val="7"/>
    </w:lvl>
  </w:abstractNum>
  <w:abstractNum w:abstractNumId="157">
    <w:nsid w:val="424479DA"/>
    <w:multiLevelType w:val="hybridMultilevel"/>
    <w:lvl w:ilvl="0">
      <w:lvlJc w:val="left"/>
      <w:lvlText w:val="(%1)"/>
      <w:numFmt w:val="lowerLetter"/>
      <w:start w:val="1"/>
    </w:lvl>
    <w:lvl w:ilvl="1">
      <w:lvlJc w:val="left"/>
      <w:lvlText w:val="%2"/>
      <w:numFmt w:val="decimal"/>
      <w:start w:val="1"/>
    </w:lvl>
  </w:abstractNum>
  <w:abstractNum w:abstractNumId="158">
    <w:nsid w:val="1A9A9E69"/>
    <w:multiLevelType w:val="hybridMultilevel"/>
    <w:lvl w:ilvl="0">
      <w:lvlJc w:val="left"/>
      <w:lvlText w:val="(%1)"/>
      <w:numFmt w:val="lowerLetter"/>
      <w:start w:val="3"/>
    </w:lvl>
    <w:lvl w:ilvl="1">
      <w:lvlJc w:val="left"/>
      <w:lvlText w:val="%2."/>
      <w:numFmt w:val="decimal"/>
      <w:start w:val="8"/>
    </w:lvl>
  </w:abstractNum>
  <w:abstractNum w:abstractNumId="159">
    <w:nsid w:val="475E256A"/>
    <w:multiLevelType w:val="hybridMultilevel"/>
    <w:lvl w:ilvl="0">
      <w:lvlJc w:val="left"/>
      <w:lvlText w:val="%1."/>
      <w:numFmt w:val="decimal"/>
      <w:start w:val="9"/>
    </w:lvl>
  </w:abstractNum>
  <w:abstractNum w:abstractNumId="160">
    <w:nsid w:val="368DB37E"/>
    <w:multiLevelType w:val="hybridMultilevel"/>
    <w:lvl w:ilvl="0">
      <w:lvlJc w:val="left"/>
      <w:lvlText w:val="%1."/>
      <w:numFmt w:val="decimal"/>
      <w:start w:val="10"/>
    </w:lvl>
  </w:abstractNum>
  <w:abstractNum w:abstractNumId="161">
    <w:nsid w:val="6A3B714C"/>
    <w:multiLevelType w:val="hybridMultilevel"/>
    <w:lvl w:ilvl="0">
      <w:lvlJc w:val="left"/>
      <w:lvlText w:val="%1."/>
      <w:numFmt w:val="decimal"/>
      <w:start w:val="11"/>
    </w:lvl>
  </w:abstractNum>
  <w:abstractNum w:abstractNumId="162">
    <w:nsid w:val="327B517E"/>
    <w:multiLevelType w:val="hybridMultilevel"/>
    <w:lvl w:ilvl="0">
      <w:lvlJc w:val="left"/>
      <w:lvlText w:val="%1."/>
      <w:numFmt w:val="decimal"/>
      <w:start w:val="12"/>
    </w:lvl>
  </w:abstractNum>
  <w:abstractNum w:abstractNumId="163">
    <w:nsid w:val="1F461B51"/>
    <w:multiLevelType w:val="hybridMultilevel"/>
    <w:lvl w:ilvl="0">
      <w:lvlJc w:val="left"/>
      <w:lvlText w:val="(%1)"/>
      <w:numFmt w:val="lowerRoman"/>
      <w:start w:val="1"/>
    </w:lvl>
  </w:abstractNum>
  <w:abstractNum w:abstractNumId="164">
    <w:nsid w:val="29BACF25"/>
    <w:multiLevelType w:val="hybridMultilevel"/>
    <w:lvl w:ilvl="0">
      <w:lvlJc w:val="left"/>
      <w:lvlText w:val="(%1)"/>
      <w:numFmt w:val="lowerRoman"/>
      <w:start w:val="2"/>
    </w:lvl>
    <w:lvl w:ilvl="1">
      <w:lvlJc w:val="left"/>
      <w:lvlText w:val="%2."/>
      <w:numFmt w:val="decimal"/>
      <w:start w:val="13"/>
    </w:lvl>
  </w:abstractNum>
  <w:abstractNum w:abstractNumId="165">
    <w:nsid w:val="5D5BABB3"/>
    <w:multiLevelType w:val="hybridMultilevel"/>
    <w:lvl w:ilvl="0">
      <w:lvlJc w:val="left"/>
      <w:lvlText w:val="(%1)"/>
      <w:numFmt w:val="lowerLetter"/>
      <w:start w:val="1"/>
    </w:lvl>
  </w:abstractNum>
  <w:abstractNum w:abstractNumId="166">
    <w:nsid w:val="51BF6B48"/>
    <w:multiLevelType w:val="hybridMultilevel"/>
    <w:lvl w:ilvl="0">
      <w:lvlJc w:val="left"/>
      <w:lvlText w:val="(%1)"/>
      <w:numFmt w:val="lowerLetter"/>
      <w:start w:val="2"/>
    </w:lvl>
  </w:abstractNum>
  <w:abstractNum w:abstractNumId="167">
    <w:nsid w:val="7E0F6384"/>
    <w:multiLevelType w:val="hybridMultilevel"/>
    <w:lvl w:ilvl="0">
      <w:lvlJc w:val="left"/>
      <w:lvlText w:val="%1."/>
      <w:numFmt w:val="decimal"/>
      <w:start w:val="14"/>
    </w:lvl>
  </w:abstractNum>
  <w:abstractNum w:abstractNumId="168">
    <w:nsid w:val="2B4B8B53"/>
    <w:multiLevelType w:val="hybridMultilevel"/>
    <w:lvl w:ilvl="0">
      <w:lvlJc w:val="left"/>
      <w:lvlText w:val="%1."/>
      <w:numFmt w:val="decimal"/>
      <w:start w:val="15"/>
    </w:lvl>
  </w:abstractNum>
  <w:abstractNum w:abstractNumId="169">
    <w:nsid w:val="72E3413A"/>
    <w:multiLevelType w:val="hybridMultilevel"/>
    <w:lvl w:ilvl="0">
      <w:lvlJc w:val="left"/>
      <w:lvlText w:val="%1."/>
      <w:numFmt w:val="decimal"/>
      <w:start w:val="16"/>
    </w:lvl>
  </w:abstractNum>
  <w:abstractNum w:abstractNumId="170">
    <w:nsid w:val="116AE494"/>
    <w:multiLevelType w:val="hybridMultilevel"/>
    <w:lvl w:ilvl="0">
      <w:lvlJc w:val="left"/>
      <w:lvlText w:val="%1."/>
      <w:numFmt w:val="decimal"/>
      <w:start w:val="17"/>
    </w:lvl>
  </w:abstractNum>
  <w:abstractNum w:abstractNumId="171">
    <w:nsid w:val="3494B2FB"/>
    <w:multiLevelType w:val="hybridMultilevel"/>
    <w:lvl w:ilvl="0">
      <w:lvlJc w:val="left"/>
      <w:lvlText w:val="%1."/>
      <w:numFmt w:val="decimal"/>
      <w:start w:val="18"/>
    </w:lvl>
  </w:abstractNum>
  <w:abstractNum w:abstractNumId="172">
    <w:nsid w:val="B13A31"/>
    <w:multiLevelType w:val="hybridMultilevel"/>
    <w:lvl w:ilvl="0">
      <w:lvlJc w:val="left"/>
      <w:lvlText w:val="%1."/>
      <w:numFmt w:val="decimal"/>
      <w:start w:val="19"/>
    </w:lvl>
  </w:abstractNum>
  <w:abstractNum w:abstractNumId="173">
    <w:nsid w:val="64429599"/>
    <w:multiLevelType w:val="hybridMultilevel"/>
    <w:lvl w:ilvl="0">
      <w:lvlJc w:val="left"/>
      <w:lvlText w:val="%1."/>
      <w:numFmt w:val="decimal"/>
      <w:start w:val="1"/>
    </w:lvl>
  </w:abstractNum>
  <w:abstractNum w:abstractNumId="174">
    <w:nsid w:val="631F1690"/>
    <w:multiLevelType w:val="hybridMultilevel"/>
    <w:lvl w:ilvl="0">
      <w:lvlJc w:val="left"/>
      <w:lvlText w:val="%1."/>
      <w:numFmt w:val="decimal"/>
      <w:start w:val="2"/>
    </w:lvl>
  </w:abstractNum>
  <w:abstractNum w:abstractNumId="175">
    <w:nsid w:val="25973E3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176">
    <w:nsid w:val="EAD6F5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77">
    <w:nsid w:val="6EC9D844"/>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178">
    <w:nsid w:val="5C49EAEE"/>
    <w:multiLevelType w:val="hybridMultilevel"/>
    <w:lvl w:ilvl="0">
      <w:lvlJc w:val="left"/>
      <w:lvlText w:val="(%1)"/>
      <w:numFmt w:val="lowerLetter"/>
      <w:start w:val="3"/>
    </w:lvl>
    <w:lvl w:ilvl="1">
      <w:lvlJc w:val="left"/>
      <w:lvlText w:val="%2."/>
      <w:numFmt w:val="decimal"/>
      <w:start w:val="3"/>
    </w:lvl>
    <w:lvl w:ilvl="2">
      <w:lvlJc w:val="left"/>
      <w:lvlText w:val="(%3)"/>
      <w:numFmt w:val="lowerRoman"/>
      <w:start w:val="1"/>
    </w:lvl>
  </w:abstractNum>
  <w:abstractNum w:abstractNumId="179">
    <w:nsid w:val="64AF49B"/>
    <w:multiLevelType w:val="hybridMultilevel"/>
    <w:lvl w:ilvl="0">
      <w:lvlJc w:val="left"/>
      <w:lvlText w:val="%1."/>
      <w:numFmt w:val="decimal"/>
      <w:start w:val="5"/>
    </w:lvl>
  </w:abstractNum>
  <w:abstractNum w:abstractNumId="180">
    <w:nsid w:val="397C46BC"/>
    <w:multiLevelType w:val="hybridMultilevel"/>
    <w:lvl w:ilvl="0">
      <w:lvlJc w:val="left"/>
      <w:lvlText w:val="%1."/>
      <w:numFmt w:val="decimal"/>
      <w:start w:val="6"/>
    </w:lvl>
  </w:abstractNum>
  <w:abstractNum w:abstractNumId="181">
    <w:nsid w:val="7E448DE9"/>
    <w:multiLevelType w:val="hybridMultilevel"/>
    <w:lvl w:ilvl="0">
      <w:lvlJc w:val="left"/>
      <w:lvlText w:val="%1"/>
      <w:numFmt w:val="lowerLetter"/>
      <w:start w:val="1"/>
    </w:lvl>
    <w:lvl w:ilvl="1">
      <w:lvlJc w:val="left"/>
      <w:lvlText w:val="%2."/>
      <w:numFmt w:val="decimal"/>
      <w:start w:val="7"/>
    </w:lvl>
  </w:abstractNum>
  <w:abstractNum w:abstractNumId="182">
    <w:nsid w:val="5A9CC3E5"/>
    <w:multiLevelType w:val="hybridMultilevel"/>
    <w:lvl w:ilvl="0">
      <w:lvlJc w:val="left"/>
      <w:lvlText w:val="(%1)"/>
      <w:numFmt w:val="lowerLetter"/>
      <w:start w:val="1"/>
    </w:lvl>
    <w:lvl w:ilvl="1">
      <w:lvlJc w:val="left"/>
      <w:lvlText w:val="%2"/>
      <w:numFmt w:val="decimal"/>
      <w:start w:val="1"/>
    </w:lvl>
  </w:abstractNum>
  <w:abstractNum w:abstractNumId="183">
    <w:nsid w:val="1AFE3625"/>
    <w:multiLevelType w:val="hybridMultilevel"/>
    <w:lvl w:ilvl="0">
      <w:lvlJc w:val="left"/>
      <w:lvlText w:val="%1."/>
      <w:numFmt w:val="decimal"/>
      <w:start w:val="8"/>
    </w:lvl>
  </w:abstractNum>
  <w:abstractNum w:abstractNumId="184">
    <w:nsid w:val="3CA88ECF"/>
    <w:multiLevelType w:val="hybridMultilevel"/>
    <w:lvl w:ilvl="0">
      <w:lvlJc w:val="left"/>
      <w:lvlText w:val="%1."/>
      <w:numFmt w:val="decimal"/>
      <w:start w:val="9"/>
    </w:lvl>
  </w:abstractNum>
  <w:abstractNum w:abstractNumId="185">
    <w:nsid w:val="6EBE4208"/>
    <w:multiLevelType w:val="hybridMultilevel"/>
    <w:lvl w:ilvl="0">
      <w:lvlJc w:val="left"/>
      <w:lvlText w:val="%1."/>
      <w:numFmt w:val="decimal"/>
      <w:start w:val="10"/>
    </w:lvl>
  </w:abstractNum>
  <w:abstractNum w:abstractNumId="186">
    <w:nsid w:val="C058DF5"/>
    <w:multiLevelType w:val="hybridMultilevel"/>
    <w:lvl w:ilvl="0">
      <w:lvlJc w:val="left"/>
      <w:lvlText w:val="%1."/>
      <w:numFmt w:val="decimal"/>
      <w:start w:val="11"/>
    </w:lvl>
  </w:abstractNum>
  <w:abstractNum w:abstractNumId="187">
    <w:nsid w:val="CBE5BE9"/>
    <w:multiLevelType w:val="hybridMultilevel"/>
    <w:lvl w:ilvl="0">
      <w:lvlJc w:val="left"/>
      <w:lvlText w:val="%1."/>
      <w:numFmt w:val="decimal"/>
      <w:start w:val="12"/>
    </w:lvl>
  </w:abstractNum>
  <w:abstractNum w:abstractNumId="188">
    <w:nsid w:val="3102BBE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89">
    <w:nsid w:val="26A02C5E"/>
    <w:multiLevelType w:val="hybridMultilevel"/>
    <w:lvl w:ilvl="0">
      <w:lvlJc w:val="left"/>
      <w:lvlText w:val="%1"/>
      <w:numFmt w:val="lowerLetter"/>
      <w:start w:val="1"/>
    </w:lvl>
    <w:lvl w:ilvl="1">
      <w:lvlJc w:val="left"/>
      <w:lvlText w:val="%2."/>
      <w:numFmt w:val="decimal"/>
      <w:start w:val="13"/>
    </w:lvl>
    <w:lvl w:ilvl="2">
      <w:lvlJc w:val="left"/>
      <w:lvlText w:val="%3"/>
      <w:numFmt w:val="lowerRoman"/>
      <w:start w:val="1"/>
    </w:lvl>
  </w:abstractNum>
  <w:abstractNum w:abstractNumId="190">
    <w:nsid w:val="541C815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1">
    <w:nsid w:val="67906F60"/>
    <w:multiLevelType w:val="hybridMultilevel"/>
    <w:lvl w:ilvl="0">
      <w:lvlJc w:val="left"/>
      <w:lvlText w:val="%1."/>
      <w:numFmt w:val="decimal"/>
      <w:start w:val="14"/>
    </w:lvl>
  </w:abstractNum>
  <w:abstractNum w:abstractNumId="192">
    <w:nsid w:val="10DB9DAA"/>
    <w:multiLevelType w:val="hybridMultilevel"/>
    <w:lvl w:ilvl="0">
      <w:lvlJc w:val="left"/>
      <w:lvlText w:val="%1."/>
      <w:numFmt w:val="decimal"/>
      <w:start w:val="15"/>
    </w:lvl>
  </w:abstractNum>
  <w:abstractNum w:abstractNumId="193">
    <w:nsid w:val="697D2D2"/>
    <w:multiLevelType w:val="hybridMultilevel"/>
    <w:lvl w:ilvl="0">
      <w:lvlJc w:val="left"/>
      <w:lvlText w:val="%1."/>
      <w:numFmt w:val="decimal"/>
      <w:start w:val="16"/>
    </w:lvl>
  </w:abstractNum>
  <w:abstractNum w:abstractNumId="194">
    <w:nsid w:val="6D68AB2"/>
    <w:multiLevelType w:val="hybridMultilevel"/>
    <w:lvl w:ilvl="0">
      <w:lvlJc w:val="left"/>
      <w:lvlText w:val="%1."/>
      <w:numFmt w:val="decimal"/>
      <w:start w:val="17"/>
    </w:lvl>
  </w:abstractNum>
  <w:abstractNum w:abstractNumId="195">
    <w:nsid w:val="3A966CD0"/>
    <w:multiLevelType w:val="hybridMultilevel"/>
    <w:lvl w:ilvl="0">
      <w:lvlJc w:val="left"/>
      <w:lvlText w:val="%1."/>
      <w:numFmt w:val="decimal"/>
      <w:start w:val="18"/>
    </w:lvl>
  </w:abstractNum>
  <w:abstractNum w:abstractNumId="196">
    <w:nsid w:val="63F37E85"/>
    <w:multiLevelType w:val="hybridMultilevel"/>
    <w:lvl w:ilvl="0">
      <w:lvlJc w:val="left"/>
      <w:lvlText w:val="%1."/>
      <w:numFmt w:val="decimal"/>
      <w:start w:val="19"/>
    </w:lvl>
  </w:abstractNum>
  <w:abstractNum w:abstractNumId="197">
    <w:nsid w:val="5895F5FA"/>
    <w:multiLevelType w:val="hybridMultilevel"/>
    <w:lvl w:ilvl="0">
      <w:lvlJc w:val="left"/>
      <w:lvlText w:val="%1."/>
      <w:numFmt w:val="decimal"/>
      <w:start w:val="1"/>
    </w:lvl>
    <w:lvl w:ilvl="1">
      <w:lvlJc w:val="left"/>
      <w:lvlText w:val="%2."/>
      <w:numFmt w:val="lowerLetter"/>
      <w:start w:val="1"/>
    </w:lvl>
  </w:abstractNum>
  <w:abstractNum w:abstractNumId="198">
    <w:nsid w:val="38A5D054"/>
    <w:multiLevelType w:val="hybridMultilevel"/>
    <w:lvl w:ilvl="0">
      <w:lvlJc w:val="left"/>
      <w:lvlText w:val="%1."/>
      <w:numFmt w:val="decimal"/>
      <w:start w:val="1"/>
    </w:lvl>
    <w:lvl w:ilvl="1">
      <w:lvlJc w:val="left"/>
      <w:lvlText w:val="%2."/>
      <w:numFmt w:val="lowerLetter"/>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2024-04-25T06:17:21Z</dcterms:created>
  <dcterms:modified xsi:type="dcterms:W3CDTF">2024-04-25T06:17:21Z</dcterms:modified>
</cp:coreProperties>
</file>