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Zucker Scott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Chief Admin. and Risk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03/16/2022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Arial" w:cs="Arial" w:eastAsia="Arial" w:hAnsi="Arial"/>
                <w:sz w:val="17"/>
                <w:szCs w:val="17"/>
                <w:color w:val="0000FF"/>
              </w:rPr>
              <w:t>869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87.43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46,140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03/16/2022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17"/>
              <w:spacing w:after="0" w:line="320" w:lineRule="exact"/>
              <w:rPr>
                <w:sz w:val="20"/>
                <w:szCs w:val="20"/>
                <w:color w:val="auto"/>
              </w:rPr>
            </w:pPr>
            <w:r>
              <w:rPr>
                <w:rFonts w:ascii="Arial" w:cs="Arial" w:eastAsia="Arial" w:hAnsi="Arial"/>
                <w:sz w:val="34"/>
                <w:szCs w:val="34"/>
                <w:color w:val="0000FF"/>
                <w:vertAlign w:val="subscript"/>
              </w:rPr>
              <w:t>2</w:t>
            </w:r>
            <w:r>
              <w:rPr>
                <w:rFonts w:ascii="Arial" w:cs="Arial" w:eastAsia="Arial" w:hAnsi="Arial"/>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46,142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jc w:val="both"/>
        <w:ind w:left="40" w:right="3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3,001 unvested RSUs in respect of Class A Common Stock which are scheduled to vest on March 17, 2023, (ii) 18,008 unvested RSUs in respect of Class A Common Stock which are scheduled to vest on January 1, 2023, (iii) 3,393 unvested RSUs in respect of Class A Common Stock which are scheduled to vest in equal installments on each of March 15, 2023 and March 15, 2024, (iv) 10,180 unvested RSUs in respect of Class A Common Stock which are scheduled to vest on January 1, 2024, and (v) 4,478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03/18/2022</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2022-03-18T18:59:58Z</dcterms:created>
  <dcterms:modified xsi:type="dcterms:W3CDTF">2022-03-18T18:59:58Z</dcterms:modified>
</cp:coreProperties>
</file>