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4, 2021</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47"/>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07"/>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52"/>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1"/>
                <w:szCs w:val="21"/>
                <w:color w:val="auto"/>
              </w:rPr>
            </w:pPr>
          </w:p>
        </w:tc>
        <w:tc>
          <w:tcPr>
            <w:tcW w:w="26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0"/>
        </w:trPr>
        <w:tc>
          <w:tcPr>
            <w:tcW w:w="4560" w:type="dxa"/>
            <w:vAlign w:val="bottom"/>
            <w:gridSpan w:val="2"/>
            <w:vMerge w:val="continue"/>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February 4, 2021, Tradeweb Markets Inc. (the “Company”) issued a press release, a copy of which is furnished as Exhibit 99.1 hereto and incorporated herein by reference, announcing financial results for the quarter and full year ended December 31, 2020.</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400" w:type="dxa"/>
            <w:vAlign w:val="bottom"/>
            <w:gridSpan w:val="3"/>
            <w:vMerge w:val="restart"/>
          </w:tcPr>
          <w:p>
            <w:pPr>
              <w:ind w:left="40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940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Press Release of Tradeweb Markets Inc., dated February</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4, </w:t>
            </w:r>
            <w:hyperlink w:anchor="page4">
              <w:r>
                <w:rPr>
                  <w:rFonts w:ascii="Times New Roman" w:cs="Times New Roman" w:eastAsia="Times New Roman" w:hAnsi="Times New Roman"/>
                  <w:sz w:val="18"/>
                  <w:szCs w:val="18"/>
                  <w:color w:val="0000FF"/>
                </w:rPr>
                <w:t>202</w:t>
              </w:r>
            </w:hyperlink>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78"/>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2021</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7"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FOURTH QUARTER AND FULL YEAR 2020 FINANCIAL RESULTS</w:t>
      </w:r>
    </w:p>
    <w:p>
      <w:pPr>
        <w:spacing w:after="0" w:line="267" w:lineRule="exact"/>
        <w:rPr>
          <w:sz w:val="20"/>
          <w:szCs w:val="20"/>
          <w:color w:val="auto"/>
        </w:rPr>
      </w:pPr>
    </w:p>
    <w:p>
      <w:pPr>
        <w:ind w:left="20" w:right="40"/>
        <w:spacing w:after="0" w:line="294" w:lineRule="auto"/>
        <w:rPr>
          <w:sz w:val="20"/>
          <w:szCs w:val="20"/>
          <w:color w:val="auto"/>
        </w:rPr>
      </w:pPr>
      <w:r>
        <w:rPr>
          <w:rFonts w:ascii="Arial" w:cs="Arial" w:eastAsia="Arial" w:hAnsi="Arial"/>
          <w:sz w:val="16"/>
          <w:szCs w:val="16"/>
          <w:b w:val="1"/>
          <w:bCs w:val="1"/>
          <w:color w:val="auto"/>
        </w:rPr>
        <w:t xml:space="preserve">New York, February 4, 2021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and full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78105</wp:posOffset>
            </wp:positionV>
            <wp:extent cx="3068955" cy="2331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8955" cy="2331720"/>
                    </a:xfrm>
                    <a:prstGeom prst="rect">
                      <a:avLst/>
                    </a:prstGeom>
                    <a:noFill/>
                  </pic:spPr>
                </pic:pic>
              </a:graphicData>
            </a:graphic>
          </wp:anchor>
        </w:drawing>
      </w:r>
    </w:p>
    <w:p>
      <w:pPr>
        <w:sectPr>
          <w:pgSz w:w="11900" w:h="16838" w:orient="portrait"/>
          <w:cols w:equalWidth="0" w:num="1">
            <w:col w:w="10960"/>
          </w:cols>
          <w:pgMar w:left="320" w:top="281" w:right="619" w:bottom="1440" w:gutter="0" w:footer="0" w:header="0"/>
        </w:sectPr>
      </w:pPr>
    </w:p>
    <w:p>
      <w:pPr>
        <w:spacing w:after="0" w:line="130" w:lineRule="exact"/>
        <w:rPr>
          <w:sz w:val="20"/>
          <w:szCs w:val="20"/>
          <w:color w:val="auto"/>
        </w:rPr>
      </w:pPr>
    </w:p>
    <w:p>
      <w:pPr>
        <w:jc w:val="both"/>
        <w:ind w:left="20" w:right="140"/>
        <w:spacing w:after="0" w:line="270" w:lineRule="auto"/>
        <w:rPr>
          <w:sz w:val="20"/>
          <w:szCs w:val="20"/>
          <w:color w:val="auto"/>
        </w:rPr>
      </w:pPr>
      <w:r>
        <w:rPr>
          <w:rFonts w:ascii="Arial" w:cs="Arial" w:eastAsia="Arial" w:hAnsi="Arial"/>
          <w:sz w:val="16"/>
          <w:szCs w:val="16"/>
          <w:b w:val="1"/>
          <w:bCs w:val="1"/>
          <w:color w:val="auto"/>
        </w:rPr>
        <w:t xml:space="preserve">$233.1 million </w:t>
      </w:r>
      <w:r>
        <w:rPr>
          <w:rFonts w:ascii="Arial" w:cs="Arial" w:eastAsia="Arial" w:hAnsi="Arial"/>
          <w:sz w:val="16"/>
          <w:szCs w:val="16"/>
          <w:color w:val="auto"/>
        </w:rPr>
        <w:t>quarterly gross revenues increased</w:t>
      </w:r>
      <w:r>
        <w:rPr>
          <w:rFonts w:ascii="Arial" w:cs="Arial" w:eastAsia="Arial" w:hAnsi="Arial"/>
          <w:sz w:val="16"/>
          <w:szCs w:val="16"/>
          <w:b w:val="1"/>
          <w:bCs w:val="1"/>
          <w:color w:val="auto"/>
        </w:rPr>
        <w:t xml:space="preserve"> 18.1% </w:t>
      </w:r>
      <w:r>
        <w:rPr>
          <w:rFonts w:ascii="Arial" w:cs="Arial" w:eastAsia="Arial" w:hAnsi="Arial"/>
          <w:sz w:val="16"/>
          <w:szCs w:val="16"/>
          <w:color w:val="auto"/>
        </w:rPr>
        <w:t>(</w:t>
      </w:r>
      <w:r>
        <w:rPr>
          <w:rFonts w:ascii="Arial" w:cs="Arial" w:eastAsia="Arial" w:hAnsi="Arial"/>
          <w:sz w:val="16"/>
          <w:szCs w:val="16"/>
          <w:b w:val="1"/>
          <w:bCs w:val="1"/>
          <w:color w:val="auto"/>
        </w:rPr>
        <w:t xml:space="preserve">15.9%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year over year. Full Year 2020 gross revenue increase of 15.1% vs Full Year 2019</w:t>
      </w:r>
    </w:p>
    <w:p>
      <w:pPr>
        <w:spacing w:after="0" w:line="54" w:lineRule="exact"/>
        <w:rPr>
          <w:sz w:val="20"/>
          <w:szCs w:val="20"/>
          <w:color w:val="auto"/>
        </w:rPr>
      </w:pPr>
    </w:p>
    <w:p>
      <w:pPr>
        <w:ind w:left="20"/>
        <w:spacing w:after="0" w:line="262" w:lineRule="auto"/>
        <w:rPr>
          <w:sz w:val="20"/>
          <w:szCs w:val="20"/>
          <w:color w:val="auto"/>
        </w:rPr>
      </w:pPr>
      <w:r>
        <w:rPr>
          <w:rFonts w:ascii="Arial" w:cs="Arial" w:eastAsia="Arial" w:hAnsi="Arial"/>
          <w:sz w:val="16"/>
          <w:szCs w:val="16"/>
          <w:b w:val="1"/>
          <w:bCs w:val="1"/>
          <w:color w:val="auto"/>
        </w:rPr>
        <w:t xml:space="preserve">$897.9 billion </w:t>
      </w:r>
      <w:r>
        <w:rPr>
          <w:rFonts w:ascii="Arial" w:cs="Arial" w:eastAsia="Arial" w:hAnsi="Arial"/>
          <w:sz w:val="16"/>
          <w:szCs w:val="16"/>
          <w:color w:val="auto"/>
        </w:rPr>
        <w:t>record average daily volume (“ADV”) for the quarter, an increase of</w:t>
      </w:r>
      <w:r>
        <w:rPr>
          <w:rFonts w:ascii="Arial" w:cs="Arial" w:eastAsia="Arial" w:hAnsi="Arial"/>
          <w:sz w:val="16"/>
          <w:szCs w:val="16"/>
          <w:b w:val="1"/>
          <w:bCs w:val="1"/>
          <w:color w:val="auto"/>
        </w:rPr>
        <w:t xml:space="preserve"> 30.9% </w:t>
      </w:r>
      <w:r>
        <w:rPr>
          <w:rFonts w:ascii="Arial" w:cs="Arial" w:eastAsia="Arial" w:hAnsi="Arial"/>
          <w:sz w:val="16"/>
          <w:szCs w:val="16"/>
          <w:color w:val="auto"/>
        </w:rPr>
        <w:t>year over year with ADV records in U.S. High Yield bonds, Chinese bonds</w:t>
      </w:r>
      <w:r>
        <w:rPr>
          <w:rFonts w:ascii="Arial" w:cs="Arial" w:eastAsia="Arial" w:hAnsi="Arial"/>
          <w:sz w:val="16"/>
          <w:szCs w:val="16"/>
          <w:b w:val="1"/>
          <w:bCs w:val="1"/>
          <w:color w:val="auto"/>
        </w:rPr>
        <w:t xml:space="preserve"> </w:t>
      </w:r>
      <w:r>
        <w:rPr>
          <w:rFonts w:ascii="Arial" w:cs="Arial" w:eastAsia="Arial" w:hAnsi="Arial"/>
          <w:sz w:val="16"/>
          <w:szCs w:val="16"/>
          <w:color w:val="auto"/>
        </w:rPr>
        <w:t>and Repos. Quarterly records for TRACE market share in U.S. High Grade and U.S. High Yield bonds</w:t>
      </w:r>
    </w:p>
    <w:p>
      <w:pPr>
        <w:spacing w:after="0" w:line="61" w:lineRule="exact"/>
        <w:rPr>
          <w:sz w:val="20"/>
          <w:szCs w:val="20"/>
          <w:color w:val="auto"/>
        </w:rPr>
      </w:pPr>
    </w:p>
    <w:p>
      <w:pPr>
        <w:ind w:left="20" w:right="180"/>
        <w:spacing w:after="0" w:line="304" w:lineRule="auto"/>
        <w:rPr>
          <w:sz w:val="20"/>
          <w:szCs w:val="20"/>
          <w:color w:val="auto"/>
        </w:rPr>
      </w:pPr>
      <w:r>
        <w:rPr>
          <w:rFonts w:ascii="Arial" w:cs="Arial" w:eastAsia="Arial" w:hAnsi="Arial"/>
          <w:sz w:val="16"/>
          <w:szCs w:val="16"/>
          <w:b w:val="1"/>
          <w:bCs w:val="1"/>
          <w:color w:val="auto"/>
        </w:rPr>
        <w:t xml:space="preserve">$66.4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$80.5 </w:t>
      </w:r>
      <w:r>
        <w:rPr>
          <w:rFonts w:ascii="Arial" w:cs="Arial" w:eastAsia="Arial" w:hAnsi="Arial"/>
          <w:sz w:val="16"/>
          <w:szCs w:val="16"/>
          <w:color w:val="auto"/>
        </w:rPr>
        <w:t>million adjusted net income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16.0%,</w:t>
      </w:r>
      <w:r>
        <w:rPr>
          <w:rFonts w:ascii="Arial" w:cs="Arial" w:eastAsia="Arial" w:hAnsi="Arial"/>
          <w:sz w:val="16"/>
          <w:szCs w:val="16"/>
          <w:color w:val="auto"/>
        </w:rPr>
        <w:t xml:space="preserve"> and </w:t>
      </w:r>
      <w:r>
        <w:rPr>
          <w:rFonts w:ascii="Arial" w:cs="Arial" w:eastAsia="Arial" w:hAnsi="Arial"/>
          <w:sz w:val="16"/>
          <w:szCs w:val="16"/>
          <w:b w:val="1"/>
          <w:bCs w:val="1"/>
          <w:color w:val="auto"/>
        </w:rPr>
        <w:t>33.1%</w:t>
      </w:r>
      <w:r>
        <w:rPr>
          <w:rFonts w:ascii="Arial" w:cs="Arial" w:eastAsia="Arial" w:hAnsi="Arial"/>
          <w:sz w:val="16"/>
          <w:szCs w:val="16"/>
          <w:color w:val="auto"/>
        </w:rPr>
        <w:t xml:space="preserve"> respectively from the prior year period</w:t>
      </w:r>
    </w:p>
    <w:p>
      <w:pPr>
        <w:spacing w:after="0" w:line="20" w:lineRule="exact"/>
        <w:rPr>
          <w:sz w:val="20"/>
          <w:szCs w:val="20"/>
          <w:color w:val="auto"/>
        </w:rPr>
      </w:pPr>
    </w:p>
    <w:p>
      <w:pPr>
        <w:ind w:left="20" w:right="80"/>
        <w:spacing w:after="0" w:line="294" w:lineRule="auto"/>
        <w:rPr>
          <w:sz w:val="20"/>
          <w:szCs w:val="20"/>
          <w:color w:val="auto"/>
        </w:rPr>
      </w:pPr>
      <w:r>
        <w:rPr>
          <w:rFonts w:ascii="Arial" w:cs="Arial" w:eastAsia="Arial" w:hAnsi="Arial"/>
          <w:sz w:val="16"/>
          <w:szCs w:val="16"/>
          <w:b w:val="1"/>
          <w:bCs w:val="1"/>
          <w:color w:val="auto"/>
        </w:rPr>
        <w:t xml:space="preserve">49.2%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$114.6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46.9% or $92.4 million respectively for the prior year period</w:t>
      </w:r>
    </w:p>
    <w:p>
      <w:pPr>
        <w:spacing w:after="0" w:line="35" w:lineRule="exact"/>
        <w:rPr>
          <w:sz w:val="20"/>
          <w:szCs w:val="20"/>
          <w:color w:val="auto"/>
        </w:rPr>
      </w:pPr>
    </w:p>
    <w:p>
      <w:pPr>
        <w:ind w:left="20" w:right="560"/>
        <w:spacing w:after="0" w:line="294" w:lineRule="auto"/>
        <w:rPr>
          <w:sz w:val="20"/>
          <w:szCs w:val="20"/>
          <w:color w:val="auto"/>
        </w:rPr>
      </w:pPr>
      <w:r>
        <w:rPr>
          <w:rFonts w:ascii="Arial" w:cs="Arial" w:eastAsia="Arial" w:hAnsi="Arial"/>
          <w:sz w:val="16"/>
          <w:szCs w:val="16"/>
          <w:b w:val="1"/>
          <w:bCs w:val="1"/>
          <w:color w:val="auto"/>
        </w:rPr>
        <w:t xml:space="preserve">$0.28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$0.34 </w:t>
      </w:r>
      <w:r>
        <w:rPr>
          <w:rFonts w:ascii="Arial" w:cs="Arial" w:eastAsia="Arial" w:hAnsi="Arial"/>
          <w:sz w:val="16"/>
          <w:szCs w:val="16"/>
          <w:color w:val="auto"/>
        </w:rPr>
        <w:t>adjusted diluted earnings per share</w:t>
      </w:r>
    </w:p>
    <w:p>
      <w:pPr>
        <w:spacing w:after="0" w:line="35" w:lineRule="exact"/>
        <w:rPr>
          <w:sz w:val="20"/>
          <w:szCs w:val="20"/>
          <w:color w:val="auto"/>
        </w:rPr>
      </w:pPr>
    </w:p>
    <w:p>
      <w:pPr>
        <w:ind w:left="20" w:right="600"/>
        <w:spacing w:after="0" w:line="294" w:lineRule="auto"/>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 and</w:t>
      </w:r>
      <w:r>
        <w:rPr>
          <w:rFonts w:ascii="Arial" w:cs="Arial" w:eastAsia="Arial" w:hAnsi="Arial"/>
          <w:sz w:val="16"/>
          <w:szCs w:val="16"/>
          <w:b w:val="1"/>
          <w:bCs w:val="1"/>
          <w:color w:val="auto"/>
        </w:rPr>
        <w:t xml:space="preserve"> $150 million </w:t>
      </w:r>
      <w:r>
        <w:rPr>
          <w:rFonts w:ascii="Arial" w:cs="Arial" w:eastAsia="Arial" w:hAnsi="Arial"/>
          <w:sz w:val="16"/>
          <w:szCs w:val="16"/>
          <w:color w:val="auto"/>
        </w:rPr>
        <w:t>share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program launched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083566"/>
        </w:rPr>
        <w:t>Lee Olesky, CEO of Tradeweb Markets:</w:t>
      </w:r>
    </w:p>
    <w:p>
      <w:pPr>
        <w:spacing w:after="0" w:line="206"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“Strong financial results for the fourth quarter capped off a transformative year for Tradeweb. We reported record average daily volumes for Q4 thanks to broad-based momentum across asset classes. Wherever our clients were working in 2020, we know that electronic trading, digital processing and data helped them navigate unprecedented debt issuance and market volatility. Our markets are evolving, and with 2021 volumes off to a strong start we are excited about the role electronic trading continues to play in that evolution."</w:t>
      </w:r>
    </w:p>
    <w:p>
      <w:pPr>
        <w:spacing w:after="0" w:line="363" w:lineRule="exact"/>
        <w:rPr>
          <w:sz w:val="20"/>
          <w:szCs w:val="20"/>
          <w:color w:val="auto"/>
        </w:rPr>
      </w:pPr>
    </w:p>
    <w:p>
      <w:pPr>
        <w:sectPr>
          <w:pgSz w:w="11900" w:h="16838" w:orient="portrait"/>
          <w:cols w:equalWidth="0" w:num="2">
            <w:col w:w="5880" w:space="520"/>
            <w:col w:w="4560"/>
          </w:cols>
          <w:pgMar w:left="320" w:top="281" w:right="619" w:bottom="1440" w:gutter="0" w:footer="0" w:header="0"/>
          <w:type w:val="continuous"/>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shd w:val="clear" w:color="auto" w:fill="083566"/>
          </w:tcPr>
          <w:p>
            <w:pPr>
              <w:spacing w:after="0"/>
              <w:rPr>
                <w:sz w:val="17"/>
                <w:szCs w:val="17"/>
                <w:color w:val="auto"/>
              </w:rPr>
            </w:pPr>
          </w:p>
        </w:tc>
        <w:tc>
          <w:tcPr>
            <w:tcW w:w="360" w:type="dxa"/>
            <w:vAlign w:val="bottom"/>
            <w:shd w:val="clear" w:color="auto" w:fill="083566"/>
          </w:tcPr>
          <w:p>
            <w:pPr>
              <w:spacing w:after="0"/>
              <w:rPr>
                <w:sz w:val="17"/>
                <w:szCs w:val="17"/>
                <w:color w:val="auto"/>
              </w:rPr>
            </w:pPr>
          </w:p>
        </w:tc>
        <w:tc>
          <w:tcPr>
            <w:tcW w:w="740" w:type="dxa"/>
            <w:vAlign w:val="bottom"/>
            <w:shd w:val="clear" w:color="auto" w:fill="083566"/>
          </w:tcPr>
          <w:p>
            <w:pPr>
              <w:spacing w:after="0"/>
              <w:rPr>
                <w:sz w:val="17"/>
                <w:szCs w:val="17"/>
                <w:color w:val="auto"/>
              </w:rPr>
            </w:pPr>
          </w:p>
        </w:tc>
        <w:tc>
          <w:tcPr>
            <w:tcW w:w="34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1040" w:type="dxa"/>
            <w:vAlign w:val="bottom"/>
            <w:gridSpan w:val="2"/>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Constant</w:t>
            </w:r>
          </w:p>
        </w:tc>
        <w:tc>
          <w:tcPr>
            <w:tcW w:w="20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80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360" w:type="dxa"/>
            <w:vAlign w:val="bottom"/>
            <w:shd w:val="clear" w:color="auto" w:fill="083566"/>
          </w:tcPr>
          <w:p>
            <w:pPr>
              <w:spacing w:after="0"/>
              <w:rPr>
                <w:sz w:val="16"/>
                <w:szCs w:val="16"/>
                <w:color w:val="auto"/>
              </w:rPr>
            </w:pPr>
          </w:p>
        </w:tc>
        <w:tc>
          <w:tcPr>
            <w:tcW w:w="740" w:type="dxa"/>
            <w:vAlign w:val="bottom"/>
            <w:shd w:val="clear" w:color="auto" w:fill="083566"/>
          </w:tcPr>
          <w:p>
            <w:pPr>
              <w:spacing w:after="0"/>
              <w:rPr>
                <w:sz w:val="16"/>
                <w:szCs w:val="16"/>
                <w:color w:val="auto"/>
              </w:rPr>
            </w:pPr>
          </w:p>
        </w:tc>
        <w:tc>
          <w:tcPr>
            <w:tcW w:w="34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1040" w:type="dxa"/>
            <w:vAlign w:val="bottom"/>
            <w:gridSpan w:val="2"/>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Currency</w:t>
            </w:r>
          </w:p>
        </w:tc>
        <w:tc>
          <w:tcPr>
            <w:tcW w:w="20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80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360" w:type="dxa"/>
            <w:vAlign w:val="bottom"/>
            <w:shd w:val="clear" w:color="auto" w:fill="083566"/>
          </w:tcPr>
          <w:p>
            <w:pPr>
              <w:spacing w:after="0"/>
              <w:rPr>
                <w:sz w:val="21"/>
                <w:szCs w:val="21"/>
                <w:color w:val="auto"/>
              </w:rPr>
            </w:pPr>
          </w:p>
        </w:tc>
        <w:tc>
          <w:tcPr>
            <w:tcW w:w="740" w:type="dxa"/>
            <w:vAlign w:val="bottom"/>
            <w:shd w:val="clear" w:color="auto" w:fill="083566"/>
          </w:tcPr>
          <w:p>
            <w:pPr>
              <w:jc w:val="right"/>
              <w:ind w:right="219"/>
              <w:spacing w:after="0"/>
              <w:rPr>
                <w:sz w:val="20"/>
                <w:szCs w:val="20"/>
                <w:color w:val="auto"/>
              </w:rPr>
            </w:pPr>
            <w:r>
              <w:rPr>
                <w:rFonts w:ascii="Arial" w:cs="Arial" w:eastAsia="Arial" w:hAnsi="Arial"/>
                <w:sz w:val="16"/>
                <w:szCs w:val="16"/>
                <w:b w:val="1"/>
                <w:bCs w:val="1"/>
                <w:color w:val="FFFFFF"/>
              </w:rPr>
              <w:t>4Q20</w:t>
            </w:r>
          </w:p>
        </w:tc>
        <w:tc>
          <w:tcPr>
            <w:tcW w:w="340" w:type="dxa"/>
            <w:vAlign w:val="bottom"/>
            <w:shd w:val="clear" w:color="auto" w:fill="083566"/>
          </w:tcPr>
          <w:p>
            <w:pPr>
              <w:spacing w:after="0"/>
              <w:rPr>
                <w:sz w:val="21"/>
                <w:szCs w:val="21"/>
                <w:color w:val="auto"/>
              </w:rPr>
            </w:pPr>
          </w:p>
        </w:tc>
        <w:tc>
          <w:tcPr>
            <w:tcW w:w="90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4Q19</w:t>
            </w:r>
          </w:p>
        </w:tc>
        <w:tc>
          <w:tcPr>
            <w:tcW w:w="960" w:type="dxa"/>
            <w:vAlign w:val="bottom"/>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Change</w:t>
            </w:r>
          </w:p>
        </w:tc>
        <w:tc>
          <w:tcPr>
            <w:tcW w:w="1040" w:type="dxa"/>
            <w:vAlign w:val="bottom"/>
            <w:gridSpan w:val="2"/>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Growth</w:t>
            </w:r>
            <w:r>
              <w:rPr>
                <w:rFonts w:ascii="Arial" w:cs="Arial" w:eastAsia="Arial" w:hAnsi="Arial"/>
                <w:sz w:val="21"/>
                <w:szCs w:val="21"/>
                <w:b w:val="1"/>
                <w:bCs w:val="1"/>
                <w:color w:val="FFFFFF"/>
                <w:vertAlign w:val="superscript"/>
              </w:rPr>
              <w:t>(1)</w:t>
            </w:r>
          </w:p>
        </w:tc>
        <w:tc>
          <w:tcPr>
            <w:tcW w:w="200" w:type="dxa"/>
            <w:vAlign w:val="bottom"/>
          </w:tcPr>
          <w:p>
            <w:pPr>
              <w:spacing w:after="0"/>
              <w:rPr>
                <w:sz w:val="21"/>
                <w:szCs w:val="21"/>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1"/>
                <w:szCs w:val="21"/>
                <w:color w:val="auto"/>
              </w:rPr>
            </w:pPr>
          </w:p>
        </w:tc>
        <w:tc>
          <w:tcPr>
            <w:tcW w:w="960" w:type="dxa"/>
            <w:vAlign w:val="bottom"/>
            <w:shd w:val="clear" w:color="auto" w:fill="083566"/>
          </w:tcPr>
          <w:p>
            <w:pPr>
              <w:spacing w:after="0"/>
              <w:rPr>
                <w:sz w:val="21"/>
                <w:szCs w:val="21"/>
                <w:color w:val="auto"/>
              </w:rPr>
            </w:pPr>
          </w:p>
        </w:tc>
        <w:tc>
          <w:tcPr>
            <w:tcW w:w="880" w:type="dxa"/>
            <w:vAlign w:val="bottom"/>
            <w:shd w:val="clear" w:color="auto" w:fill="083566"/>
          </w:tcPr>
          <w:p>
            <w:pPr>
              <w:spacing w:after="0"/>
              <w:rPr>
                <w:sz w:val="21"/>
                <w:szCs w:val="21"/>
                <w:color w:val="auto"/>
              </w:rPr>
            </w:pPr>
          </w:p>
        </w:tc>
        <w:tc>
          <w:tcPr>
            <w:tcW w:w="800" w:type="dxa"/>
            <w:vAlign w:val="bottom"/>
            <w:shd w:val="clear" w:color="auto" w:fill="083566"/>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0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80" w:type="dxa"/>
            <w:vAlign w:val="bottom"/>
            <w:shd w:val="clear" w:color="auto" w:fill="083566"/>
          </w:tcPr>
          <w:p>
            <w:pPr>
              <w:spacing w:after="0"/>
              <w:rPr>
                <w:sz w:val="20"/>
                <w:szCs w:val="20"/>
                <w:color w:val="auto"/>
              </w:rPr>
            </w:pPr>
          </w:p>
        </w:tc>
        <w:tc>
          <w:tcPr>
            <w:tcW w:w="460" w:type="dxa"/>
            <w:vAlign w:val="bottom"/>
            <w:shd w:val="clear" w:color="auto" w:fill="083566"/>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96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4Q20</w:t>
            </w:r>
          </w:p>
        </w:tc>
        <w:tc>
          <w:tcPr>
            <w:tcW w:w="880" w:type="dxa"/>
            <w:vAlign w:val="bottom"/>
            <w:shd w:val="clear" w:color="auto" w:fill="083566"/>
          </w:tcPr>
          <w:p>
            <w:pPr>
              <w:jc w:val="right"/>
              <w:ind w:right="199"/>
              <w:spacing w:after="0"/>
              <w:rPr>
                <w:sz w:val="20"/>
                <w:szCs w:val="20"/>
                <w:color w:val="auto"/>
              </w:rPr>
            </w:pPr>
            <w:r>
              <w:rPr>
                <w:rFonts w:ascii="Arial" w:cs="Arial" w:eastAsia="Arial" w:hAnsi="Arial"/>
                <w:sz w:val="16"/>
                <w:szCs w:val="16"/>
                <w:b w:val="1"/>
                <w:bCs w:val="1"/>
                <w:color w:val="FFFFFF"/>
              </w:rPr>
              <w:t>4Q19</w:t>
            </w:r>
          </w:p>
        </w:tc>
        <w:tc>
          <w:tcPr>
            <w:tcW w:w="80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74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328</w:t>
            </w: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268</w:t>
            </w:r>
          </w:p>
        </w:tc>
        <w:tc>
          <w:tcPr>
            <w:tcW w:w="800" w:type="dxa"/>
            <w:vAlign w:val="bottom"/>
          </w:tcPr>
          <w:p>
            <w:pPr>
              <w:jc w:val="right"/>
              <w:spacing w:after="0"/>
              <w:rPr>
                <w:sz w:val="20"/>
                <w:szCs w:val="20"/>
                <w:color w:val="auto"/>
              </w:rPr>
            </w:pPr>
            <w:r>
              <w:rPr>
                <w:rFonts w:ascii="Arial" w:cs="Arial" w:eastAsia="Arial" w:hAnsi="Arial"/>
                <w:sz w:val="16"/>
                <w:szCs w:val="16"/>
                <w:color w:val="auto"/>
              </w:rPr>
              <w:t>22.5 %</w:t>
            </w:r>
          </w:p>
        </w:tc>
        <w:tc>
          <w:tcPr>
            <w:tcW w:w="0" w:type="dxa"/>
            <w:vAlign w:val="bottom"/>
          </w:tcPr>
          <w:p>
            <w:pPr>
              <w:spacing w:after="0"/>
              <w:rPr>
                <w:sz w:val="1"/>
                <w:szCs w:val="1"/>
                <w:color w:val="auto"/>
              </w:rPr>
            </w:pPr>
          </w:p>
        </w:tc>
      </w:tr>
      <w:tr>
        <w:trPr>
          <w:trHeight w:val="235"/>
        </w:trPr>
        <w:tc>
          <w:tcPr>
            <w:tcW w:w="1600" w:type="dxa"/>
            <w:vAlign w:val="bottom"/>
          </w:tcPr>
          <w:p>
            <w:pPr>
              <w:ind w:left="20"/>
              <w:spacing w:after="0"/>
              <w:rPr>
                <w:sz w:val="20"/>
                <w:szCs w:val="20"/>
                <w:color w:val="auto"/>
              </w:rPr>
            </w:pPr>
            <w:r>
              <w:rPr>
                <w:rFonts w:ascii="Arial" w:cs="Arial" w:eastAsia="Arial" w:hAnsi="Arial"/>
                <w:sz w:val="16"/>
                <w:szCs w:val="16"/>
                <w:color w:val="auto"/>
              </w:rPr>
              <w:t>Gross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233,076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197,308</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18.1 %</w:t>
            </w: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209</w:t>
            </w: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184</w:t>
            </w:r>
          </w:p>
        </w:tc>
        <w:tc>
          <w:tcPr>
            <w:tcW w:w="800" w:type="dxa"/>
            <w:vAlign w:val="bottom"/>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44"/>
        </w:trPr>
        <w:tc>
          <w:tcPr>
            <w:tcW w:w="1600" w:type="dxa"/>
            <w:vAlign w:val="bottom"/>
          </w:tcPr>
          <w:p>
            <w:pPr>
              <w:ind w:left="140"/>
              <w:spacing w:after="0"/>
              <w:rPr>
                <w:sz w:val="20"/>
                <w:szCs w:val="20"/>
                <w:color w:val="auto"/>
              </w:rPr>
            </w:pPr>
            <w:r>
              <w:rPr>
                <w:rFonts w:ascii="Arial" w:cs="Arial" w:eastAsia="Arial" w:hAnsi="Arial"/>
                <w:sz w:val="16"/>
                <w:szCs w:val="16"/>
                <w:color w:val="auto"/>
              </w:rPr>
              <w:t>Rates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121,699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107,539</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13.2 %</w:t>
            </w: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537</w:t>
            </w:r>
          </w:p>
        </w:tc>
        <w:tc>
          <w:tcPr>
            <w:tcW w:w="88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451</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19.1 %</w:t>
            </w:r>
          </w:p>
        </w:tc>
        <w:tc>
          <w:tcPr>
            <w:tcW w:w="0" w:type="dxa"/>
            <w:vAlign w:val="bottom"/>
          </w:tcPr>
          <w:p>
            <w:pPr>
              <w:spacing w:after="0"/>
              <w:rPr>
                <w:sz w:val="1"/>
                <w:szCs w:val="1"/>
                <w:color w:val="auto"/>
              </w:rPr>
            </w:pPr>
          </w:p>
        </w:tc>
      </w:tr>
      <w:tr>
        <w:trPr>
          <w:trHeight w:val="228"/>
        </w:trPr>
        <w:tc>
          <w:tcPr>
            <w:tcW w:w="1600" w:type="dxa"/>
            <w:vAlign w:val="bottom"/>
          </w:tcPr>
          <w:p>
            <w:pPr>
              <w:ind w:left="140"/>
              <w:spacing w:after="0"/>
              <w:rPr>
                <w:sz w:val="20"/>
                <w:szCs w:val="20"/>
                <w:color w:val="auto"/>
              </w:rPr>
            </w:pPr>
            <w:r>
              <w:rPr>
                <w:rFonts w:ascii="Arial" w:cs="Arial" w:eastAsia="Arial" w:hAnsi="Arial"/>
                <w:sz w:val="16"/>
                <w:szCs w:val="16"/>
                <w:color w:val="auto"/>
              </w:rPr>
              <w:t>Credit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59,255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43,542</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36.1 %</w:t>
            </w:r>
          </w:p>
        </w:tc>
        <w:tc>
          <w:tcPr>
            <w:tcW w:w="580" w:type="dxa"/>
            <w:vAlign w:val="bottom"/>
          </w:tcPr>
          <w:p>
            <w:pPr>
              <w:jc w:val="right"/>
              <w:spacing w:after="0"/>
              <w:rPr>
                <w:sz w:val="20"/>
                <w:szCs w:val="20"/>
                <w:color w:val="auto"/>
              </w:rPr>
            </w:pPr>
            <w:r>
              <w:rPr>
                <w:rFonts w:ascii="Arial" w:cs="Arial" w:eastAsia="Arial" w:hAnsi="Arial"/>
                <w:sz w:val="16"/>
                <w:szCs w:val="16"/>
                <w:color w:val="auto"/>
              </w:rPr>
              <w:t>33.9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8</w:t>
            </w: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800" w:type="dxa"/>
            <w:vAlign w:val="bottom"/>
          </w:tcPr>
          <w:p>
            <w:pPr>
              <w:jc w:val="right"/>
              <w:spacing w:after="0"/>
              <w:rPr>
                <w:sz w:val="20"/>
                <w:szCs w:val="20"/>
                <w:color w:val="auto"/>
              </w:rPr>
            </w:pPr>
            <w:r>
              <w:rPr>
                <w:rFonts w:ascii="Arial" w:cs="Arial" w:eastAsia="Arial" w:hAnsi="Arial"/>
                <w:sz w:val="16"/>
                <w:szCs w:val="16"/>
                <w:color w:val="auto"/>
              </w:rPr>
              <w:t>38.5 %</w:t>
            </w:r>
          </w:p>
        </w:tc>
        <w:tc>
          <w:tcPr>
            <w:tcW w:w="0" w:type="dxa"/>
            <w:vAlign w:val="bottom"/>
          </w:tcPr>
          <w:p>
            <w:pPr>
              <w:spacing w:after="0"/>
              <w:rPr>
                <w:sz w:val="1"/>
                <w:szCs w:val="1"/>
                <w:color w:val="auto"/>
              </w:rPr>
            </w:pPr>
          </w:p>
        </w:tc>
      </w:tr>
      <w:tr>
        <w:trPr>
          <w:trHeight w:val="251"/>
        </w:trPr>
        <w:tc>
          <w:tcPr>
            <w:tcW w:w="16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15,011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11,665</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28.7 %</w:t>
            </w: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800" w:type="dxa"/>
            <w:vAlign w:val="bottom"/>
          </w:tcPr>
          <w:p>
            <w:pPr>
              <w:jc w:val="right"/>
              <w:spacing w:after="0"/>
              <w:rPr>
                <w:sz w:val="20"/>
                <w:szCs w:val="20"/>
                <w:color w:val="auto"/>
              </w:rPr>
            </w:pPr>
            <w:r>
              <w:rPr>
                <w:rFonts w:ascii="Arial" w:cs="Arial" w:eastAsia="Arial" w:hAnsi="Arial"/>
                <w:sz w:val="16"/>
                <w:szCs w:val="16"/>
                <w:color w:val="auto"/>
              </w:rPr>
              <w:t>32.8 %</w:t>
            </w:r>
          </w:p>
        </w:tc>
        <w:tc>
          <w:tcPr>
            <w:tcW w:w="0" w:type="dxa"/>
            <w:vAlign w:val="bottom"/>
          </w:tcPr>
          <w:p>
            <w:pPr>
              <w:spacing w:after="0"/>
              <w:rPr>
                <w:sz w:val="1"/>
                <w:szCs w:val="1"/>
                <w:color w:val="auto"/>
              </w:rPr>
            </w:pPr>
          </w:p>
        </w:tc>
      </w:tr>
      <w:tr>
        <w:trPr>
          <w:trHeight w:val="244"/>
        </w:trPr>
        <w:tc>
          <w:tcPr>
            <w:tcW w:w="16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10,382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10,027</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3.5 %</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18</w:t>
            </w:r>
          </w:p>
        </w:tc>
        <w:tc>
          <w:tcPr>
            <w:tcW w:w="88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13</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35.4 %</w:t>
            </w:r>
          </w:p>
        </w:tc>
        <w:tc>
          <w:tcPr>
            <w:tcW w:w="0" w:type="dxa"/>
            <w:vAlign w:val="bottom"/>
          </w:tcPr>
          <w:p>
            <w:pPr>
              <w:spacing w:after="0"/>
              <w:rPr>
                <w:sz w:val="1"/>
                <w:szCs w:val="1"/>
                <w:color w:val="auto"/>
              </w:rPr>
            </w:pPr>
          </w:p>
        </w:tc>
      </w:tr>
      <w:tr>
        <w:trPr>
          <w:trHeight w:val="235"/>
        </w:trPr>
        <w:tc>
          <w:tcPr>
            <w:tcW w:w="16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20,864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19,361</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7.8 %</w:t>
            </w: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330</w:t>
            </w: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212</w:t>
            </w:r>
          </w:p>
        </w:tc>
        <w:tc>
          <w:tcPr>
            <w:tcW w:w="800" w:type="dxa"/>
            <w:vAlign w:val="bottom"/>
          </w:tcPr>
          <w:p>
            <w:pPr>
              <w:jc w:val="right"/>
              <w:spacing w:after="0"/>
              <w:rPr>
                <w:sz w:val="20"/>
                <w:szCs w:val="20"/>
                <w:color w:val="auto"/>
              </w:rPr>
            </w:pPr>
            <w:r>
              <w:rPr>
                <w:rFonts w:ascii="Arial" w:cs="Arial" w:eastAsia="Arial" w:hAnsi="Arial"/>
                <w:sz w:val="16"/>
                <w:szCs w:val="16"/>
                <w:color w:val="auto"/>
              </w:rPr>
              <w:t>55.6 %</w:t>
            </w:r>
          </w:p>
        </w:tc>
        <w:tc>
          <w:tcPr>
            <w:tcW w:w="0" w:type="dxa"/>
            <w:vAlign w:val="bottom"/>
          </w:tcPr>
          <w:p>
            <w:pPr>
              <w:spacing w:after="0"/>
              <w:rPr>
                <w:sz w:val="1"/>
                <w:szCs w:val="1"/>
                <w:color w:val="auto"/>
              </w:rPr>
            </w:pPr>
          </w:p>
        </w:tc>
      </w:tr>
      <w:tr>
        <w:trPr>
          <w:trHeight w:val="244"/>
        </w:trPr>
        <w:tc>
          <w:tcPr>
            <w:tcW w:w="1600" w:type="dxa"/>
            <w:vAlign w:val="bottom"/>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5,865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5,174</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13.4 %</w:t>
            </w:r>
          </w:p>
        </w:tc>
        <w:tc>
          <w:tcPr>
            <w:tcW w:w="580" w:type="dxa"/>
            <w:vAlign w:val="bottom"/>
          </w:tcPr>
          <w:p>
            <w:pPr>
              <w:jc w:val="right"/>
              <w:spacing w:after="0"/>
              <w:rPr>
                <w:sz w:val="20"/>
                <w:szCs w:val="20"/>
                <w:color w:val="auto"/>
              </w:rPr>
            </w:pPr>
            <w:r>
              <w:rPr>
                <w:rFonts w:ascii="Arial" w:cs="Arial" w:eastAsia="Arial" w:hAnsi="Arial"/>
                <w:sz w:val="16"/>
                <w:szCs w:val="16"/>
                <w:color w:val="auto"/>
              </w:rPr>
              <w:t>13.4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330</w:t>
            </w:r>
          </w:p>
        </w:tc>
        <w:tc>
          <w:tcPr>
            <w:tcW w:w="88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212</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55.6 %</w:t>
            </w:r>
          </w:p>
        </w:tc>
        <w:tc>
          <w:tcPr>
            <w:tcW w:w="0" w:type="dxa"/>
            <w:vAlign w:val="bottom"/>
          </w:tcPr>
          <w:p>
            <w:pPr>
              <w:spacing w:after="0"/>
              <w:rPr>
                <w:sz w:val="1"/>
                <w:szCs w:val="1"/>
                <w:color w:val="auto"/>
              </w:rPr>
            </w:pPr>
          </w:p>
        </w:tc>
      </w:tr>
      <w:tr>
        <w:trPr>
          <w:trHeight w:val="228"/>
        </w:trPr>
        <w:tc>
          <w:tcPr>
            <w:tcW w:w="1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66,449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57,278</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16.0 %</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5</w:t>
            </w:r>
          </w:p>
        </w:tc>
        <w:tc>
          <w:tcPr>
            <w:tcW w:w="800" w:type="dxa"/>
            <w:vAlign w:val="bottom"/>
          </w:tcPr>
          <w:p>
            <w:pPr>
              <w:jc w:val="right"/>
              <w:spacing w:after="0"/>
              <w:rPr>
                <w:sz w:val="20"/>
                <w:szCs w:val="20"/>
                <w:color w:val="auto"/>
              </w:rPr>
            </w:pPr>
            <w:r>
              <w:rPr>
                <w:rFonts w:ascii="Arial" w:cs="Arial" w:eastAsia="Arial" w:hAnsi="Arial"/>
                <w:sz w:val="16"/>
                <w:szCs w:val="16"/>
                <w:color w:val="auto"/>
              </w:rPr>
              <w:t>50.1 %</w:t>
            </w:r>
          </w:p>
        </w:tc>
        <w:tc>
          <w:tcPr>
            <w:tcW w:w="0" w:type="dxa"/>
            <w:vAlign w:val="bottom"/>
          </w:tcPr>
          <w:p>
            <w:pPr>
              <w:spacing w:after="0"/>
              <w:rPr>
                <w:sz w:val="1"/>
                <w:szCs w:val="1"/>
                <w:color w:val="auto"/>
              </w:rPr>
            </w:pPr>
          </w:p>
        </w:tc>
      </w:tr>
      <w:tr>
        <w:trPr>
          <w:trHeight w:val="213"/>
        </w:trPr>
        <w:tc>
          <w:tcPr>
            <w:tcW w:w="1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Derivatives</w:t>
            </w:r>
          </w:p>
        </w:tc>
        <w:tc>
          <w:tcPr>
            <w:tcW w:w="960" w:type="dxa"/>
            <w:vAlign w:val="bottom"/>
            <w:vMerge w:val="restart"/>
          </w:tcPr>
          <w:p>
            <w:pPr>
              <w:jc w:val="right"/>
              <w:ind w:right="159"/>
              <w:spacing w:after="0"/>
              <w:rPr>
                <w:sz w:val="20"/>
                <w:szCs w:val="20"/>
                <w:color w:val="auto"/>
              </w:rPr>
            </w:pPr>
            <w:r>
              <w:rPr>
                <w:rFonts w:ascii="Arial" w:cs="Arial" w:eastAsia="Arial" w:hAnsi="Arial"/>
                <w:sz w:val="16"/>
                <w:szCs w:val="16"/>
                <w:color w:val="auto"/>
              </w:rPr>
              <w:t>6</w:t>
            </w:r>
          </w:p>
        </w:tc>
        <w:tc>
          <w:tcPr>
            <w:tcW w:w="880" w:type="dxa"/>
            <w:vAlign w:val="bottom"/>
            <w:vMerge w:val="restart"/>
          </w:tcPr>
          <w:p>
            <w:pPr>
              <w:jc w:val="right"/>
              <w:ind w:right="259"/>
              <w:spacing w:after="0"/>
              <w:rPr>
                <w:sz w:val="20"/>
                <w:szCs w:val="20"/>
                <w:color w:val="auto"/>
              </w:rPr>
            </w:pPr>
            <w:r>
              <w:rPr>
                <w:rFonts w:ascii="Arial" w:cs="Arial" w:eastAsia="Arial" w:hAnsi="Arial"/>
                <w:sz w:val="16"/>
                <w:szCs w:val="16"/>
                <w:color w:val="auto"/>
              </w:rPr>
              <w:t>4</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07"/>
        </w:trPr>
        <w:tc>
          <w:tcPr>
            <w:tcW w:w="16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0" w:type="dxa"/>
            <w:vAlign w:val="bottom"/>
          </w:tcPr>
          <w:p>
            <w:pPr>
              <w:ind w:left="20"/>
              <w:spacing w:after="0" w:line="171" w:lineRule="exact"/>
              <w:rPr>
                <w:sz w:val="20"/>
                <w:szCs w:val="20"/>
                <w:color w:val="auto"/>
              </w:rPr>
            </w:pPr>
            <w:r>
              <w:rPr>
                <w:rFonts w:ascii="Arial" w:cs="Arial" w:eastAsia="Arial" w:hAnsi="Arial"/>
                <w:sz w:val="16"/>
                <w:szCs w:val="16"/>
                <w:color w:val="auto"/>
              </w:rPr>
              <w:t>Tradeweb Markets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shd w:val="clear" w:color="auto" w:fill="D5DCE4"/>
          </w:tcPr>
          <w:p>
            <w:pPr>
              <w:spacing w:after="0"/>
              <w:rPr>
                <w:sz w:val="14"/>
                <w:szCs w:val="14"/>
                <w:color w:val="auto"/>
              </w:rPr>
            </w:pPr>
          </w:p>
        </w:tc>
        <w:tc>
          <w:tcPr>
            <w:tcW w:w="960" w:type="dxa"/>
            <w:vAlign w:val="bottom"/>
            <w:shd w:val="clear" w:color="auto" w:fill="D5DCE4"/>
          </w:tcPr>
          <w:p>
            <w:pPr>
              <w:spacing w:after="0"/>
              <w:rPr>
                <w:sz w:val="14"/>
                <w:szCs w:val="14"/>
                <w:color w:val="auto"/>
              </w:rPr>
            </w:pPr>
          </w:p>
        </w:tc>
        <w:tc>
          <w:tcPr>
            <w:tcW w:w="880" w:type="dxa"/>
            <w:vAlign w:val="bottom"/>
            <w:shd w:val="clear" w:color="auto" w:fill="D5DCE4"/>
          </w:tcPr>
          <w:p>
            <w:pPr>
              <w:spacing w:after="0"/>
              <w:rPr>
                <w:sz w:val="14"/>
                <w:szCs w:val="14"/>
                <w:color w:val="auto"/>
              </w:rPr>
            </w:pPr>
          </w:p>
        </w:tc>
        <w:tc>
          <w:tcPr>
            <w:tcW w:w="800" w:type="dxa"/>
            <w:vAlign w:val="bottom"/>
            <w:shd w:val="clear" w:color="auto" w:fill="D5DCE4"/>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
              <w:spacing w:after="0" w:line="234" w:lineRule="exact"/>
              <w:rPr>
                <w:sz w:val="20"/>
                <w:szCs w:val="20"/>
                <w:color w:val="auto"/>
              </w:rPr>
            </w:pPr>
            <w:r>
              <w:rPr>
                <w:rFonts w:ascii="Arial" w:cs="Arial" w:eastAsia="Arial" w:hAnsi="Arial"/>
                <w:sz w:val="16"/>
                <w:szCs w:val="16"/>
                <w:color w:val="auto"/>
              </w:rPr>
              <w:t>Inc.</w:t>
            </w:r>
            <w:r>
              <w:rPr>
                <w:rFonts w:ascii="Arial" w:cs="Arial" w:eastAsia="Arial" w:hAnsi="Arial"/>
                <w:sz w:val="21"/>
                <w:szCs w:val="21"/>
                <w:color w:val="auto"/>
                <w:vertAlign w:val="superscript"/>
              </w:rPr>
              <w:t>(2)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55,060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41,329</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33.2 %</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9</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37.9 %</w:t>
            </w:r>
          </w:p>
        </w:tc>
        <w:tc>
          <w:tcPr>
            <w:tcW w:w="0" w:type="dxa"/>
            <w:vAlign w:val="bottom"/>
          </w:tcPr>
          <w:p>
            <w:pPr>
              <w:spacing w:after="0"/>
              <w:rPr>
                <w:sz w:val="1"/>
                <w:szCs w:val="1"/>
                <w:color w:val="auto"/>
              </w:rPr>
            </w:pPr>
          </w:p>
        </w:tc>
      </w:tr>
      <w:tr>
        <w:trPr>
          <w:trHeight w:val="237"/>
        </w:trPr>
        <w:tc>
          <w:tcPr>
            <w:tcW w:w="16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0.28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0.25</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12.0 %</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96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898</w:t>
            </w:r>
          </w:p>
        </w:tc>
        <w:tc>
          <w:tcPr>
            <w:tcW w:w="880" w:type="dxa"/>
            <w:vAlign w:val="bottom"/>
            <w:shd w:val="clear" w:color="auto" w:fill="D5DCE4"/>
          </w:tcPr>
          <w:p>
            <w:pPr>
              <w:jc w:val="right"/>
              <w:ind w:right="259"/>
              <w:spacing w:after="0"/>
              <w:rPr>
                <w:sz w:val="20"/>
                <w:szCs w:val="20"/>
                <w:color w:val="auto"/>
              </w:rPr>
            </w:pPr>
            <w:r>
              <w:rPr>
                <w:rFonts w:ascii="Arial" w:cs="Arial" w:eastAsia="Arial" w:hAnsi="Arial"/>
                <w:sz w:val="16"/>
                <w:szCs w:val="16"/>
                <w:b w:val="1"/>
                <w:bCs w:val="1"/>
                <w:color w:val="auto"/>
              </w:rPr>
              <w:t>686</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77190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190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960"/>
          </w:cols>
          <w:pgMar w:left="320" w:top="281" w:right="619" w:bottom="1440" w:gutter="0" w:footer="0" w:header="0"/>
          <w:type w:val="continuous"/>
        </w:sectPr>
      </w:pP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56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114,576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92,441</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23.9 %</w:t>
            </w:r>
          </w:p>
        </w:tc>
        <w:tc>
          <w:tcPr>
            <w:tcW w:w="500" w:type="dxa"/>
            <w:vAlign w:val="bottom"/>
          </w:tcPr>
          <w:p>
            <w:pPr>
              <w:jc w:val="right"/>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49.2 %</w:t>
            </w:r>
          </w:p>
        </w:tc>
        <w:tc>
          <w:tcPr>
            <w:tcW w:w="3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46.9 %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231 bps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167 bps</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103,563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81,482</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27.1 %</w:t>
            </w:r>
          </w:p>
        </w:tc>
        <w:tc>
          <w:tcPr>
            <w:tcW w:w="500" w:type="dxa"/>
            <w:vAlign w:val="bottom"/>
          </w:tcPr>
          <w:p>
            <w:pPr>
              <w:jc w:val="right"/>
              <w:spacing w:after="0"/>
              <w:rPr>
                <w:sz w:val="20"/>
                <w:szCs w:val="20"/>
                <w:color w:val="auto"/>
              </w:rPr>
            </w:pPr>
            <w:r>
              <w:rPr>
                <w:rFonts w:ascii="Arial" w:cs="Arial" w:eastAsia="Arial" w:hAnsi="Arial"/>
                <w:sz w:val="16"/>
                <w:szCs w:val="16"/>
                <w:color w:val="auto"/>
              </w:rPr>
              <w:t>22.7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Adjusted EBIT</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44.4 %</w:t>
            </w:r>
          </w:p>
        </w:tc>
        <w:tc>
          <w:tcPr>
            <w:tcW w:w="3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41.3 %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314 bps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242 bps</w:t>
            </w:r>
          </w:p>
        </w:tc>
        <w:tc>
          <w:tcPr>
            <w:tcW w:w="0" w:type="dxa"/>
            <w:vAlign w:val="bottom"/>
          </w:tcPr>
          <w:p>
            <w:pPr>
              <w:spacing w:after="0"/>
              <w:rPr>
                <w:sz w:val="1"/>
                <w:szCs w:val="1"/>
                <w:color w:val="auto"/>
              </w:rPr>
            </w:pPr>
          </w:p>
        </w:tc>
      </w:tr>
      <w:tr>
        <w:trPr>
          <w:trHeight w:val="167"/>
        </w:trPr>
        <w:tc>
          <w:tcPr>
            <w:tcW w:w="1560" w:type="dxa"/>
            <w:vAlign w:val="bottom"/>
          </w:tcPr>
          <w:p>
            <w:pPr>
              <w:spacing w:after="0" w:line="167" w:lineRule="exact"/>
              <w:rPr>
                <w:sz w:val="20"/>
                <w:szCs w:val="20"/>
                <w:color w:val="auto"/>
              </w:rPr>
            </w:pPr>
            <w:r>
              <w:rPr>
                <w:rFonts w:ascii="Arial" w:cs="Arial" w:eastAsia="Arial" w:hAnsi="Arial"/>
                <w:sz w:val="16"/>
                <w:szCs w:val="16"/>
                <w:color w:val="auto"/>
              </w:rPr>
              <w:t>Adjusted Net Income</w:t>
            </w:r>
          </w:p>
        </w:tc>
        <w:tc>
          <w:tcPr>
            <w:tcW w:w="28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80,483</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60,489</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33.1 %</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20"/>
                <w:szCs w:val="20"/>
                <w:color w:val="auto"/>
              </w:rPr>
            </w:pPr>
            <w:r>
              <w:rPr>
                <w:rFonts w:ascii="Arial" w:cs="Arial" w:eastAsia="Arial" w:hAnsi="Arial"/>
                <w:sz w:val="11"/>
                <w:szCs w:val="11"/>
                <w:color w:val="auto"/>
              </w:rPr>
              <w:t>(1)</w:t>
            </w: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20"/>
                <w:szCs w:val="20"/>
                <w:color w:val="auto"/>
              </w:rPr>
            </w:pPr>
            <w:r>
              <w:rPr>
                <w:rFonts w:ascii="Arial" w:cs="Arial" w:eastAsia="Arial" w:hAnsi="Arial"/>
                <w:sz w:val="16"/>
                <w:szCs w:val="16"/>
                <w:color w:val="auto"/>
              </w:rPr>
              <w:t>Adjusted Diluted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560" w:type="dxa"/>
            <w:vAlign w:val="bottom"/>
          </w:tcPr>
          <w:p>
            <w:pPr>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21"/>
                <w:szCs w:val="21"/>
                <w:color w:val="auto"/>
                <w:vertAlign w:val="superscript"/>
              </w:rPr>
              <w:t>(1)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0.34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0.26</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30.8 %</w:t>
            </w:r>
          </w:p>
        </w:tc>
        <w:tc>
          <w:tcPr>
            <w:tcW w:w="500" w:type="dxa"/>
            <w:vAlign w:val="bottom"/>
          </w:tcPr>
          <w:p>
            <w:pPr>
              <w:jc w:val="right"/>
              <w:spacing w:after="0"/>
              <w:rPr>
                <w:sz w:val="20"/>
                <w:szCs w:val="20"/>
                <w:color w:val="auto"/>
              </w:rPr>
            </w:pPr>
            <w:r>
              <w:rPr>
                <w:rFonts w:ascii="Arial" w:cs="Arial" w:eastAsia="Arial" w:hAnsi="Arial"/>
                <w:sz w:val="16"/>
                <w:szCs w:val="16"/>
                <w:color w:val="auto"/>
              </w:rPr>
              <w:t>26.9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5" w:right="120" w:hanging="5"/>
        <w:spacing w:after="0" w:line="246" w:lineRule="auto"/>
        <w:tabs>
          <w:tab w:leader="none" w:pos="194"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46" w:lineRule="exact"/>
        <w:rPr>
          <w:rFonts w:ascii="Arial" w:cs="Arial" w:eastAsia="Arial" w:hAnsi="Arial"/>
          <w:sz w:val="13"/>
          <w:szCs w:val="13"/>
          <w:color w:val="auto"/>
        </w:rPr>
      </w:pPr>
    </w:p>
    <w:p>
      <w:pPr>
        <w:ind w:left="185" w:hanging="185"/>
        <w:spacing w:after="0"/>
        <w:tabs>
          <w:tab w:leader="none" w:pos="185"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00" w:space="355"/>
            <w:col w:w="4805"/>
          </w:cols>
          <w:pgMar w:left="320" w:top="281" w:right="6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 FOURTH QUARTER 2020</w:t>
      </w:r>
    </w:p>
    <w:p>
      <w:pPr>
        <w:spacing w:after="0" w:line="100" w:lineRule="exact"/>
        <w:rPr>
          <w:sz w:val="20"/>
          <w:szCs w:val="20"/>
          <w:color w:val="auto"/>
        </w:rPr>
      </w:pPr>
    </w:p>
    <w:p>
      <w:pPr>
        <w:ind w:right="200"/>
        <w:spacing w:after="0"/>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from rates of $121.7 million in the fourth quarter of 2020 increased 13.2% compared to the fourth quarter of 2019 (10.8%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ADV in rates of $537.3 billion for the fourth quarter of 2020 increased 19.1% compared with the fourth quarter of 2019. Government bond trading increased due in part to growth in execution via firm streams and new client acquisition, along with higher global issuances and volatility around COVID-19, the U.S. election and Brexit. Low mortgage rates drove mortgage origination and higher secondary trading volumes, while macro uncertainty contributed to higher volumes in rates derivatives.</w:t>
      </w:r>
    </w:p>
    <w:p>
      <w:pPr>
        <w:spacing w:after="0" w:line="201"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from credit of $59.3 million in the fourth quarter of 2020 increased 36.1% compared to the fourth quarter of 2019 (33.9%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as continued growth in portfolio trading and anonymous all-to-all trading protocols helped Tradeweb capture quarterly record TRACE market share in U.S. High Grade and U.S. High Yield bonds, with fully electronic representing the majority of each. Quarterly ADV in credit of $17.9 billion for the fourth quarter increased 35.4% over the prior year period with records in U.S. High Yield, U.S. High Grade-Fully Electronic and Chinese bonds.</w:t>
      </w:r>
    </w:p>
    <w:p>
      <w:pPr>
        <w:spacing w:after="0" w:line="197"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from money markets of $10.4 million in the fourth quarter of 2020 increased 3.5% compared to the fourth quarter of 2019 (2.1%</w:t>
      </w:r>
      <w:r>
        <w:rPr>
          <w:rFonts w:ascii="Arial" w:cs="Arial" w:eastAsia="Arial" w:hAnsi="Arial"/>
          <w:sz w:val="16"/>
          <w:szCs w:val="16"/>
          <w:b w:val="1"/>
          <w:bCs w:val="1"/>
          <w:color w:val="auto"/>
        </w:rPr>
        <w:t xml:space="preserve"> </w:t>
      </w:r>
      <w:r>
        <w:rPr>
          <w:rFonts w:ascii="Arial" w:cs="Arial" w:eastAsia="Arial" w:hAnsi="Arial"/>
          <w:sz w:val="16"/>
          <w:szCs w:val="16"/>
          <w:color w:val="auto"/>
        </w:rPr>
        <w:t>on a constant currency basis). Record quarterly ADV in money markets of $330.3 billion increased 55.6% driven in part by the addition of new dealers and participants on our global institutional Repo platform.</w:t>
      </w:r>
    </w:p>
    <w:p>
      <w:pPr>
        <w:spacing w:after="0" w:line="190" w:lineRule="exact"/>
        <w:rPr>
          <w:sz w:val="20"/>
          <w:szCs w:val="20"/>
          <w:color w:val="auto"/>
        </w:rPr>
      </w:pPr>
    </w:p>
    <w:p>
      <w:pPr>
        <w:ind w:right="560"/>
        <w:spacing w:after="0" w:line="252"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from equities of $15.0 million in the fourth quarter of 2020 increased 28.7% compared to the fourth quarter of 2019 (23.8%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ADV in equities of $12.4 billion for the fourth quarter of 2020 increased 37.9% as global ETF trading benefited from sharp fluctuations in equity markets and continued new client adoption.</w:t>
      </w:r>
    </w:p>
    <w:p>
      <w:pPr>
        <w:spacing w:after="0" w:line="190"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from market data of $20.9 million in the fourth quarter of 2020 increased 7.8% compared to the fourth quarter of 2019 (7.3%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due to delivery of additional data under our market data license agreements with Refinitiv.</w:t>
      </w:r>
    </w:p>
    <w:p>
      <w:pPr>
        <w:spacing w:after="0" w:line="18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Other revenues of $5.9 million in the fourth quarter of 2020 increased 13.4% compared to the fourth quarter of 2019 (13.4%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w:t>
      </w:r>
    </w:p>
    <w:p>
      <w:pPr>
        <w:spacing w:after="0" w:line="157" w:lineRule="exact"/>
        <w:rPr>
          <w:sz w:val="20"/>
          <w:szCs w:val="20"/>
          <w:color w:val="auto"/>
        </w:rPr>
      </w:pPr>
    </w:p>
    <w:p>
      <w:pPr>
        <w:ind w:right="40"/>
        <w:spacing w:after="0"/>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$161.5 million in the fourth quarter of 2020 increased 13.0% compared to the fourth quarter of 2019 due to</w:t>
      </w:r>
      <w:r>
        <w:rPr>
          <w:rFonts w:ascii="Arial" w:cs="Arial" w:eastAsia="Arial" w:hAnsi="Arial"/>
          <w:sz w:val="16"/>
          <w:szCs w:val="16"/>
          <w:b w:val="1"/>
          <w:bCs w:val="1"/>
          <w:color w:val="auto"/>
        </w:rPr>
        <w:t xml:space="preserve"> </w:t>
      </w:r>
      <w:r>
        <w:rPr>
          <w:rFonts w:ascii="Arial" w:cs="Arial" w:eastAsia="Arial" w:hAnsi="Arial"/>
          <w:sz w:val="16"/>
          <w:szCs w:val="16"/>
          <w:color w:val="auto"/>
        </w:rPr>
        <w:t>higher employee compensation and benefits expense, as well as higher depreciation and amortization expense. Adjusted Expenses were $129.5 million in the fourth quarter of 2020, an increase of 11.8% from the prior year period, primarily due to higher employee compensation and benefits expense associated with performance-related compensation and higher headcount, as well as higher technology and communications expense. Please see "Non-GAAP Financial Measures" below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DISCUSSION OF RESULTS: FULL YEAR 2020</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Tradeweb recorded its 21st consecutive year of record revenues in 2020. Gross revenue increased 15.1% (14.5% on a constant currency basis), to $892.7 million, compared to full year 2019, driven by record volumes across all of our asset classes and capped off by a record fourth quarter. Net income increased 26.2% to $218.4 million for the year ended December 31, 2020, compared to $173.0 million for the year ended December 31, 2019. Adjusted EBITDA margin increased to 48.9% for the year ended December 31, 2020 compared to 45.5% for the year ended December 31, 2019, representing an increase of 336 basis points (285 bps on a constant currency basis). Diluted EPS was $0.88 for the year ended December 31, 2020. Adjusted Diluted EPS was $1.31 for the year ended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$791.3 million in cash and cash equivalents and an undrawn $500 million credit facility at December 31, 2020.</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$42.5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for the year ended December 31, 2020 of $400.7 million up 50.3%. See “Non-GAAP Financial Measures” for additional information.</w:t>
      </w:r>
    </w:p>
    <w:p>
      <w:pPr>
        <w:spacing w:after="0" w:line="5" w:lineRule="exact"/>
        <w:rPr>
          <w:rFonts w:ascii="Arial" w:cs="Arial" w:eastAsia="Arial" w:hAnsi="Arial"/>
          <w:sz w:val="16"/>
          <w:szCs w:val="16"/>
          <w:color w:val="auto"/>
        </w:rPr>
      </w:pPr>
    </w:p>
    <w:p>
      <w:pPr>
        <w:ind w:left="660" w:right="44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payable on March 15, 2021 to stockholders of record as of March 1, 2021.</w:t>
      </w:r>
    </w:p>
    <w:p>
      <w:pPr>
        <w:ind w:left="660" w:right="24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also authorized a $150 million share repurchase program. The amounts and timing of the repurchases will be subject to, among other factors, general market conditions and the prevailing price and trading volumes of our Class A common stock. The repurchase program, which is authorized through the end of 2023, does not require the Company to acquire a specific number of shares and may be suspended, amended or discontinued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2021 Guidance*</w:t>
      </w:r>
    </w:p>
    <w:p>
      <w:pPr>
        <w:spacing w:after="0" w:line="11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Expenses: $530 - $560 million</w:t>
      </w:r>
    </w:p>
    <w:p>
      <w:pPr>
        <w:spacing w:after="0" w:line="25" w:lineRule="exact"/>
        <w:rPr>
          <w:rFonts w:ascii="Arial" w:cs="Arial" w:eastAsia="Arial" w:hAnsi="Arial"/>
          <w:sz w:val="16"/>
          <w:szCs w:val="16"/>
          <w:color w:val="auto"/>
        </w:rPr>
      </w:pPr>
    </w:p>
    <w:p>
      <w:pPr>
        <w:ind w:left="1300" w:right="180" w:hanging="320"/>
        <w:spacing w:after="0" w:line="246"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color w:val="auto"/>
        </w:rPr>
        <w:t>Non-GAAP adjusted expense guidance does not include any expenses tied to our recently announced acquisition of Nasdaq’s U.S. fixed income electronic trading platform. We will update our guidance following the closing of the deal.</w:t>
      </w: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Acquisition and Refinitiv Transaction related depreciation and amortization expense: $120 million</w:t>
      </w:r>
    </w:p>
    <w:p>
      <w:pPr>
        <w:spacing w:after="0" w:line="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Assumed non-GAAP tax rate: 22.0%</w:t>
      </w:r>
    </w:p>
    <w:p>
      <w:pPr>
        <w:spacing w:after="0" w:line="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Capital expenditures and capitalization of software development: $45 - $50 million</w:t>
      </w:r>
    </w:p>
    <w:p>
      <w:pPr>
        <w:spacing w:after="0" w:line="234" w:lineRule="exact"/>
        <w:rPr>
          <w:sz w:val="20"/>
          <w:szCs w:val="20"/>
          <w:color w:val="auto"/>
        </w:rPr>
      </w:pPr>
    </w:p>
    <w:p>
      <w:pPr>
        <w:ind w:left="340" w:right="400"/>
        <w:spacing w:after="0" w:line="288"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ectPr>
          <w:pgSz w:w="11900" w:h="16838" w:orient="portrait"/>
          <w:cols w:equalWidth="0" w:num="1">
            <w:col w:w="11240"/>
          </w:cols>
          <w:pgMar w:left="320" w:top="902" w:right="339" w:bottom="1440" w:gutter="0" w:footer="0" w:header="0"/>
        </w:sectPr>
      </w:pPr>
    </w:p>
    <w:p>
      <w:pPr>
        <w:spacing w:after="0" w:line="115"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2</w:t>
      </w:r>
    </w:p>
    <w:p>
      <w:pPr>
        <w:sectPr>
          <w:pgSz w:w="11900" w:h="16838" w:orient="portrait"/>
          <w:cols w:equalWidth="0" w:num="1">
            <w:col w:w="11240"/>
          </w:cols>
          <w:pgMar w:left="320" w:top="90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CONFERENCE CALL</w:t>
      </w:r>
    </w:p>
    <w:p>
      <w:pPr>
        <w:spacing w:after="0" w:line="11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 xml:space="preserve">Tradeweb Markets will hold a conference call to discuss fourth quarter 2020 results starting at 9:25 AM EST today, February 4, 2021. A live, audio webcast of the conference call along with related materials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passcode 6190256. After the conference call, an archived recording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$835 billion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ectPr>
          <w:pgSz w:w="11900" w:h="16838" w:orient="portrait"/>
          <w:cols w:equalWidth="0" w:num="1">
            <w:col w:w="11240"/>
          </w:cols>
          <w:pgMar w:left="320" w:top="902" w:right="339" w:bottom="10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3</w:t>
      </w:r>
    </w:p>
    <w:p>
      <w:pPr>
        <w:sectPr>
          <w:pgSz w:w="11900" w:h="16838" w:orient="portrait"/>
          <w:cols w:equalWidth="0" w:num="1">
            <w:col w:w="11240"/>
          </w:cols>
          <w:pgMar w:left="320" w:top="902" w:right="339" w:bottom="1003"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00" w:type="dxa"/>
            <w:vAlign w:val="bottom"/>
            <w:gridSpan w:val="7"/>
          </w:tcPr>
          <w:p>
            <w:pPr>
              <w:ind w:left="480"/>
              <w:spacing w:after="0"/>
              <w:rPr>
                <w:sz w:val="20"/>
                <w:szCs w:val="20"/>
                <w:color w:val="auto"/>
              </w:rPr>
            </w:pPr>
            <w:r>
              <w:rPr>
                <w:rFonts w:ascii="Arial" w:cs="Arial" w:eastAsia="Arial" w:hAnsi="Arial"/>
                <w:sz w:val="14"/>
                <w:szCs w:val="14"/>
                <w:b w:val="1"/>
                <w:bCs w:val="1"/>
                <w:color w:val="auto"/>
              </w:rPr>
              <w:t>Quarter Ended December 31,</w:t>
            </w:r>
          </w:p>
        </w:tc>
        <w:tc>
          <w:tcPr>
            <w:tcW w:w="280" w:type="dxa"/>
            <w:vAlign w:val="bottom"/>
          </w:tcPr>
          <w:p>
            <w:pPr>
              <w:spacing w:after="0"/>
              <w:rPr>
                <w:sz w:val="17"/>
                <w:szCs w:val="17"/>
                <w:color w:val="auto"/>
              </w:rPr>
            </w:pPr>
          </w:p>
        </w:tc>
        <w:tc>
          <w:tcPr>
            <w:tcW w:w="3260" w:type="dxa"/>
            <w:vAlign w:val="bottom"/>
            <w:gridSpan w:val="6"/>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D5DCE4"/>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D5DCE4"/>
          </w:tcPr>
          <w:p>
            <w:pPr>
              <w:spacing w:after="0"/>
              <w:rPr>
                <w:sz w:val="18"/>
                <w:szCs w:val="18"/>
                <w:color w:val="auto"/>
              </w:rPr>
            </w:pPr>
          </w:p>
        </w:tc>
        <w:tc>
          <w:tcPr>
            <w:tcW w:w="1520" w:type="dxa"/>
            <w:vAlign w:val="bottom"/>
            <w:gridSpan w:val="3"/>
            <w:shd w:val="clear" w:color="auto" w:fill="D5DCE4"/>
          </w:tcPr>
          <w:p>
            <w:pPr>
              <w:ind w:left="200"/>
              <w:spacing w:after="0"/>
              <w:rPr>
                <w:sz w:val="20"/>
                <w:szCs w:val="20"/>
                <w:color w:val="auto"/>
              </w:rPr>
            </w:pPr>
            <w:r>
              <w:rPr>
                <w:rFonts w:ascii="Arial" w:cs="Arial" w:eastAsia="Arial" w:hAnsi="Arial"/>
                <w:sz w:val="14"/>
                <w:szCs w:val="14"/>
                <w:color w:val="auto"/>
              </w:rPr>
              <w:t>(unaudited)</w:t>
            </w:r>
          </w:p>
        </w:tc>
        <w:tc>
          <w:tcPr>
            <w:tcW w:w="280" w:type="dxa"/>
            <w:vAlign w:val="bottom"/>
            <w:shd w:val="clear" w:color="auto" w:fill="D5DCE4"/>
          </w:tcPr>
          <w:p>
            <w:pPr>
              <w:spacing w:after="0"/>
              <w:rPr>
                <w:sz w:val="18"/>
                <w:szCs w:val="18"/>
                <w:color w:val="auto"/>
              </w:rPr>
            </w:pPr>
          </w:p>
        </w:tc>
        <w:tc>
          <w:tcPr>
            <w:tcW w:w="1500" w:type="dxa"/>
            <w:vAlign w:val="bottom"/>
            <w:gridSpan w:val="3"/>
            <w:shd w:val="clear" w:color="auto" w:fill="D5DCE4"/>
          </w:tcPr>
          <w:p>
            <w:pPr>
              <w:ind w:left="180"/>
              <w:spacing w:after="0"/>
              <w:rPr>
                <w:sz w:val="20"/>
                <w:szCs w:val="20"/>
                <w:color w:val="auto"/>
              </w:rPr>
            </w:pPr>
            <w:r>
              <w:rPr>
                <w:rFonts w:ascii="Arial" w:cs="Arial" w:eastAsia="Arial" w:hAnsi="Arial"/>
                <w:sz w:val="14"/>
                <w:szCs w:val="14"/>
                <w:color w:val="auto"/>
              </w:rPr>
              <w:t>(unaudited)</w:t>
            </w:r>
          </w:p>
        </w:tc>
        <w:tc>
          <w:tcPr>
            <w:tcW w:w="280" w:type="dxa"/>
            <w:vAlign w:val="bottom"/>
            <w:shd w:val="clear" w:color="auto" w:fill="D5DCE4"/>
          </w:tcPr>
          <w:p>
            <w:pPr>
              <w:spacing w:after="0"/>
              <w:rPr>
                <w:sz w:val="18"/>
                <w:szCs w:val="18"/>
                <w:color w:val="auto"/>
              </w:rPr>
            </w:pPr>
          </w:p>
        </w:tc>
        <w:tc>
          <w:tcPr>
            <w:tcW w:w="1520" w:type="dxa"/>
            <w:vAlign w:val="bottom"/>
            <w:gridSpan w:val="3"/>
            <w:shd w:val="clear" w:color="auto" w:fill="D5DCE4"/>
          </w:tcPr>
          <w:p>
            <w:pPr>
              <w:ind w:left="200"/>
              <w:spacing w:after="0"/>
              <w:rPr>
                <w:sz w:val="20"/>
                <w:szCs w:val="20"/>
                <w:color w:val="auto"/>
              </w:rPr>
            </w:pPr>
            <w:r>
              <w:rPr>
                <w:rFonts w:ascii="Arial" w:cs="Arial" w:eastAsia="Arial" w:hAnsi="Arial"/>
                <w:sz w:val="14"/>
                <w:szCs w:val="14"/>
                <w:color w:val="auto"/>
              </w:rPr>
              <w:t>(unaudited)</w:t>
            </w:r>
          </w:p>
        </w:tc>
        <w:tc>
          <w:tcPr>
            <w:tcW w:w="400" w:type="dxa"/>
            <w:vAlign w:val="bottom"/>
            <w:shd w:val="clear" w:color="auto" w:fill="D5DCE4"/>
          </w:tcPr>
          <w:p>
            <w:pPr>
              <w:spacing w:after="0"/>
              <w:rPr>
                <w:sz w:val="18"/>
                <w:szCs w:val="18"/>
                <w:color w:val="auto"/>
              </w:rPr>
            </w:pPr>
          </w:p>
        </w:tc>
        <w:tc>
          <w:tcPr>
            <w:tcW w:w="10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140"/>
              <w:spacing w:after="0"/>
              <w:rPr>
                <w:sz w:val="20"/>
                <w:szCs w:val="20"/>
                <w:color w:val="auto"/>
              </w:rPr>
            </w:pPr>
            <w:r>
              <w:rPr>
                <w:rFonts w:ascii="Arial" w:cs="Arial" w:eastAsia="Arial" w:hAnsi="Arial"/>
                <w:sz w:val="14"/>
                <w:szCs w:val="14"/>
                <w:color w:val="auto"/>
              </w:rPr>
              <w:t>Transaction fees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134,922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104,245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518,474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423,583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Subscription fees</w:t>
            </w:r>
          </w:p>
        </w:tc>
        <w:tc>
          <w:tcPr>
            <w:tcW w:w="300" w:type="dxa"/>
            <w:vAlign w:val="bottom"/>
            <w:shd w:val="clear" w:color="auto" w:fill="D5DCE4"/>
          </w:tcPr>
          <w:p>
            <w:pPr>
              <w:spacing w:after="0"/>
              <w:rPr>
                <w:sz w:val="19"/>
                <w:szCs w:val="19"/>
                <w:color w:val="auto"/>
              </w:rPr>
            </w:pPr>
          </w:p>
        </w:tc>
        <w:tc>
          <w:tcPr>
            <w:tcW w:w="11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36,652</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34,333</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142,358</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138,731</w:t>
            </w:r>
          </w:p>
        </w:tc>
        <w:tc>
          <w:tcPr>
            <w:tcW w:w="26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140"/>
              <w:spacing w:after="0"/>
              <w:rPr>
                <w:sz w:val="20"/>
                <w:szCs w:val="20"/>
                <w:color w:val="auto"/>
              </w:rPr>
            </w:pPr>
            <w:r>
              <w:rPr>
                <w:rFonts w:ascii="Arial" w:cs="Arial" w:eastAsia="Arial" w:hAnsi="Arial"/>
                <w:sz w:val="14"/>
                <w:szCs w:val="14"/>
                <w:color w:val="auto"/>
              </w:rPr>
              <w:t>Commissions</w:t>
            </w:r>
          </w:p>
        </w:tc>
        <w:tc>
          <w:tcPr>
            <w:tcW w:w="30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42,913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41,165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163,114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149,365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Refinitiv market data fees</w:t>
            </w:r>
          </w:p>
        </w:tc>
        <w:tc>
          <w:tcPr>
            <w:tcW w:w="300" w:type="dxa"/>
            <w:vAlign w:val="bottom"/>
            <w:shd w:val="clear" w:color="auto" w:fill="D5DCE4"/>
          </w:tcPr>
          <w:p>
            <w:pPr>
              <w:spacing w:after="0"/>
              <w:rPr>
                <w:sz w:val="19"/>
                <w:szCs w:val="19"/>
                <w:color w:val="auto"/>
              </w:rPr>
            </w:pPr>
          </w:p>
        </w:tc>
        <w:tc>
          <w:tcPr>
            <w:tcW w:w="11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16,240</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15,383</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59,706</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55,635</w:t>
            </w:r>
          </w:p>
        </w:tc>
        <w:tc>
          <w:tcPr>
            <w:tcW w:w="26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60" w:type="dxa"/>
            <w:vAlign w:val="bottom"/>
            <w:tcBorders>
              <w:bottom w:val="single" w:sz="8" w:color="D5DCE4"/>
            </w:tcBorders>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2,349</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2,182</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9,007</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8,252</w:t>
            </w:r>
          </w:p>
        </w:tc>
        <w:tc>
          <w:tcPr>
            <w:tcW w:w="260" w:type="dxa"/>
            <w:vAlign w:val="bottom"/>
            <w:tcBorders>
              <w:bottom w:val="single" w:sz="8" w:color="D5DCE4"/>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D5DCE4"/>
          </w:tcPr>
          <w:p>
            <w:pPr>
              <w:ind w:left="220"/>
              <w:spacing w:after="0"/>
              <w:rPr>
                <w:sz w:val="20"/>
                <w:szCs w:val="20"/>
                <w:color w:val="auto"/>
              </w:rPr>
            </w:pPr>
            <w:r>
              <w:rPr>
                <w:rFonts w:ascii="Arial" w:cs="Arial" w:eastAsia="Arial" w:hAnsi="Arial"/>
                <w:sz w:val="14"/>
                <w:szCs w:val="14"/>
                <w:b w:val="1"/>
                <w:bCs w:val="1"/>
                <w:color w:val="auto"/>
              </w:rPr>
              <w:t>Gross revenue</w:t>
            </w:r>
          </w:p>
        </w:tc>
        <w:tc>
          <w:tcPr>
            <w:tcW w:w="300" w:type="dxa"/>
            <w:vAlign w:val="bottom"/>
            <w:shd w:val="clear" w:color="auto" w:fill="D5DCE4"/>
          </w:tcPr>
          <w:p>
            <w:pPr>
              <w:spacing w:after="0"/>
              <w:rPr>
                <w:sz w:val="18"/>
                <w:szCs w:val="18"/>
                <w:color w:val="auto"/>
              </w:rPr>
            </w:pPr>
          </w:p>
        </w:tc>
        <w:tc>
          <w:tcPr>
            <w:tcW w:w="1180" w:type="dxa"/>
            <w:vAlign w:val="bottom"/>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233,076</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197,308</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892,659</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775,566</w:t>
            </w:r>
          </w:p>
        </w:tc>
        <w:tc>
          <w:tcPr>
            <w:tcW w:w="2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16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0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14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86,305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76,545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349,658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329,457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D5DCE4"/>
          </w:tcPr>
          <w:p>
            <w:pPr>
              <w:spacing w:after="0"/>
              <w:rPr>
                <w:sz w:val="19"/>
                <w:szCs w:val="19"/>
                <w:color w:val="auto"/>
              </w:rPr>
            </w:pPr>
          </w:p>
        </w:tc>
        <w:tc>
          <w:tcPr>
            <w:tcW w:w="11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39,837</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36,402</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153,789</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139,330</w:t>
            </w:r>
          </w:p>
        </w:tc>
        <w:tc>
          <w:tcPr>
            <w:tcW w:w="26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140"/>
              <w:spacing w:after="0"/>
              <w:rPr>
                <w:sz w:val="20"/>
                <w:szCs w:val="20"/>
                <w:color w:val="auto"/>
              </w:rPr>
            </w:pPr>
            <w:r>
              <w:rPr>
                <w:rFonts w:ascii="Arial" w:cs="Arial" w:eastAsia="Arial" w:hAnsi="Arial"/>
                <w:sz w:val="14"/>
                <w:szCs w:val="14"/>
                <w:color w:val="auto"/>
              </w:rPr>
              <w:t>Technology and communications</w:t>
            </w:r>
          </w:p>
        </w:tc>
        <w:tc>
          <w:tcPr>
            <w:tcW w:w="30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13,103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47,500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39,285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D5DCE4"/>
          </w:tcPr>
          <w:p>
            <w:pPr>
              <w:spacing w:after="0"/>
              <w:rPr>
                <w:sz w:val="19"/>
                <w:szCs w:val="19"/>
                <w:color w:val="auto"/>
              </w:rPr>
            </w:pPr>
          </w:p>
        </w:tc>
        <w:tc>
          <w:tcPr>
            <w:tcW w:w="11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10,302</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8,999</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34,822</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34,960</w:t>
            </w:r>
          </w:p>
        </w:tc>
        <w:tc>
          <w:tcPr>
            <w:tcW w:w="26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140"/>
              <w:spacing w:after="0"/>
              <w:rPr>
                <w:sz w:val="20"/>
                <w:szCs w:val="20"/>
                <w:color w:val="auto"/>
              </w:rPr>
            </w:pPr>
            <w:r>
              <w:rPr>
                <w:rFonts w:ascii="Arial" w:cs="Arial" w:eastAsia="Arial" w:hAnsi="Arial"/>
                <w:sz w:val="14"/>
                <w:szCs w:val="14"/>
                <w:color w:val="auto"/>
              </w:rPr>
              <w:t>Professional fees</w:t>
            </w:r>
          </w:p>
        </w:tc>
        <w:tc>
          <w:tcPr>
            <w:tcW w:w="30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7,967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28,875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28,029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Occupancy</w:t>
            </w:r>
          </w:p>
        </w:tc>
        <w:tc>
          <w:tcPr>
            <w:tcW w:w="300" w:type="dxa"/>
            <w:vAlign w:val="bottom"/>
            <w:tcBorders>
              <w:bottom w:val="single" w:sz="8" w:color="auto"/>
            </w:tcBorders>
            <w:shd w:val="clear" w:color="auto" w:fill="D5DCE4"/>
          </w:tcPr>
          <w:p>
            <w:pPr>
              <w:spacing w:after="0"/>
              <w:rPr>
                <w:sz w:val="19"/>
                <w:szCs w:val="19"/>
                <w:color w:val="auto"/>
              </w:rPr>
            </w:pPr>
          </w:p>
        </w:tc>
        <w:tc>
          <w:tcPr>
            <w:tcW w:w="11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3,982</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tcBorders>
              <w:bottom w:val="single" w:sz="8" w:color="auto"/>
            </w:tcBorders>
            <w:shd w:val="clear" w:color="auto" w:fill="D5DCE4"/>
          </w:tcPr>
          <w:p>
            <w:pPr>
              <w:spacing w:after="0"/>
              <w:rPr>
                <w:sz w:val="19"/>
                <w:szCs w:val="19"/>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3,786</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tcBorders>
              <w:bottom w:val="single" w:sz="8" w:color="auto"/>
            </w:tcBorders>
            <w:shd w:val="clear" w:color="auto" w:fill="D5DCE4"/>
          </w:tcPr>
          <w:p>
            <w:pPr>
              <w:spacing w:after="0"/>
              <w:rPr>
                <w:sz w:val="19"/>
                <w:szCs w:val="19"/>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14,660</w:t>
            </w: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spacing w:after="0"/>
              <w:rPr>
                <w:sz w:val="19"/>
                <w:szCs w:val="19"/>
                <w:color w:val="auto"/>
              </w:rPr>
            </w:pPr>
          </w:p>
        </w:tc>
        <w:tc>
          <w:tcPr>
            <w:tcW w:w="10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14,686</w:t>
            </w:r>
          </w:p>
        </w:tc>
        <w:tc>
          <w:tcPr>
            <w:tcW w:w="26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60" w:type="dxa"/>
            <w:vAlign w:val="bottom"/>
            <w:tcBorders>
              <w:bottom w:val="single" w:sz="8" w:color="D5DCE4"/>
            </w:tcBorders>
          </w:tcPr>
          <w:p>
            <w:pPr>
              <w:ind w:left="2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161,496</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142,979</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629,304</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585,747</w:t>
            </w:r>
          </w:p>
        </w:tc>
        <w:tc>
          <w:tcPr>
            <w:tcW w:w="260" w:type="dxa"/>
            <w:vAlign w:val="bottom"/>
            <w:tcBorders>
              <w:bottom w:val="single" w:sz="8" w:color="D5DCE4"/>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shd w:val="clear" w:color="auto" w:fill="D5DCE4"/>
          </w:tcPr>
          <w:p>
            <w:pPr>
              <w:spacing w:after="0"/>
              <w:rPr>
                <w:sz w:val="18"/>
                <w:szCs w:val="18"/>
                <w:color w:val="auto"/>
              </w:rPr>
            </w:pPr>
          </w:p>
        </w:tc>
        <w:tc>
          <w:tcPr>
            <w:tcW w:w="1180" w:type="dxa"/>
            <w:vAlign w:val="bottom"/>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71,580</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54,329</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263,355</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189,819</w:t>
            </w:r>
          </w:p>
        </w:tc>
        <w:tc>
          <w:tcPr>
            <w:tcW w:w="2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140"/>
              <w:spacing w:after="0"/>
              <w:rPr>
                <w:sz w:val="20"/>
                <w:szCs w:val="20"/>
                <w:color w:val="auto"/>
              </w:rPr>
            </w:pPr>
            <w:r>
              <w:rPr>
                <w:rFonts w:ascii="Arial" w:cs="Arial" w:eastAsia="Arial" w:hAnsi="Arial"/>
                <w:sz w:val="14"/>
                <w:szCs w:val="14"/>
                <w:color w:val="auto"/>
              </w:rPr>
              <w:t>Tax receivable agreement liability adjustment</w:t>
            </w:r>
          </w:p>
        </w:tc>
        <w:tc>
          <w:tcPr>
            <w:tcW w:w="30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11,425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33,134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33,134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Net interest income (expense)</w:t>
            </w:r>
          </w:p>
        </w:tc>
        <w:tc>
          <w:tcPr>
            <w:tcW w:w="30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(380)</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tcBorders>
              <w:bottom w:val="single" w:sz="8" w:color="auto"/>
            </w:tcBorders>
            <w:shd w:val="clear" w:color="auto" w:fill="D5DCE4"/>
          </w:tcPr>
          <w:p>
            <w:pPr>
              <w:spacing w:after="0"/>
              <w:rPr>
                <w:sz w:val="18"/>
                <w:szCs w:val="18"/>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704</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(316)</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0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2,373</w:t>
            </w:r>
          </w:p>
        </w:tc>
        <w:tc>
          <w:tcPr>
            <w:tcW w:w="2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D5DCE4"/>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82,625</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88,167</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274,464</w:t>
            </w:r>
          </w:p>
        </w:tc>
        <w:tc>
          <w:tcPr>
            <w:tcW w:w="26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225,326</w:t>
            </w:r>
          </w:p>
        </w:tc>
        <w:tc>
          <w:tcPr>
            <w:tcW w:w="260" w:type="dxa"/>
            <w:vAlign w:val="bottom"/>
            <w:tcBorders>
              <w:bottom w:val="single" w:sz="8" w:color="D5DCE4"/>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shd w:val="clear" w:color="auto" w:fill="D5DCE4"/>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D5DCE4"/>
          </w:tcPr>
          <w:p>
            <w:pPr>
              <w:spacing w:after="0"/>
              <w:rPr>
                <w:sz w:val="17"/>
                <w:szCs w:val="17"/>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(16,176)</w:t>
            </w:r>
          </w:p>
        </w:tc>
        <w:tc>
          <w:tcPr>
            <w:tcW w:w="26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280" w:type="dxa"/>
            <w:vAlign w:val="bottom"/>
            <w:tcBorders>
              <w:bottom w:val="single" w:sz="8" w:color="auto"/>
            </w:tcBorders>
            <w:shd w:val="clear" w:color="auto" w:fill="D5DCE4"/>
          </w:tcPr>
          <w:p>
            <w:pPr>
              <w:spacing w:after="0"/>
              <w:rPr>
                <w:sz w:val="17"/>
                <w:szCs w:val="17"/>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(30,889)</w:t>
            </w:r>
          </w:p>
        </w:tc>
        <w:tc>
          <w:tcPr>
            <w:tcW w:w="26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280" w:type="dxa"/>
            <w:vAlign w:val="bottom"/>
            <w:tcBorders>
              <w:bottom w:val="single" w:sz="8" w:color="auto"/>
            </w:tcBorders>
            <w:shd w:val="clear" w:color="auto" w:fill="D5DCE4"/>
          </w:tcPr>
          <w:p>
            <w:pPr>
              <w:spacing w:after="0"/>
              <w:rPr>
                <w:sz w:val="17"/>
                <w:szCs w:val="17"/>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(56,074)</w:t>
            </w:r>
          </w:p>
        </w:tc>
        <w:tc>
          <w:tcPr>
            <w:tcW w:w="26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400" w:type="dxa"/>
            <w:vAlign w:val="bottom"/>
            <w:tcBorders>
              <w:bottom w:val="single" w:sz="8" w:color="auto"/>
            </w:tcBorders>
            <w:shd w:val="clear" w:color="auto" w:fill="D5DCE4"/>
          </w:tcPr>
          <w:p>
            <w:pPr>
              <w:spacing w:after="0"/>
              <w:rPr>
                <w:sz w:val="17"/>
                <w:szCs w:val="17"/>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(52,302)</w:t>
            </w:r>
          </w:p>
        </w:tc>
        <w:tc>
          <w:tcPr>
            <w:tcW w:w="26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66,449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57,278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218,390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173,024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960" w:type="dxa"/>
            <w:vAlign w:val="bottom"/>
            <w:shd w:val="clear" w:color="auto" w:fill="D5DCE4"/>
          </w:tcPr>
          <w:p>
            <w:pPr>
              <w:ind w:left="20"/>
              <w:spacing w:after="0"/>
              <w:rPr>
                <w:sz w:val="20"/>
                <w:szCs w:val="20"/>
                <w:color w:val="auto"/>
              </w:rPr>
            </w:pPr>
            <w:r>
              <w:rPr>
                <w:rFonts w:ascii="Arial" w:cs="Arial" w:eastAsia="Arial" w:hAnsi="Arial"/>
                <w:sz w:val="14"/>
                <w:szCs w:val="14"/>
                <w:color w:val="auto"/>
              </w:rPr>
              <w:t>Less: Pre-IPO net income attributable to Tradeweb Markets</w:t>
            </w:r>
          </w:p>
        </w:tc>
        <w:tc>
          <w:tcPr>
            <w:tcW w:w="300" w:type="dxa"/>
            <w:vAlign w:val="bottom"/>
            <w:shd w:val="clear" w:color="auto" w:fill="D5DCE4"/>
          </w:tcPr>
          <w:p>
            <w:pPr>
              <w:spacing w:after="0"/>
              <w:rPr>
                <w:sz w:val="15"/>
                <w:szCs w:val="15"/>
                <w:color w:val="auto"/>
              </w:rPr>
            </w:pPr>
          </w:p>
        </w:tc>
        <w:tc>
          <w:tcPr>
            <w:tcW w:w="1180" w:type="dxa"/>
            <w:vAlign w:val="bottom"/>
            <w:shd w:val="clear" w:color="auto" w:fill="D5DCE4"/>
          </w:tcPr>
          <w:p>
            <w:pPr>
              <w:spacing w:after="0"/>
              <w:rPr>
                <w:sz w:val="15"/>
                <w:szCs w:val="15"/>
                <w:color w:val="auto"/>
              </w:rPr>
            </w:pPr>
          </w:p>
        </w:tc>
        <w:tc>
          <w:tcPr>
            <w:tcW w:w="26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280" w:type="dxa"/>
            <w:vAlign w:val="bottom"/>
            <w:shd w:val="clear" w:color="auto" w:fill="D5DCE4"/>
          </w:tcPr>
          <w:p>
            <w:pPr>
              <w:spacing w:after="0"/>
              <w:rPr>
                <w:sz w:val="15"/>
                <w:szCs w:val="15"/>
                <w:color w:val="auto"/>
              </w:rPr>
            </w:pPr>
          </w:p>
        </w:tc>
        <w:tc>
          <w:tcPr>
            <w:tcW w:w="1160" w:type="dxa"/>
            <w:vAlign w:val="bottom"/>
            <w:shd w:val="clear" w:color="auto" w:fill="D5DCE4"/>
          </w:tcPr>
          <w:p>
            <w:pPr>
              <w:spacing w:after="0"/>
              <w:rPr>
                <w:sz w:val="15"/>
                <w:szCs w:val="15"/>
                <w:color w:val="auto"/>
              </w:rPr>
            </w:pPr>
          </w:p>
        </w:tc>
        <w:tc>
          <w:tcPr>
            <w:tcW w:w="26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280" w:type="dxa"/>
            <w:vAlign w:val="bottom"/>
            <w:shd w:val="clear" w:color="auto" w:fill="D5DCE4"/>
          </w:tcPr>
          <w:p>
            <w:pPr>
              <w:spacing w:after="0"/>
              <w:rPr>
                <w:sz w:val="15"/>
                <w:szCs w:val="15"/>
                <w:color w:val="auto"/>
              </w:rPr>
            </w:pPr>
          </w:p>
        </w:tc>
        <w:tc>
          <w:tcPr>
            <w:tcW w:w="1180" w:type="dxa"/>
            <w:vAlign w:val="bottom"/>
            <w:shd w:val="clear" w:color="auto" w:fill="D5DCE4"/>
          </w:tcPr>
          <w:p>
            <w:pPr>
              <w:spacing w:after="0"/>
              <w:rPr>
                <w:sz w:val="15"/>
                <w:szCs w:val="15"/>
                <w:color w:val="auto"/>
              </w:rPr>
            </w:pPr>
          </w:p>
        </w:tc>
        <w:tc>
          <w:tcPr>
            <w:tcW w:w="26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00" w:type="dxa"/>
            <w:vAlign w:val="bottom"/>
            <w:shd w:val="clear" w:color="auto" w:fill="D5DCE4"/>
          </w:tcPr>
          <w:p>
            <w:pPr>
              <w:spacing w:after="0"/>
              <w:rPr>
                <w:sz w:val="15"/>
                <w:szCs w:val="15"/>
                <w:color w:val="auto"/>
              </w:rPr>
            </w:pPr>
          </w:p>
        </w:tc>
        <w:tc>
          <w:tcPr>
            <w:tcW w:w="1080" w:type="dxa"/>
            <w:vAlign w:val="bottom"/>
            <w:shd w:val="clear" w:color="auto" w:fill="D5DCE4"/>
          </w:tcPr>
          <w:p>
            <w:pPr>
              <w:spacing w:after="0"/>
              <w:rPr>
                <w:sz w:val="15"/>
                <w:szCs w:val="15"/>
                <w:color w:val="auto"/>
              </w:rPr>
            </w:pPr>
          </w:p>
        </w:tc>
        <w:tc>
          <w:tcPr>
            <w:tcW w:w="260" w:type="dxa"/>
            <w:vAlign w:val="bottom"/>
            <w:shd w:val="clear" w:color="auto" w:fill="D5DCE4"/>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D5DCE4"/>
          </w:tcPr>
          <w:p>
            <w:pPr>
              <w:ind w:left="20"/>
              <w:spacing w:after="0"/>
              <w:rPr>
                <w:sz w:val="20"/>
                <w:szCs w:val="20"/>
                <w:color w:val="auto"/>
              </w:rPr>
            </w:pPr>
            <w:r>
              <w:rPr>
                <w:rFonts w:ascii="Arial" w:cs="Arial" w:eastAsia="Arial" w:hAnsi="Arial"/>
                <w:sz w:val="14"/>
                <w:szCs w:val="14"/>
                <w:color w:val="auto"/>
              </w:rPr>
              <w:t>LLC</w:t>
            </w:r>
          </w:p>
        </w:tc>
        <w:tc>
          <w:tcPr>
            <w:tcW w:w="300" w:type="dxa"/>
            <w:vAlign w:val="bottom"/>
            <w:shd w:val="clear" w:color="auto" w:fill="D5DCE4"/>
          </w:tcPr>
          <w:p>
            <w:pPr>
              <w:spacing w:after="0"/>
              <w:rPr>
                <w:sz w:val="17"/>
                <w:szCs w:val="17"/>
                <w:color w:val="auto"/>
              </w:rPr>
            </w:pPr>
          </w:p>
        </w:tc>
        <w:tc>
          <w:tcPr>
            <w:tcW w:w="1520" w:type="dxa"/>
            <w:vAlign w:val="bottom"/>
            <w:gridSpan w:val="3"/>
            <w:shd w:val="clear" w:color="auto" w:fill="D5DCE4"/>
          </w:tcPr>
          <w:p>
            <w:pPr>
              <w:jc w:val="right"/>
              <w:ind w:right="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D5DCE4"/>
          </w:tcPr>
          <w:p>
            <w:pPr>
              <w:spacing w:after="0"/>
              <w:rPr>
                <w:sz w:val="17"/>
                <w:szCs w:val="17"/>
                <w:color w:val="auto"/>
              </w:rPr>
            </w:pPr>
          </w:p>
        </w:tc>
        <w:tc>
          <w:tcPr>
            <w:tcW w:w="1500" w:type="dxa"/>
            <w:vAlign w:val="bottom"/>
            <w:gridSpan w:val="3"/>
            <w:shd w:val="clear" w:color="auto" w:fill="D5DCE4"/>
          </w:tcPr>
          <w:p>
            <w:pPr>
              <w:jc w:val="right"/>
              <w:ind w:right="400"/>
              <w:spacing w:after="0"/>
              <w:rPr>
                <w:sz w:val="20"/>
                <w:szCs w:val="20"/>
                <w:color w:val="auto"/>
              </w:rPr>
            </w:pPr>
            <w:r>
              <w:rPr>
                <w:rFonts w:ascii="Arial" w:cs="Arial" w:eastAsia="Arial" w:hAnsi="Arial"/>
                <w:sz w:val="14"/>
                <w:szCs w:val="14"/>
                <w:color w:val="auto"/>
              </w:rPr>
              <w:t>—</w:t>
            </w:r>
          </w:p>
        </w:tc>
        <w:tc>
          <w:tcPr>
            <w:tcW w:w="280" w:type="dxa"/>
            <w:vAlign w:val="bottom"/>
            <w:shd w:val="clear" w:color="auto" w:fill="D5DCE4"/>
          </w:tcPr>
          <w:p>
            <w:pPr>
              <w:spacing w:after="0"/>
              <w:rPr>
                <w:sz w:val="17"/>
                <w:szCs w:val="17"/>
                <w:color w:val="auto"/>
              </w:rPr>
            </w:pPr>
          </w:p>
        </w:tc>
        <w:tc>
          <w:tcPr>
            <w:tcW w:w="1520" w:type="dxa"/>
            <w:vAlign w:val="bottom"/>
            <w:gridSpan w:val="3"/>
            <w:shd w:val="clear" w:color="auto" w:fill="D5DCE4"/>
          </w:tcPr>
          <w:p>
            <w:pPr>
              <w:jc w:val="right"/>
              <w:ind w:right="400"/>
              <w:spacing w:after="0"/>
              <w:rPr>
                <w:sz w:val="20"/>
                <w:szCs w:val="20"/>
                <w:color w:val="auto"/>
              </w:rPr>
            </w:pPr>
            <w:r>
              <w:rPr>
                <w:rFonts w:ascii="Arial" w:cs="Arial" w:eastAsia="Arial" w:hAnsi="Arial"/>
                <w:sz w:val="14"/>
                <w:szCs w:val="14"/>
                <w:color w:val="auto"/>
              </w:rPr>
              <w:t>—</w:t>
            </w:r>
          </w:p>
        </w:tc>
        <w:tc>
          <w:tcPr>
            <w:tcW w:w="400" w:type="dxa"/>
            <w:vAlign w:val="bottom"/>
            <w:shd w:val="clear" w:color="auto" w:fill="D5DCE4"/>
          </w:tcPr>
          <w:p>
            <w:pPr>
              <w:spacing w:after="0"/>
              <w:rPr>
                <w:sz w:val="17"/>
                <w:szCs w:val="17"/>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42,352</w:t>
            </w:r>
          </w:p>
        </w:tc>
        <w:tc>
          <w:tcPr>
            <w:tcW w:w="26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960" w:type="dxa"/>
            <w:vAlign w:val="bottom"/>
          </w:tcPr>
          <w:p>
            <w:pPr>
              <w:ind w:left="20"/>
              <w:spacing w:after="0" w:line="129" w:lineRule="exact"/>
              <w:rPr>
                <w:sz w:val="20"/>
                <w:szCs w:val="20"/>
                <w:color w:val="auto"/>
              </w:rPr>
            </w:pPr>
            <w:r>
              <w:rPr>
                <w:rFonts w:ascii="Arial" w:cs="Arial" w:eastAsia="Arial" w:hAnsi="Arial"/>
                <w:sz w:val="14"/>
                <w:szCs w:val="14"/>
                <w:color w:val="auto"/>
              </w:rPr>
              <w:t>Net income attributable to Tradeweb Markets Inc. and non-</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66,449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57,278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218,390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130,672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Arial" w:cs="Arial" w:eastAsia="Arial" w:hAnsi="Arial"/>
                <w:sz w:val="14"/>
                <w:szCs w:val="14"/>
                <w:color w:val="auto"/>
              </w:rPr>
              <w:t>controlling interests</w:t>
            </w:r>
          </w:p>
        </w:tc>
        <w:tc>
          <w:tcPr>
            <w:tcW w:w="3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D5DCE4"/>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11,389</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tcBorders>
              <w:bottom w:val="single" w:sz="8" w:color="auto"/>
            </w:tcBorders>
            <w:shd w:val="clear" w:color="auto" w:fill="D5DCE4"/>
          </w:tcPr>
          <w:p>
            <w:pPr>
              <w:spacing w:after="0"/>
              <w:rPr>
                <w:sz w:val="18"/>
                <w:szCs w:val="18"/>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15,949</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8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52,094</w:t>
            </w:r>
          </w:p>
        </w:tc>
        <w:tc>
          <w:tcPr>
            <w:tcW w:w="2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0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46,903</w:t>
            </w:r>
          </w:p>
        </w:tc>
        <w:tc>
          <w:tcPr>
            <w:tcW w:w="2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55,060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166,296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83,769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5DC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shd w:val="clear" w:color="auto" w:fill="D5DCE4"/>
          </w:tcPr>
          <w:p>
            <w:pPr>
              <w:spacing w:after="0"/>
              <w:rPr>
                <w:sz w:val="19"/>
                <w:szCs w:val="19"/>
                <w:color w:val="auto"/>
              </w:rPr>
            </w:pPr>
          </w:p>
        </w:tc>
        <w:tc>
          <w:tcPr>
            <w:tcW w:w="30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60" w:type="dxa"/>
            <w:vAlign w:val="bottom"/>
            <w:shd w:val="clear" w:color="auto" w:fill="D5DCE4"/>
          </w:tcPr>
          <w:p>
            <w:pPr>
              <w:spacing w:after="0"/>
              <w:rPr>
                <w:sz w:val="19"/>
                <w:szCs w:val="19"/>
                <w:color w:val="auto"/>
              </w:rPr>
            </w:pP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2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080" w:type="dxa"/>
            <w:vAlign w:val="bottom"/>
            <w:shd w:val="clear" w:color="auto" w:fill="D5DCE4"/>
          </w:tcPr>
          <w:p>
            <w:pPr>
              <w:spacing w:after="0"/>
              <w:rPr>
                <w:sz w:val="19"/>
                <w:szCs w:val="19"/>
                <w:color w:val="auto"/>
              </w:rPr>
            </w:pPr>
          </w:p>
        </w:tc>
        <w:tc>
          <w:tcPr>
            <w:tcW w:w="26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EPS calculations for post-IPO and pre-IPO periods </w:t>
            </w:r>
            <w:r>
              <w:rPr>
                <w:rFonts w:ascii="Arial" w:cs="Arial" w:eastAsia="Arial" w:hAnsi="Arial"/>
                <w:sz w:val="18"/>
                <w:szCs w:val="18"/>
                <w:b w:val="1"/>
                <w:bCs w:val="1"/>
                <w:color w:val="auto"/>
                <w:vertAlign w:val="superscript"/>
              </w:rPr>
              <w:t>(1)</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Earnings per share</w:t>
            </w:r>
          </w:p>
        </w:tc>
        <w:tc>
          <w:tcPr>
            <w:tcW w:w="1060" w:type="dxa"/>
            <w:vAlign w:val="bottom"/>
            <w:shd w:val="clear" w:color="auto" w:fill="D5DCE4"/>
          </w:tcPr>
          <w:p>
            <w:pPr>
              <w:spacing w:after="0"/>
              <w:rPr>
                <w:sz w:val="18"/>
                <w:szCs w:val="18"/>
                <w:color w:val="auto"/>
              </w:rPr>
            </w:pPr>
          </w:p>
        </w:tc>
        <w:tc>
          <w:tcPr>
            <w:tcW w:w="340" w:type="dxa"/>
            <w:vAlign w:val="bottom"/>
            <w:shd w:val="clear" w:color="auto" w:fill="D5DCE4"/>
          </w:tcPr>
          <w:p>
            <w:pPr>
              <w:spacing w:after="0"/>
              <w:rPr>
                <w:sz w:val="18"/>
                <w:szCs w:val="18"/>
                <w:color w:val="auto"/>
              </w:rPr>
            </w:pPr>
          </w:p>
        </w:tc>
        <w:tc>
          <w:tcPr>
            <w:tcW w:w="38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34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34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gridSpan w:val="2"/>
          </w:tcPr>
          <w:p>
            <w:pPr>
              <w:ind w:left="140"/>
              <w:spacing w:after="0"/>
              <w:rPr>
                <w:sz w:val="20"/>
                <w:szCs w:val="20"/>
                <w:color w:val="auto"/>
              </w:rPr>
            </w:pPr>
            <w:r>
              <w:rPr>
                <w:rFonts w:ascii="Arial" w:cs="Arial" w:eastAsia="Arial" w:hAnsi="Arial"/>
                <w:sz w:val="14"/>
                <w:szCs w:val="14"/>
                <w:color w:val="auto"/>
              </w:rPr>
              <w:t>Basic</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26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D5DCE4"/>
            </w:tcBorders>
            <w:shd w:val="clear" w:color="auto" w:fill="D5DCE4"/>
          </w:tcPr>
          <w:p>
            <w:pPr>
              <w:spacing w:after="0"/>
              <w:rPr>
                <w:sz w:val="20"/>
                <w:szCs w:val="20"/>
                <w:color w:val="auto"/>
              </w:rPr>
            </w:pPr>
          </w:p>
        </w:tc>
        <w:tc>
          <w:tcPr>
            <w:tcW w:w="420" w:type="dxa"/>
            <w:vAlign w:val="bottom"/>
            <w:tcBorders>
              <w:bottom w:val="single" w:sz="8" w:color="auto"/>
            </w:tcBorders>
            <w:shd w:val="clear" w:color="auto" w:fill="D5DCE4"/>
          </w:tcPr>
          <w:p>
            <w:pPr>
              <w:ind w:left="1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0.29</w:t>
            </w:r>
          </w:p>
        </w:tc>
        <w:tc>
          <w:tcPr>
            <w:tcW w:w="3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9"/>
                <w:szCs w:val="9"/>
                <w:color w:val="auto"/>
              </w:rPr>
              <w:t>(a)</w:t>
            </w:r>
          </w:p>
        </w:tc>
        <w:tc>
          <w:tcPr>
            <w:tcW w:w="38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0.26</w:t>
            </w:r>
          </w:p>
        </w:tc>
        <w:tc>
          <w:tcPr>
            <w:tcW w:w="3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9"/>
                <w:szCs w:val="9"/>
                <w:color w:val="auto"/>
              </w:rPr>
              <w:t>(a)</w:t>
            </w:r>
          </w:p>
        </w:tc>
        <w:tc>
          <w:tcPr>
            <w:tcW w:w="40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0.92</w:t>
            </w:r>
          </w:p>
        </w:tc>
        <w:tc>
          <w:tcPr>
            <w:tcW w:w="3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9"/>
                <w:szCs w:val="9"/>
                <w:color w:val="auto"/>
              </w:rPr>
              <w:t>(a)</w:t>
            </w:r>
          </w:p>
        </w:tc>
        <w:tc>
          <w:tcPr>
            <w:tcW w:w="42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0.57</w:t>
            </w:r>
          </w:p>
        </w:tc>
        <w:tc>
          <w:tcPr>
            <w:tcW w:w="2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line="20" w:lineRule="exact"/>
              <w:rPr>
                <w:sz w:val="1"/>
                <w:szCs w:val="1"/>
                <w:color w:val="auto"/>
              </w:rPr>
            </w:pPr>
          </w:p>
        </w:tc>
      </w:tr>
      <w:tr>
        <w:trPr>
          <w:trHeight w:val="190"/>
        </w:trPr>
        <w:tc>
          <w:tcPr>
            <w:tcW w:w="4380" w:type="dxa"/>
            <w:vAlign w:val="bottom"/>
            <w:gridSpan w:val="2"/>
          </w:tcPr>
          <w:p>
            <w:pPr>
              <w:ind w:left="140"/>
              <w:spacing w:after="0"/>
              <w:rPr>
                <w:sz w:val="20"/>
                <w:szCs w:val="20"/>
                <w:color w:val="auto"/>
              </w:rPr>
            </w:pPr>
            <w:r>
              <w:rPr>
                <w:rFonts w:ascii="Arial" w:cs="Arial" w:eastAsia="Arial" w:hAnsi="Arial"/>
                <w:sz w:val="14"/>
                <w:szCs w:val="14"/>
                <w:color w:val="auto"/>
              </w:rPr>
              <w:t>Diluted</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80" w:type="dxa"/>
            <w:vAlign w:val="bottom"/>
            <w:gridSpan w:val="2"/>
            <w:shd w:val="clear" w:color="auto" w:fill="D5DCE4"/>
          </w:tcPr>
          <w:p>
            <w:pPr>
              <w:ind w:left="4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0.28</w:t>
            </w:r>
          </w:p>
        </w:tc>
        <w:tc>
          <w:tcPr>
            <w:tcW w:w="340" w:type="dxa"/>
            <w:vAlign w:val="bottom"/>
            <w:shd w:val="clear" w:color="auto" w:fill="D5DCE4"/>
          </w:tcPr>
          <w:p>
            <w:pPr>
              <w:ind w:left="20"/>
              <w:spacing w:after="0"/>
              <w:rPr>
                <w:sz w:val="20"/>
                <w:szCs w:val="20"/>
                <w:color w:val="auto"/>
              </w:rPr>
            </w:pPr>
            <w:r>
              <w:rPr>
                <w:rFonts w:ascii="Arial" w:cs="Arial" w:eastAsia="Arial" w:hAnsi="Arial"/>
                <w:sz w:val="9"/>
                <w:szCs w:val="9"/>
                <w:color w:val="auto"/>
              </w:rPr>
              <w:t>(a)</w:t>
            </w:r>
          </w:p>
        </w:tc>
        <w:tc>
          <w:tcPr>
            <w:tcW w:w="38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0.25</w:t>
            </w:r>
          </w:p>
        </w:tc>
        <w:tc>
          <w:tcPr>
            <w:tcW w:w="340" w:type="dxa"/>
            <w:vAlign w:val="bottom"/>
            <w:shd w:val="clear" w:color="auto" w:fill="D5DCE4"/>
          </w:tcPr>
          <w:p>
            <w:pPr>
              <w:ind w:left="20"/>
              <w:spacing w:after="0"/>
              <w:rPr>
                <w:sz w:val="20"/>
                <w:szCs w:val="20"/>
                <w:color w:val="auto"/>
              </w:rPr>
            </w:pPr>
            <w:r>
              <w:rPr>
                <w:rFonts w:ascii="Arial" w:cs="Arial" w:eastAsia="Arial" w:hAnsi="Arial"/>
                <w:sz w:val="9"/>
                <w:szCs w:val="9"/>
                <w:color w:val="auto"/>
              </w:rPr>
              <w:t>(a)</w:t>
            </w:r>
          </w:p>
        </w:tc>
        <w:tc>
          <w:tcPr>
            <w:tcW w:w="40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0.88</w:t>
            </w:r>
          </w:p>
        </w:tc>
        <w:tc>
          <w:tcPr>
            <w:tcW w:w="340" w:type="dxa"/>
            <w:vAlign w:val="bottom"/>
            <w:shd w:val="clear" w:color="auto" w:fill="D5DCE4"/>
          </w:tcPr>
          <w:p>
            <w:pPr>
              <w:ind w:left="20"/>
              <w:spacing w:after="0"/>
              <w:rPr>
                <w:sz w:val="20"/>
                <w:szCs w:val="20"/>
                <w:color w:val="auto"/>
              </w:rPr>
            </w:pPr>
            <w:r>
              <w:rPr>
                <w:rFonts w:ascii="Arial" w:cs="Arial" w:eastAsia="Arial" w:hAnsi="Arial"/>
                <w:sz w:val="9"/>
                <w:szCs w:val="9"/>
                <w:color w:val="auto"/>
              </w:rPr>
              <w:t>(a)</w:t>
            </w:r>
          </w:p>
        </w:tc>
        <w:tc>
          <w:tcPr>
            <w:tcW w:w="42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0.54</w:t>
            </w:r>
          </w:p>
        </w:tc>
        <w:tc>
          <w:tcPr>
            <w:tcW w:w="260" w:type="dxa"/>
            <w:vAlign w:val="bottom"/>
            <w:shd w:val="clear" w:color="auto" w:fill="D5DCE4"/>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0"/>
        </w:trPr>
        <w:tc>
          <w:tcPr>
            <w:tcW w:w="396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5DC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80" w:type="dxa"/>
            <w:vAlign w:val="bottom"/>
            <w:gridSpan w:val="2"/>
            <w:shd w:val="clear" w:color="auto" w:fill="D5DCE4"/>
          </w:tcPr>
          <w:p>
            <w:pPr>
              <w:ind w:left="140"/>
              <w:spacing w:after="0"/>
              <w:rPr>
                <w:sz w:val="20"/>
                <w:szCs w:val="20"/>
                <w:color w:val="auto"/>
              </w:rPr>
            </w:pPr>
            <w:r>
              <w:rPr>
                <w:rFonts w:ascii="Arial" w:cs="Arial" w:eastAsia="Arial" w:hAnsi="Arial"/>
                <w:sz w:val="14"/>
                <w:szCs w:val="14"/>
                <w:color w:val="auto"/>
              </w:rPr>
              <w:t>Basic</w:t>
            </w:r>
          </w:p>
        </w:tc>
        <w:tc>
          <w:tcPr>
            <w:tcW w:w="106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380" w:type="dxa"/>
            <w:vAlign w:val="bottom"/>
            <w:shd w:val="clear" w:color="auto" w:fill="D5DCE4"/>
          </w:tcPr>
          <w:p>
            <w:pPr>
              <w:spacing w:after="0"/>
              <w:rPr>
                <w:sz w:val="19"/>
                <w:szCs w:val="19"/>
                <w:color w:val="auto"/>
              </w:rPr>
            </w:pPr>
          </w:p>
        </w:tc>
        <w:tc>
          <w:tcPr>
            <w:tcW w:w="106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06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0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222,222,197</w:t>
            </w:r>
          </w:p>
        </w:tc>
        <w:tc>
          <w:tcPr>
            <w:tcW w:w="260" w:type="dxa"/>
            <w:vAlign w:val="bottom"/>
            <w:shd w:val="clear" w:color="auto" w:fill="D5DCE4"/>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189,795,356</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157,950,550</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180,409,462</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4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148,013,274</w:t>
            </w:r>
          </w:p>
        </w:tc>
        <w:tc>
          <w:tcPr>
            <w:tcW w:w="26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20"/>
        </w:trPr>
        <w:tc>
          <w:tcPr>
            <w:tcW w:w="4380" w:type="dxa"/>
            <w:vAlign w:val="bottom"/>
            <w:gridSpan w:val="2"/>
            <w:shd w:val="clear" w:color="auto" w:fill="D5DCE4"/>
          </w:tcPr>
          <w:p>
            <w:pPr>
              <w:ind w:left="140"/>
              <w:spacing w:after="0"/>
              <w:rPr>
                <w:sz w:val="20"/>
                <w:szCs w:val="20"/>
                <w:color w:val="auto"/>
              </w:rPr>
            </w:pPr>
            <w:r>
              <w:rPr>
                <w:rFonts w:ascii="Arial" w:cs="Arial" w:eastAsia="Arial" w:hAnsi="Arial"/>
                <w:sz w:val="14"/>
                <w:szCs w:val="14"/>
                <w:color w:val="auto"/>
              </w:rPr>
              <w:t>Diluted</w:t>
            </w:r>
          </w:p>
        </w:tc>
        <w:tc>
          <w:tcPr>
            <w:tcW w:w="106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380" w:type="dxa"/>
            <w:vAlign w:val="bottom"/>
            <w:shd w:val="clear" w:color="auto" w:fill="D5DCE4"/>
          </w:tcPr>
          <w:p>
            <w:pPr>
              <w:spacing w:after="0"/>
              <w:rPr>
                <w:sz w:val="19"/>
                <w:szCs w:val="19"/>
                <w:color w:val="auto"/>
              </w:rPr>
            </w:pPr>
          </w:p>
        </w:tc>
        <w:tc>
          <w:tcPr>
            <w:tcW w:w="106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06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0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223,320,457</w:t>
            </w:r>
          </w:p>
        </w:tc>
        <w:tc>
          <w:tcPr>
            <w:tcW w:w="260" w:type="dxa"/>
            <w:vAlign w:val="bottom"/>
            <w:shd w:val="clear" w:color="auto" w:fill="D5DCE4"/>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08"/>
        </w:trPr>
        <w:tc>
          <w:tcPr>
            <w:tcW w:w="3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197,745,297</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167,069,241</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188,223,032</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4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156,540,246</w:t>
            </w:r>
          </w:p>
        </w:tc>
        <w:tc>
          <w:tcPr>
            <w:tcW w:w="26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280" w:hanging="328"/>
        <w:spacing w:after="0" w:line="246" w:lineRule="auto"/>
        <w:tabs>
          <w:tab w:leader="none" w:pos="652"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w:t>
      </w:r>
    </w:p>
    <w:p>
      <w:pPr>
        <w:spacing w:after="0" w:line="1" w:lineRule="exact"/>
        <w:rPr>
          <w:rFonts w:ascii="Arial" w:cs="Arial" w:eastAsia="Arial" w:hAnsi="Arial"/>
          <w:sz w:val="13"/>
          <w:szCs w:val="13"/>
          <w:color w:val="auto"/>
        </w:rPr>
      </w:pPr>
    </w:p>
    <w:p>
      <w:pPr>
        <w:ind w:left="1300" w:hanging="320"/>
        <w:spacing w:after="0" w:line="216" w:lineRule="auto"/>
        <w:tabs>
          <w:tab w:leader="none" w:pos="130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ind w:left="1300" w:hanging="320"/>
        <w:spacing w:after="0" w:line="216" w:lineRule="auto"/>
        <w:tabs>
          <w:tab w:leader="none" w:pos="130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660"/>
        <w:spacing w:after="0"/>
        <w:rPr>
          <w:sz w:val="20"/>
          <w:szCs w:val="20"/>
          <w:color w:val="auto"/>
        </w:rPr>
      </w:pPr>
      <w:r>
        <w:rPr>
          <w:rFonts w:ascii="Arial" w:cs="Arial" w:eastAsia="Arial" w:hAnsi="Arial"/>
          <w:sz w:val="13"/>
          <w:szCs w:val="13"/>
          <w:color w:val="auto"/>
        </w:rPr>
        <w:t>See “Basic and Diluted EPS Calculations” and “Presentation” below for additional information.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8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ectPr>
          <w:pgSz w:w="11900" w:h="16838" w:orient="portrait"/>
          <w:cols w:equalWidth="0" w:num="1">
            <w:col w:w="11240"/>
          </w:cols>
          <w:pgMar w:left="320" w:top="686" w:right="339" w:bottom="1440" w:gutter="0" w:footer="0" w:header="0"/>
        </w:sectPr>
      </w:pPr>
    </w:p>
    <w:p>
      <w:pPr>
        <w:spacing w:after="0" w:line="51" w:lineRule="exact"/>
        <w:rPr>
          <w:sz w:val="20"/>
          <w:szCs w:val="20"/>
          <w:color w:val="auto"/>
        </w:rPr>
      </w:pPr>
    </w:p>
    <w:p>
      <w:pPr>
        <w:ind w:left="20"/>
        <w:spacing w:after="0" w:line="265"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962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Quarter Ended December 31,</w:t>
            </w:r>
          </w:p>
        </w:tc>
        <w:tc>
          <w:tcPr>
            <w:tcW w:w="470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Year Ended December 31,</w:t>
            </w:r>
          </w:p>
        </w:tc>
      </w:tr>
      <w:tr>
        <w:trPr>
          <w:trHeight w:val="247"/>
        </w:trPr>
        <w:tc>
          <w:tcPr>
            <w:tcW w:w="18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2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2020</w:t>
            </w:r>
          </w:p>
        </w:tc>
        <w:tc>
          <w:tcPr>
            <w:tcW w:w="21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2019</w:t>
            </w:r>
          </w:p>
        </w:tc>
      </w:tr>
      <w:tr>
        <w:trPr>
          <w:trHeight w:val="233"/>
        </w:trPr>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540" w:type="dxa"/>
            <w:vAlign w:val="bottom"/>
          </w:tcPr>
          <w:p>
            <w:pPr>
              <w:jc w:val="right"/>
              <w:ind w:right="1179"/>
              <w:spacing w:after="0"/>
              <w:rPr>
                <w:sz w:val="20"/>
                <w:szCs w:val="20"/>
                <w:color w:val="auto"/>
              </w:rPr>
            </w:pPr>
            <w:r>
              <w:rPr>
                <w:rFonts w:ascii="Arial" w:cs="Arial" w:eastAsia="Arial" w:hAnsi="Arial"/>
                <w:sz w:val="16"/>
                <w:szCs w:val="16"/>
                <w:b w:val="1"/>
                <w:bCs w:val="1"/>
                <w:color w:val="auto"/>
              </w:rPr>
              <w:t>(in thousands)</w:t>
            </w:r>
          </w:p>
        </w:tc>
        <w:tc>
          <w:tcPr>
            <w:tcW w:w="216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2820" w:space="460"/>
            <w:col w:w="7960"/>
          </w:cols>
          <w:pgMar w:left="320" w:top="68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28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66,449</w:t>
            </w:r>
          </w:p>
        </w:tc>
        <w:tc>
          <w:tcPr>
            <w:tcW w:w="900" w:type="dxa"/>
            <w:vAlign w:val="bottom"/>
            <w:gridSpan w:val="2"/>
            <w:shd w:val="clear" w:color="auto" w:fill="D5DCE4"/>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57,278</w:t>
            </w:r>
          </w:p>
        </w:tc>
        <w:tc>
          <w:tcPr>
            <w:tcW w:w="840" w:type="dxa"/>
            <w:vAlign w:val="bottom"/>
            <w:gridSpan w:val="2"/>
            <w:shd w:val="clear" w:color="auto" w:fill="D5DCE4"/>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218,390</w:t>
            </w:r>
          </w:p>
        </w:tc>
        <w:tc>
          <w:tcPr>
            <w:tcW w:w="840" w:type="dxa"/>
            <w:vAlign w:val="bottom"/>
            <w:gridSpan w:val="2"/>
            <w:shd w:val="clear" w:color="auto" w:fill="D5DCE4"/>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173,024</w:t>
            </w:r>
          </w:p>
        </w:tc>
        <w:tc>
          <w:tcPr>
            <w:tcW w:w="320" w:type="dxa"/>
            <w:vAlign w:val="bottom"/>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280" w:type="dxa"/>
            <w:vAlign w:val="bottom"/>
          </w:tcPr>
          <w:p>
            <w:pPr>
              <w:ind w:left="20"/>
              <w:spacing w:after="0"/>
              <w:rPr>
                <w:sz w:val="20"/>
                <w:szCs w:val="20"/>
                <w:color w:val="auto"/>
              </w:rPr>
            </w:pPr>
            <w:r>
              <w:rPr>
                <w:rFonts w:ascii="Arial" w:cs="Arial" w:eastAsia="Arial" w:hAnsi="Arial"/>
                <w:sz w:val="16"/>
                <w:szCs w:val="16"/>
                <w:color w:val="auto"/>
              </w:rPr>
              <w:t>Net interest (income) expense</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(704)</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280" w:type="dxa"/>
            <w:vAlign w:val="bottom"/>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39,837</w:t>
            </w:r>
          </w:p>
        </w:tc>
        <w:tc>
          <w:tcPr>
            <w:tcW w:w="34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36,402</w:t>
            </w:r>
          </w:p>
        </w:tc>
        <w:tc>
          <w:tcPr>
            <w:tcW w:w="32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153,789</w:t>
            </w:r>
          </w:p>
        </w:tc>
        <w:tc>
          <w:tcPr>
            <w:tcW w:w="30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139,330</w:t>
            </w:r>
          </w:p>
        </w:tc>
        <w:tc>
          <w:tcPr>
            <w:tcW w:w="32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(1)</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2,717</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2,700</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13,025</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25,098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56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16,176</w:t>
            </w:r>
          </w:p>
        </w:tc>
        <w:tc>
          <w:tcPr>
            <w:tcW w:w="34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30,889</w:t>
            </w:r>
          </w:p>
        </w:tc>
        <w:tc>
          <w:tcPr>
            <w:tcW w:w="32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56,074</w:t>
            </w:r>
          </w:p>
        </w:tc>
        <w:tc>
          <w:tcPr>
            <w:tcW w:w="30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52,302</w:t>
            </w:r>
          </w:p>
        </w:tc>
        <w:tc>
          <w:tcPr>
            <w:tcW w:w="32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6"/>
                <w:szCs w:val="16"/>
                <w:color w:val="auto"/>
              </w:rPr>
              <w:t>Unrealized foreign exchange (gains) /</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ind w:left="20"/>
              <w:spacing w:after="0"/>
              <w:rPr>
                <w:sz w:val="20"/>
                <w:szCs w:val="20"/>
                <w:color w:val="auto"/>
              </w:rPr>
            </w:pPr>
            <w:r>
              <w:rPr>
                <w:rFonts w:ascii="Arial" w:cs="Arial" w:eastAsia="Arial" w:hAnsi="Arial"/>
                <w:sz w:val="16"/>
                <w:szCs w:val="16"/>
                <w:color w:val="auto"/>
              </w:rPr>
              <w:t>losses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(1,095)</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5,665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280" w:type="dxa"/>
            <w:vAlign w:val="bottom"/>
            <w:shd w:val="clear" w:color="auto" w:fill="D5DCE4"/>
          </w:tcPr>
          <w:p>
            <w:pPr>
              <w:ind w:left="20"/>
              <w:spacing w:after="0" w:line="170" w:lineRule="exact"/>
              <w:rPr>
                <w:sz w:val="20"/>
                <w:szCs w:val="20"/>
                <w:color w:val="auto"/>
              </w:rPr>
            </w:pPr>
            <w:r>
              <w:rPr>
                <w:rFonts w:ascii="Arial" w:cs="Arial" w:eastAsia="Arial" w:hAnsi="Arial"/>
                <w:sz w:val="16"/>
                <w:szCs w:val="16"/>
                <w:color w:val="auto"/>
              </w:rPr>
              <w:t>(Gain)/Loss from revaluation of foreign</w:t>
            </w:r>
          </w:p>
        </w:tc>
        <w:tc>
          <w:tcPr>
            <w:tcW w:w="56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226</w:t>
            </w:r>
          </w:p>
        </w:tc>
        <w:tc>
          <w:tcPr>
            <w:tcW w:w="340" w:type="dxa"/>
            <w:vAlign w:val="bottom"/>
            <w:shd w:val="clear" w:color="auto" w:fill="D5DCE4"/>
          </w:tcPr>
          <w:p>
            <w:pPr>
              <w:spacing w:after="0"/>
              <w:rPr>
                <w:sz w:val="14"/>
                <w:szCs w:val="14"/>
                <w:color w:val="auto"/>
              </w:rPr>
            </w:pPr>
          </w:p>
        </w:tc>
        <w:tc>
          <w:tcPr>
            <w:tcW w:w="56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105</w:t>
            </w:r>
          </w:p>
        </w:tc>
        <w:tc>
          <w:tcPr>
            <w:tcW w:w="320" w:type="dxa"/>
            <w:vAlign w:val="bottom"/>
            <w:shd w:val="clear" w:color="auto" w:fill="D5DCE4"/>
          </w:tcPr>
          <w:p>
            <w:pPr>
              <w:spacing w:after="0"/>
              <w:rPr>
                <w:sz w:val="14"/>
                <w:szCs w:val="14"/>
                <w:color w:val="auto"/>
              </w:rPr>
            </w:pPr>
          </w:p>
        </w:tc>
        <w:tc>
          <w:tcPr>
            <w:tcW w:w="520" w:type="dxa"/>
            <w:vAlign w:val="bottom"/>
            <w:shd w:val="clear" w:color="auto" w:fill="D5DCE4"/>
          </w:tcPr>
          <w:p>
            <w:pPr>
              <w:spacing w:after="0"/>
              <w:rPr>
                <w:sz w:val="14"/>
                <w:szCs w:val="14"/>
                <w:color w:val="auto"/>
              </w:rPr>
            </w:pPr>
          </w:p>
        </w:tc>
        <w:tc>
          <w:tcPr>
            <w:tcW w:w="11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614</w:t>
            </w:r>
          </w:p>
        </w:tc>
        <w:tc>
          <w:tcPr>
            <w:tcW w:w="30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11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1,225</w:t>
            </w:r>
          </w:p>
        </w:tc>
        <w:tc>
          <w:tcPr>
            <w:tcW w:w="320" w:type="dxa"/>
            <w:vAlign w:val="bottom"/>
            <w:shd w:val="clear" w:color="auto" w:fill="D5DCE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5DCE4"/>
          </w:tcPr>
          <w:p>
            <w:pPr>
              <w:ind w:left="20"/>
              <w:spacing w:after="0" w:line="216" w:lineRule="exact"/>
              <w:rPr>
                <w:sz w:val="20"/>
                <w:szCs w:val="20"/>
                <w:color w:val="auto"/>
              </w:rPr>
            </w:pPr>
            <w:r>
              <w:rPr>
                <w:rFonts w:ascii="Arial" w:cs="Arial" w:eastAsia="Arial" w:hAnsi="Arial"/>
                <w:sz w:val="16"/>
                <w:szCs w:val="16"/>
                <w:color w:val="auto"/>
              </w:rPr>
              <w:t>denominated cash</w:t>
            </w:r>
            <w:r>
              <w:rPr>
                <w:rFonts w:ascii="Arial" w:cs="Arial" w:eastAsia="Arial" w:hAnsi="Arial"/>
                <w:sz w:val="21"/>
                <w:szCs w:val="21"/>
                <w:color w:val="auto"/>
                <w:vertAlign w:val="superscript"/>
              </w:rPr>
              <w:t>(2)</w:t>
            </w:r>
          </w:p>
        </w:tc>
        <w:tc>
          <w:tcPr>
            <w:tcW w:w="56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340" w:type="dxa"/>
            <w:vAlign w:val="bottom"/>
            <w:shd w:val="clear" w:color="auto" w:fill="D5DCE4"/>
          </w:tcPr>
          <w:p>
            <w:pPr>
              <w:spacing w:after="0"/>
              <w:rPr>
                <w:sz w:val="18"/>
                <w:szCs w:val="18"/>
                <w:color w:val="auto"/>
              </w:rPr>
            </w:pPr>
          </w:p>
        </w:tc>
        <w:tc>
          <w:tcPr>
            <w:tcW w:w="56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520" w:type="dxa"/>
            <w:vAlign w:val="bottom"/>
            <w:shd w:val="clear" w:color="auto" w:fill="D5DCE4"/>
          </w:tcPr>
          <w:p>
            <w:pPr>
              <w:spacing w:after="0"/>
              <w:rPr>
                <w:sz w:val="18"/>
                <w:szCs w:val="18"/>
                <w:color w:val="auto"/>
              </w:rPr>
            </w:pPr>
          </w:p>
        </w:tc>
        <w:tc>
          <w:tcPr>
            <w:tcW w:w="1160" w:type="dxa"/>
            <w:vAlign w:val="bottom"/>
            <w:vMerge w:val="continue"/>
            <w:shd w:val="clear" w:color="auto" w:fill="D5DCE4"/>
          </w:tcPr>
          <w:p>
            <w:pPr>
              <w:spacing w:after="0"/>
              <w:rPr>
                <w:sz w:val="18"/>
                <w:szCs w:val="18"/>
                <w:color w:val="auto"/>
              </w:rPr>
            </w:pPr>
          </w:p>
        </w:tc>
        <w:tc>
          <w:tcPr>
            <w:tcW w:w="30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1140" w:type="dxa"/>
            <w:vAlign w:val="bottom"/>
            <w:vMerge w:val="continue"/>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Borders>
              <w:bottom w:val="single" w:sz="8" w:color="D5DCE4"/>
            </w:tcBorders>
          </w:tcPr>
          <w:p>
            <w:pPr>
              <w:ind w:left="20"/>
              <w:spacing w:after="0" w:line="234" w:lineRule="exact"/>
              <w:rPr>
                <w:sz w:val="20"/>
                <w:szCs w:val="20"/>
                <w:color w:val="auto"/>
              </w:rPr>
            </w:pPr>
            <w:r>
              <w:rPr>
                <w:rFonts w:ascii="Arial" w:cs="Arial" w:eastAsia="Arial" w:hAnsi="Arial"/>
                <w:sz w:val="16"/>
                <w:szCs w:val="16"/>
                <w:color w:val="auto"/>
              </w:rPr>
              <w:t>adjustment</w:t>
            </w:r>
            <w:r>
              <w:rPr>
                <w:rFonts w:ascii="Arial" w:cs="Arial" w:eastAsia="Arial" w:hAnsi="Arial"/>
                <w:sz w:val="21"/>
                <w:szCs w:val="21"/>
                <w:color w:val="auto"/>
                <w:vertAlign w:val="superscript"/>
              </w:rPr>
              <w:t>(3)</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(11,425)</w:t>
            </w:r>
          </w:p>
        </w:tc>
        <w:tc>
          <w:tcPr>
            <w:tcW w:w="340" w:type="dxa"/>
            <w:vAlign w:val="bottom"/>
            <w:tcBorders>
              <w:bottom w:val="single" w:sz="8" w:color="D5DCE4"/>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(33,134)</w:t>
            </w:r>
          </w:p>
        </w:tc>
        <w:tc>
          <w:tcPr>
            <w:tcW w:w="32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(11,425)</w:t>
            </w:r>
          </w:p>
        </w:tc>
        <w:tc>
          <w:tcPr>
            <w:tcW w:w="30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(33,134)</w:t>
            </w:r>
          </w:p>
        </w:tc>
        <w:tc>
          <w:tcPr>
            <w:tcW w:w="320" w:type="dxa"/>
            <w:vAlign w:val="bottom"/>
            <w:tcBorders>
              <w:bottom w:val="single" w:sz="8" w:color="D5DCE4"/>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114,576</w:t>
            </w:r>
          </w:p>
        </w:tc>
        <w:tc>
          <w:tcPr>
            <w:tcW w:w="900" w:type="dxa"/>
            <w:vAlign w:val="bottom"/>
            <w:gridSpan w:val="2"/>
            <w:shd w:val="clear" w:color="auto" w:fill="D5DCE4"/>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92,441</w:t>
            </w:r>
          </w:p>
        </w:tc>
        <w:tc>
          <w:tcPr>
            <w:tcW w:w="840" w:type="dxa"/>
            <w:vAlign w:val="bottom"/>
            <w:gridSpan w:val="2"/>
            <w:shd w:val="clear" w:color="auto" w:fill="D5DCE4"/>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436,448</w:t>
            </w:r>
          </w:p>
        </w:tc>
        <w:tc>
          <w:tcPr>
            <w:tcW w:w="840" w:type="dxa"/>
            <w:vAlign w:val="bottom"/>
            <w:gridSpan w:val="2"/>
            <w:shd w:val="clear" w:color="auto" w:fill="D5DCE4"/>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353,162</w:t>
            </w:r>
          </w:p>
        </w:tc>
        <w:tc>
          <w:tcPr>
            <w:tcW w:w="320" w:type="dxa"/>
            <w:vAlign w:val="bottom"/>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28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(39,837)</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(36,402)</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(153,789)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(139,330)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28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Add: Acquisition and Refinitiv Transaction</w:t>
            </w:r>
          </w:p>
        </w:tc>
        <w:tc>
          <w:tcPr>
            <w:tcW w:w="560" w:type="dxa"/>
            <w:vAlign w:val="bottom"/>
            <w:shd w:val="clear" w:color="auto" w:fill="D5DCE4"/>
          </w:tcPr>
          <w:p>
            <w:pPr>
              <w:spacing w:after="0"/>
              <w:rPr>
                <w:sz w:val="17"/>
                <w:szCs w:val="17"/>
                <w:color w:val="auto"/>
              </w:rPr>
            </w:pPr>
          </w:p>
        </w:tc>
        <w:tc>
          <w:tcPr>
            <w:tcW w:w="1100" w:type="dxa"/>
            <w:vAlign w:val="bottom"/>
            <w:shd w:val="clear" w:color="auto" w:fill="D5DCE4"/>
          </w:tcPr>
          <w:p>
            <w:pPr>
              <w:spacing w:after="0"/>
              <w:rPr>
                <w:sz w:val="17"/>
                <w:szCs w:val="17"/>
                <w:color w:val="auto"/>
              </w:rPr>
            </w:pPr>
          </w:p>
        </w:tc>
        <w:tc>
          <w:tcPr>
            <w:tcW w:w="340" w:type="dxa"/>
            <w:vAlign w:val="bottom"/>
            <w:shd w:val="clear" w:color="auto" w:fill="D5DCE4"/>
          </w:tcPr>
          <w:p>
            <w:pPr>
              <w:spacing w:after="0"/>
              <w:rPr>
                <w:sz w:val="17"/>
                <w:szCs w:val="17"/>
                <w:color w:val="auto"/>
              </w:rPr>
            </w:pPr>
          </w:p>
        </w:tc>
        <w:tc>
          <w:tcPr>
            <w:tcW w:w="560" w:type="dxa"/>
            <w:vAlign w:val="bottom"/>
            <w:shd w:val="clear" w:color="auto" w:fill="D5DCE4"/>
          </w:tcPr>
          <w:p>
            <w:pPr>
              <w:spacing w:after="0"/>
              <w:rPr>
                <w:sz w:val="17"/>
                <w:szCs w:val="17"/>
                <w:color w:val="auto"/>
              </w:rPr>
            </w:pPr>
          </w:p>
        </w:tc>
        <w:tc>
          <w:tcPr>
            <w:tcW w:w="110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520" w:type="dxa"/>
            <w:vAlign w:val="bottom"/>
            <w:shd w:val="clear" w:color="auto" w:fill="D5DCE4"/>
          </w:tcPr>
          <w:p>
            <w:pPr>
              <w:spacing w:after="0"/>
              <w:rPr>
                <w:sz w:val="17"/>
                <w:szCs w:val="17"/>
                <w:color w:val="auto"/>
              </w:rPr>
            </w:pPr>
          </w:p>
        </w:tc>
        <w:tc>
          <w:tcPr>
            <w:tcW w:w="1160" w:type="dxa"/>
            <w:vAlign w:val="bottom"/>
            <w:shd w:val="clear" w:color="auto" w:fill="D5DCE4"/>
          </w:tcPr>
          <w:p>
            <w:pPr>
              <w:spacing w:after="0"/>
              <w:rPr>
                <w:sz w:val="17"/>
                <w:szCs w:val="17"/>
                <w:color w:val="auto"/>
              </w:rPr>
            </w:pPr>
          </w:p>
        </w:tc>
        <w:tc>
          <w:tcPr>
            <w:tcW w:w="300" w:type="dxa"/>
            <w:vAlign w:val="bottom"/>
            <w:shd w:val="clear" w:color="auto" w:fill="D5DCE4"/>
          </w:tcPr>
          <w:p>
            <w:pPr>
              <w:spacing w:after="0"/>
              <w:rPr>
                <w:sz w:val="17"/>
                <w:szCs w:val="17"/>
                <w:color w:val="auto"/>
              </w:rPr>
            </w:pPr>
          </w:p>
        </w:tc>
        <w:tc>
          <w:tcPr>
            <w:tcW w:w="540" w:type="dxa"/>
            <w:vAlign w:val="bottom"/>
            <w:shd w:val="clear" w:color="auto" w:fill="D5DCE4"/>
          </w:tcPr>
          <w:p>
            <w:pPr>
              <w:spacing w:after="0"/>
              <w:rPr>
                <w:sz w:val="17"/>
                <w:szCs w:val="17"/>
                <w:color w:val="auto"/>
              </w:rPr>
            </w:pPr>
          </w:p>
        </w:tc>
        <w:tc>
          <w:tcPr>
            <w:tcW w:w="114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D5DCE4"/>
          </w:tcPr>
          <w:p>
            <w:pPr>
              <w:ind w:left="20"/>
              <w:spacing w:after="0" w:line="234" w:lineRule="exact"/>
              <w:rPr>
                <w:sz w:val="20"/>
                <w:szCs w:val="20"/>
                <w:color w:val="auto"/>
              </w:rPr>
            </w:pPr>
            <w:r>
              <w:rPr>
                <w:rFonts w:ascii="Arial" w:cs="Arial" w:eastAsia="Arial" w:hAnsi="Arial"/>
                <w:sz w:val="16"/>
                <w:szCs w:val="16"/>
                <w:color w:val="auto"/>
              </w:rPr>
              <w:t>related D&amp;A</w:t>
            </w:r>
            <w:r>
              <w:rPr>
                <w:rFonts w:ascii="Arial" w:cs="Arial" w:eastAsia="Arial" w:hAnsi="Arial"/>
                <w:sz w:val="21"/>
                <w:szCs w:val="21"/>
                <w:color w:val="auto"/>
                <w:vertAlign w:val="superscript"/>
              </w:rPr>
              <w:t>(4)</w:t>
            </w:r>
          </w:p>
        </w:tc>
        <w:tc>
          <w:tcPr>
            <w:tcW w:w="56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28,824</w:t>
            </w:r>
          </w:p>
        </w:tc>
        <w:tc>
          <w:tcPr>
            <w:tcW w:w="340" w:type="dxa"/>
            <w:vAlign w:val="bottom"/>
            <w:shd w:val="clear" w:color="auto" w:fill="D5DCE4"/>
          </w:tcPr>
          <w:p>
            <w:pPr>
              <w:spacing w:after="0"/>
              <w:rPr>
                <w:sz w:val="20"/>
                <w:szCs w:val="20"/>
                <w:color w:val="auto"/>
              </w:rPr>
            </w:pPr>
          </w:p>
        </w:tc>
        <w:tc>
          <w:tcPr>
            <w:tcW w:w="560" w:type="dxa"/>
            <w:vAlign w:val="bottom"/>
            <w:tcBorders>
              <w:bottom w:val="single" w:sz="8" w:color="auto"/>
            </w:tcBorders>
            <w:shd w:val="clear" w:color="auto" w:fill="D5DCE4"/>
          </w:tcPr>
          <w:p>
            <w:pPr>
              <w:spacing w:after="0"/>
              <w:rPr>
                <w:sz w:val="20"/>
                <w:szCs w:val="20"/>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25,443</w:t>
            </w:r>
          </w:p>
        </w:tc>
        <w:tc>
          <w:tcPr>
            <w:tcW w:w="32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110,187</w:t>
            </w:r>
          </w:p>
        </w:tc>
        <w:tc>
          <w:tcPr>
            <w:tcW w:w="30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97,565</w:t>
            </w:r>
          </w:p>
        </w:tc>
        <w:tc>
          <w:tcPr>
            <w:tcW w:w="320" w:type="dxa"/>
            <w:vAlign w:val="bottom"/>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103,563</w:t>
            </w:r>
          </w:p>
        </w:tc>
        <w:tc>
          <w:tcPr>
            <w:tcW w:w="9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81,482</w:t>
            </w: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392,846</w:t>
            </w: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311,397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D5DCE4"/>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D5DCE4"/>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D5DCE4"/>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D5DCE4"/>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D5DC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(5)</w:t>
            </w:r>
          </w:p>
        </w:tc>
        <w:tc>
          <w:tcPr>
            <w:tcW w:w="560" w:type="dxa"/>
            <w:vAlign w:val="bottom"/>
            <w:shd w:val="clear" w:color="auto" w:fill="D5DCE4"/>
          </w:tcPr>
          <w:p>
            <w:pPr>
              <w:spacing w:after="0"/>
              <w:rPr>
                <w:sz w:val="20"/>
                <w:szCs w:val="20"/>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49.2</w:t>
            </w:r>
          </w:p>
        </w:tc>
        <w:tc>
          <w:tcPr>
            <w:tcW w:w="3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shd w:val="clear" w:color="auto" w:fill="D5DCE4"/>
          </w:tcPr>
          <w:p>
            <w:pPr>
              <w:spacing w:after="0"/>
              <w:rPr>
                <w:sz w:val="20"/>
                <w:szCs w:val="20"/>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46.9</w:t>
            </w:r>
          </w:p>
        </w:tc>
        <w:tc>
          <w:tcPr>
            <w:tcW w:w="3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w w:val="98"/>
              </w:rPr>
              <w:t>%</w:t>
            </w:r>
          </w:p>
        </w:tc>
        <w:tc>
          <w:tcPr>
            <w:tcW w:w="52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48.9</w:t>
            </w:r>
          </w:p>
        </w:tc>
        <w:tc>
          <w:tcPr>
            <w:tcW w:w="30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98"/>
              </w:rPr>
              <w:t>%</w:t>
            </w:r>
          </w:p>
        </w:tc>
        <w:tc>
          <w:tcPr>
            <w:tcW w:w="540" w:type="dxa"/>
            <w:vAlign w:val="bottom"/>
            <w:shd w:val="clear" w:color="auto" w:fill="D5DCE4"/>
          </w:tcPr>
          <w:p>
            <w:pPr>
              <w:spacing w:after="0"/>
              <w:rPr>
                <w:sz w:val="20"/>
                <w:szCs w:val="20"/>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45.5</w:t>
            </w:r>
          </w:p>
        </w:tc>
        <w:tc>
          <w:tcPr>
            <w:tcW w:w="3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98"/>
        </w:trPr>
        <w:tc>
          <w:tcPr>
            <w:tcW w:w="3280" w:type="dxa"/>
            <w:vAlign w:val="bottom"/>
          </w:tcPr>
          <w:p>
            <w:pPr>
              <w:ind w:left="20"/>
              <w:spacing w:after="0"/>
              <w:rPr>
                <w:sz w:val="20"/>
                <w:szCs w:val="20"/>
                <w:color w:val="auto"/>
              </w:rPr>
            </w:pPr>
            <w:r>
              <w:rPr>
                <w:rFonts w:ascii="Arial" w:cs="Arial" w:eastAsia="Arial" w:hAnsi="Arial"/>
                <w:sz w:val="16"/>
                <w:szCs w:val="16"/>
                <w:color w:val="auto"/>
              </w:rPr>
              <w:t>Adjusted EBIT margin</w:t>
            </w:r>
            <w:r>
              <w:rPr>
                <w:rFonts w:ascii="Arial" w:cs="Arial" w:eastAsia="Arial" w:hAnsi="Arial"/>
                <w:sz w:val="21"/>
                <w:szCs w:val="21"/>
                <w:color w:val="auto"/>
                <w:vertAlign w:val="superscript"/>
              </w:rPr>
              <w:t>(5)</w:t>
            </w: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98"/>
              </w:rPr>
              <w:t>%</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60" w:right="220" w:hanging="328"/>
        <w:spacing w:after="0" w:line="251" w:lineRule="auto"/>
        <w:tabs>
          <w:tab w:leader="none" w:pos="65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ind w:left="660" w:right="140" w:hanging="328"/>
        <w:spacing w:after="0" w:line="238" w:lineRule="auto"/>
        <w:tabs>
          <w:tab w:leader="none" w:pos="65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right="180" w:hanging="328"/>
        <w:spacing w:after="0" w:line="238" w:lineRule="auto"/>
        <w:tabs>
          <w:tab w:leader="none" w:pos="65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40" w:hanging="308"/>
        <w:spacing w:after="0"/>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EBITDA margin and Adjusted EBIT margin are defined as Adjusted EBITDA and Adjusted EBIT, respectively, divided by gross revenue for the applicable period.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w:t>
            </w:r>
          </w:p>
        </w:tc>
        <w:tc>
          <w:tcPr>
            <w:tcW w:w="240" w:type="dxa"/>
            <w:vAlign w:val="bottom"/>
          </w:tcPr>
          <w:p>
            <w:pPr>
              <w:spacing w:after="0"/>
              <w:rPr>
                <w:sz w:val="19"/>
                <w:szCs w:val="19"/>
                <w:color w:val="auto"/>
              </w:rPr>
            </w:pPr>
          </w:p>
        </w:tc>
        <w:tc>
          <w:tcPr>
            <w:tcW w:w="2400" w:type="dxa"/>
            <w:vAlign w:val="bottom"/>
            <w:gridSpan w:val="5"/>
          </w:tcPr>
          <w:p>
            <w:pPr>
              <w:jc w:val="right"/>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4"/>
          </w:tcPr>
          <w:p>
            <w:pPr>
              <w:jc w:val="center"/>
              <w:ind w:left="99"/>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Pr>
          <w:p>
            <w:pPr>
              <w:spacing w:after="0"/>
              <w:rPr>
                <w:sz w:val="19"/>
                <w:szCs w:val="19"/>
                <w:color w:val="auto"/>
              </w:rPr>
            </w:pPr>
          </w:p>
        </w:tc>
      </w:tr>
      <w:tr>
        <w:trPr>
          <w:trHeight w:val="247"/>
        </w:trPr>
        <w:tc>
          <w:tcPr>
            <w:tcW w:w="49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Net Income and Adjusted Diluted EPS</w:t>
            </w:r>
          </w:p>
        </w:tc>
        <w:tc>
          <w:tcPr>
            <w:tcW w:w="240" w:type="dxa"/>
            <w:vAlign w:val="bottom"/>
          </w:tcPr>
          <w:p>
            <w:pPr>
              <w:spacing w:after="0"/>
              <w:rPr>
                <w:sz w:val="21"/>
                <w:szCs w:val="21"/>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1"/>
                <w:szCs w:val="21"/>
                <w:color w:val="auto"/>
              </w:rPr>
            </w:pPr>
          </w:p>
        </w:tc>
      </w:tr>
      <w:tr>
        <w:trPr>
          <w:trHeight w:val="237"/>
        </w:trPr>
        <w:tc>
          <w:tcPr>
            <w:tcW w:w="4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gridSpan w:val="8"/>
          </w:tcPr>
          <w:p>
            <w:pPr>
              <w:ind w:left="60"/>
              <w:spacing w:after="0"/>
              <w:rPr>
                <w:sz w:val="20"/>
                <w:szCs w:val="20"/>
                <w:color w:val="auto"/>
              </w:rPr>
            </w:pPr>
            <w:r>
              <w:rPr>
                <w:rFonts w:ascii="Arial" w:cs="Arial" w:eastAsia="Arial" w:hAnsi="Arial"/>
                <w:sz w:val="16"/>
                <w:szCs w:val="16"/>
                <w:b w:val="1"/>
                <w:bCs w:val="1"/>
                <w:color w:val="auto"/>
              </w:rPr>
              <w:t>(in thousands, except per share amounts)</w:t>
            </w:r>
          </w:p>
        </w:tc>
        <w:tc>
          <w:tcPr>
            <w:tcW w:w="9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r>
      <w:tr>
        <w:trPr>
          <w:trHeight w:val="247"/>
        </w:trPr>
        <w:tc>
          <w:tcPr>
            <w:tcW w:w="49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r>
              <w:rPr>
                <w:rFonts w:ascii="Arial" w:cs="Arial" w:eastAsia="Arial" w:hAnsi="Arial"/>
                <w:sz w:val="21"/>
                <w:szCs w:val="21"/>
                <w:color w:val="auto"/>
                <w:vertAlign w:val="superscript"/>
              </w:rPr>
              <w:t>(1)</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0.28</w:t>
            </w:r>
          </w:p>
        </w:tc>
        <w:tc>
          <w:tcPr>
            <w:tcW w:w="22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340" w:type="dxa"/>
            <w:vAlign w:val="bottom"/>
            <w:gridSpan w:val="2"/>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0.25</w:t>
            </w:r>
          </w:p>
        </w:tc>
        <w:tc>
          <w:tcPr>
            <w:tcW w:w="32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0.88</w:t>
            </w:r>
          </w:p>
        </w:tc>
        <w:tc>
          <w:tcPr>
            <w:tcW w:w="560" w:type="dxa"/>
            <w:vAlign w:val="bottom"/>
            <w:gridSpan w:val="2"/>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1420" w:type="dxa"/>
            <w:vAlign w:val="bottom"/>
            <w:gridSpan w:val="2"/>
            <w:shd w:val="clear" w:color="auto" w:fill="D5DCE4"/>
          </w:tcPr>
          <w:p>
            <w:pPr>
              <w:ind w:left="40"/>
              <w:spacing w:after="0"/>
              <w:rPr>
                <w:sz w:val="20"/>
                <w:szCs w:val="20"/>
                <w:color w:val="auto"/>
              </w:rPr>
            </w:pPr>
            <w:r>
              <w:rPr>
                <w:rFonts w:ascii="Arial" w:cs="Arial" w:eastAsia="Arial" w:hAnsi="Arial"/>
                <w:sz w:val="16"/>
                <w:szCs w:val="16"/>
                <w:color w:val="auto"/>
              </w:rPr>
              <w:t xml:space="preserve">$ 0.19 / 0.54 </w:t>
            </w:r>
            <w:r>
              <w:rPr>
                <w:rFonts w:ascii="Arial" w:cs="Arial" w:eastAsia="Arial" w:hAnsi="Arial"/>
                <w:sz w:val="21"/>
                <w:szCs w:val="21"/>
                <w:color w:val="auto"/>
                <w:vertAlign w:val="superscript"/>
              </w:rPr>
              <w:t>(b)/(a)</w:t>
            </w:r>
          </w:p>
        </w:tc>
      </w:tr>
      <w:tr>
        <w:trPr>
          <w:trHeight w:val="236"/>
        </w:trPr>
        <w:tc>
          <w:tcPr>
            <w:tcW w:w="4940" w:type="dxa"/>
            <w:vAlign w:val="bottom"/>
            <w:gridSpan w:val="2"/>
          </w:tcPr>
          <w:p>
            <w:pPr>
              <w:ind w:left="20"/>
              <w:spacing w:after="0" w:line="237" w:lineRule="exact"/>
              <w:rPr>
                <w:sz w:val="20"/>
                <w:szCs w:val="20"/>
                <w:color w:val="auto"/>
              </w:rPr>
            </w:pPr>
            <w:r>
              <w:rPr>
                <w:rFonts w:ascii="Arial" w:cs="Arial" w:eastAsia="Arial" w:hAnsi="Arial"/>
                <w:sz w:val="16"/>
                <w:szCs w:val="16"/>
                <w:color w:val="auto"/>
              </w:rPr>
              <w:t xml:space="preserve">Pre-IPO net income attributable to Tradeweb Markets LLC </w:t>
            </w:r>
            <w:r>
              <w:rPr>
                <w:rFonts w:ascii="Arial" w:cs="Arial" w:eastAsia="Arial" w:hAnsi="Arial"/>
                <w:sz w:val="21"/>
                <w:szCs w:val="21"/>
                <w:color w:val="auto"/>
                <w:vertAlign w:val="superscript"/>
              </w:rPr>
              <w:t>(1)</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42,352</w:t>
            </w:r>
          </w:p>
        </w:tc>
        <w:tc>
          <w:tcPr>
            <w:tcW w:w="460" w:type="dxa"/>
            <w:vAlign w:val="bottom"/>
          </w:tcPr>
          <w:p>
            <w:pPr>
              <w:ind w:left="20"/>
              <w:spacing w:after="0" w:line="122" w:lineRule="exact"/>
              <w:rPr>
                <w:sz w:val="20"/>
                <w:szCs w:val="20"/>
                <w:color w:val="auto"/>
              </w:rPr>
            </w:pPr>
            <w:r>
              <w:rPr>
                <w:rFonts w:ascii="Arial" w:cs="Arial" w:eastAsia="Arial" w:hAnsi="Arial"/>
                <w:sz w:val="11"/>
                <w:szCs w:val="11"/>
                <w:color w:val="auto"/>
              </w:rPr>
              <w:t>(b)</w:t>
            </w:r>
          </w:p>
        </w:tc>
      </w:tr>
      <w:tr>
        <w:trPr>
          <w:trHeight w:val="243"/>
        </w:trPr>
        <w:tc>
          <w:tcPr>
            <w:tcW w:w="49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r>
              <w:rPr>
                <w:rFonts w:ascii="Arial" w:cs="Arial" w:eastAsia="Arial" w:hAnsi="Arial"/>
                <w:sz w:val="21"/>
                <w:szCs w:val="21"/>
                <w:color w:val="auto"/>
                <w:vertAlign w:val="superscript"/>
              </w:rPr>
              <w:t>(1)</w:t>
            </w:r>
          </w:p>
        </w:tc>
        <w:tc>
          <w:tcPr>
            <w:tcW w:w="24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55,060</w:t>
            </w:r>
          </w:p>
        </w:tc>
        <w:tc>
          <w:tcPr>
            <w:tcW w:w="22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41,329</w:t>
            </w:r>
          </w:p>
        </w:tc>
        <w:tc>
          <w:tcPr>
            <w:tcW w:w="32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26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166,296</w:t>
            </w:r>
          </w:p>
        </w:tc>
        <w:tc>
          <w:tcPr>
            <w:tcW w:w="560" w:type="dxa"/>
            <w:vAlign w:val="bottom"/>
            <w:gridSpan w:val="2"/>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83,769</w:t>
            </w:r>
          </w:p>
        </w:tc>
        <w:tc>
          <w:tcPr>
            <w:tcW w:w="46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r>
      <w:tr>
        <w:trPr>
          <w:trHeight w:val="243"/>
        </w:trPr>
        <w:tc>
          <w:tcPr>
            <w:tcW w:w="494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(1)(2)</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11,389</w:t>
            </w:r>
          </w:p>
        </w:tc>
        <w:tc>
          <w:tcPr>
            <w:tcW w:w="220" w:type="dxa"/>
            <w:vAlign w:val="bottom"/>
            <w:tcBorders>
              <w:bottom w:val="single" w:sz="8" w:color="D5DCE4"/>
            </w:tcBorders>
          </w:tcPr>
          <w:p>
            <w:pPr>
              <w:ind w:left="20"/>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D5DCE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15,949</w:t>
            </w:r>
          </w:p>
        </w:tc>
        <w:tc>
          <w:tcPr>
            <w:tcW w:w="320" w:type="dxa"/>
            <w:vAlign w:val="bottom"/>
            <w:tcBorders>
              <w:bottom w:val="single" w:sz="8" w:color="D5DCE4"/>
            </w:tcBorders>
          </w:tcPr>
          <w:p>
            <w:pPr>
              <w:ind w:left="20"/>
              <w:spacing w:after="0"/>
              <w:rPr>
                <w:sz w:val="20"/>
                <w:szCs w:val="20"/>
                <w:color w:val="auto"/>
              </w:rPr>
            </w:pPr>
            <w:r>
              <w:rPr>
                <w:rFonts w:ascii="Arial" w:cs="Arial" w:eastAsia="Arial" w:hAnsi="Arial"/>
                <w:sz w:val="11"/>
                <w:szCs w:val="11"/>
                <w:color w:val="auto"/>
              </w:rPr>
              <w:t>(a)</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52,094</w:t>
            </w:r>
          </w:p>
        </w:tc>
        <w:tc>
          <w:tcPr>
            <w:tcW w:w="320" w:type="dxa"/>
            <w:vAlign w:val="bottom"/>
            <w:tcBorders>
              <w:bottom w:val="single" w:sz="8" w:color="D5DCE4"/>
            </w:tcBorders>
          </w:tcPr>
          <w:p>
            <w:pPr>
              <w:ind w:left="20"/>
              <w:spacing w:after="0"/>
              <w:rPr>
                <w:sz w:val="20"/>
                <w:szCs w:val="20"/>
                <w:color w:val="auto"/>
              </w:rPr>
            </w:pPr>
            <w:r>
              <w:rPr>
                <w:rFonts w:ascii="Arial" w:cs="Arial" w:eastAsia="Arial" w:hAnsi="Arial"/>
                <w:sz w:val="11"/>
                <w:szCs w:val="11"/>
                <w:color w:val="auto"/>
              </w:rPr>
              <w:t>(a)</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46,903</w:t>
            </w:r>
          </w:p>
        </w:tc>
        <w:tc>
          <w:tcPr>
            <w:tcW w:w="460" w:type="dxa"/>
            <w:vAlign w:val="bottom"/>
            <w:tcBorders>
              <w:bottom w:val="single" w:sz="8" w:color="D5DCE4"/>
            </w:tcBorders>
          </w:tcPr>
          <w:p>
            <w:pPr>
              <w:ind w:left="20"/>
              <w:spacing w:after="0"/>
              <w:rPr>
                <w:sz w:val="20"/>
                <w:szCs w:val="20"/>
                <w:color w:val="auto"/>
              </w:rPr>
            </w:pPr>
            <w:r>
              <w:rPr>
                <w:rFonts w:ascii="Arial" w:cs="Arial" w:eastAsia="Arial" w:hAnsi="Arial"/>
                <w:sz w:val="11"/>
                <w:szCs w:val="11"/>
                <w:color w:val="auto"/>
              </w:rPr>
              <w:t>(a)</w:t>
            </w:r>
          </w:p>
        </w:tc>
      </w:tr>
      <w:tr>
        <w:trPr>
          <w:trHeight w:val="236"/>
        </w:trPr>
        <w:tc>
          <w:tcPr>
            <w:tcW w:w="4940" w:type="dxa"/>
            <w:vAlign w:val="bottom"/>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66,449</w:t>
            </w:r>
          </w:p>
        </w:tc>
        <w:tc>
          <w:tcPr>
            <w:tcW w:w="220" w:type="dxa"/>
            <w:vAlign w:val="bottom"/>
            <w:shd w:val="clear" w:color="auto" w:fill="D5DCE4"/>
          </w:tcPr>
          <w:p>
            <w:pPr>
              <w:ind w:left="20"/>
              <w:spacing w:after="0" w:line="122" w:lineRule="exact"/>
              <w:rPr>
                <w:sz w:val="20"/>
                <w:szCs w:val="20"/>
                <w:color w:val="auto"/>
              </w:rPr>
            </w:pPr>
            <w:r>
              <w:rPr>
                <w:rFonts w:ascii="Arial" w:cs="Arial" w:eastAsia="Arial" w:hAnsi="Arial"/>
                <w:sz w:val="11"/>
                <w:szCs w:val="11"/>
                <w:color w:val="auto"/>
              </w:rPr>
              <w:t>(a)</w:t>
            </w:r>
          </w:p>
        </w:tc>
        <w:tc>
          <w:tcPr>
            <w:tcW w:w="340" w:type="dxa"/>
            <w:vAlign w:val="bottom"/>
            <w:gridSpan w:val="2"/>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57,278</w:t>
            </w:r>
          </w:p>
        </w:tc>
        <w:tc>
          <w:tcPr>
            <w:tcW w:w="320" w:type="dxa"/>
            <w:vAlign w:val="bottom"/>
            <w:shd w:val="clear" w:color="auto" w:fill="D5DCE4"/>
          </w:tcPr>
          <w:p>
            <w:pPr>
              <w:ind w:left="20"/>
              <w:spacing w:after="0" w:line="122" w:lineRule="exact"/>
              <w:rPr>
                <w:sz w:val="20"/>
                <w:szCs w:val="20"/>
                <w:color w:val="auto"/>
              </w:rPr>
            </w:pPr>
            <w:r>
              <w:rPr>
                <w:rFonts w:ascii="Arial" w:cs="Arial" w:eastAsia="Arial" w:hAnsi="Arial"/>
                <w:sz w:val="11"/>
                <w:szCs w:val="11"/>
                <w:color w:val="auto"/>
              </w:rPr>
              <w:t>(a)</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218,390</w:t>
            </w:r>
          </w:p>
        </w:tc>
        <w:tc>
          <w:tcPr>
            <w:tcW w:w="320" w:type="dxa"/>
            <w:vAlign w:val="bottom"/>
            <w:shd w:val="clear" w:color="auto" w:fill="D5DCE4"/>
          </w:tcPr>
          <w:p>
            <w:pPr>
              <w:ind w:left="20"/>
              <w:spacing w:after="0" w:line="122" w:lineRule="exact"/>
              <w:rPr>
                <w:sz w:val="20"/>
                <w:szCs w:val="20"/>
                <w:color w:val="auto"/>
              </w:rPr>
            </w:pPr>
            <w:r>
              <w:rPr>
                <w:rFonts w:ascii="Arial" w:cs="Arial" w:eastAsia="Arial" w:hAnsi="Arial"/>
                <w:sz w:val="11"/>
                <w:szCs w:val="11"/>
                <w:color w:val="auto"/>
              </w:rPr>
              <w:t>(a)</w:t>
            </w:r>
          </w:p>
        </w:tc>
        <w:tc>
          <w:tcPr>
            <w:tcW w:w="240" w:type="dxa"/>
            <w:vAlign w:val="bottom"/>
            <w:shd w:val="clear" w:color="auto" w:fill="D5DCE4"/>
          </w:tcPr>
          <w:p>
            <w:pPr>
              <w:jc w:val="center"/>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173,024</w:t>
            </w:r>
          </w:p>
        </w:tc>
        <w:tc>
          <w:tcPr>
            <w:tcW w:w="460" w:type="dxa"/>
            <w:vAlign w:val="bottom"/>
            <w:shd w:val="clear" w:color="auto" w:fill="D5DCE4"/>
          </w:tcPr>
          <w:p>
            <w:pPr>
              <w:ind w:left="20"/>
              <w:spacing w:after="0" w:line="122" w:lineRule="exact"/>
              <w:rPr>
                <w:sz w:val="20"/>
                <w:szCs w:val="20"/>
                <w:color w:val="auto"/>
              </w:rPr>
            </w:pPr>
            <w:r>
              <w:rPr>
                <w:rFonts w:ascii="Arial" w:cs="Arial" w:eastAsia="Arial" w:hAnsi="Arial"/>
                <w:sz w:val="11"/>
                <w:szCs w:val="11"/>
                <w:color w:val="auto"/>
              </w:rPr>
              <w:t>(b)/(a)</w:t>
            </w:r>
          </w:p>
        </w:tc>
      </w:tr>
      <w:tr>
        <w:trPr>
          <w:trHeight w:val="235"/>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16,176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30,889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56,074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52,302</w:t>
            </w:r>
          </w:p>
        </w:tc>
        <w:tc>
          <w:tcPr>
            <w:tcW w:w="460" w:type="dxa"/>
            <w:vAlign w:val="bottom"/>
          </w:tcPr>
          <w:p>
            <w:pPr>
              <w:spacing w:after="0"/>
              <w:rPr>
                <w:sz w:val="20"/>
                <w:szCs w:val="20"/>
                <w:color w:val="auto"/>
              </w:rPr>
            </w:pPr>
          </w:p>
        </w:tc>
      </w:tr>
      <w:tr>
        <w:trPr>
          <w:trHeight w:val="251"/>
        </w:trPr>
        <w:tc>
          <w:tcPr>
            <w:tcW w:w="49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21"/>
                <w:szCs w:val="21"/>
                <w:color w:val="auto"/>
                <w:vertAlign w:val="superscript"/>
              </w:rPr>
              <w:t>(3)</w:t>
            </w:r>
          </w:p>
        </w:tc>
        <w:tc>
          <w:tcPr>
            <w:tcW w:w="24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28,824</w:t>
            </w:r>
          </w:p>
        </w:tc>
        <w:tc>
          <w:tcPr>
            <w:tcW w:w="2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25,443</w:t>
            </w:r>
          </w:p>
        </w:tc>
        <w:tc>
          <w:tcPr>
            <w:tcW w:w="32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110,187</w:t>
            </w:r>
          </w:p>
        </w:tc>
        <w:tc>
          <w:tcPr>
            <w:tcW w:w="32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97,565</w:t>
            </w:r>
          </w:p>
        </w:tc>
        <w:tc>
          <w:tcPr>
            <w:tcW w:w="460" w:type="dxa"/>
            <w:vAlign w:val="bottom"/>
            <w:shd w:val="clear" w:color="auto" w:fill="D5DCE4"/>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2,700</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13,025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25,098</w:t>
            </w:r>
          </w:p>
        </w:tc>
        <w:tc>
          <w:tcPr>
            <w:tcW w:w="460" w:type="dxa"/>
            <w:vAlign w:val="bottom"/>
          </w:tcPr>
          <w:p>
            <w:pPr>
              <w:spacing w:after="0"/>
              <w:rPr>
                <w:sz w:val="21"/>
                <w:szCs w:val="21"/>
                <w:color w:val="auto"/>
              </w:rPr>
            </w:pPr>
          </w:p>
        </w:tc>
      </w:tr>
      <w:tr>
        <w:trPr>
          <w:trHeight w:val="243"/>
        </w:trPr>
        <w:tc>
          <w:tcPr>
            <w:tcW w:w="49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Unrealized foreign exchange (gains) / losses</w:t>
            </w:r>
          </w:p>
        </w:tc>
        <w:tc>
          <w:tcPr>
            <w:tcW w:w="24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w:t>
            </w:r>
          </w:p>
        </w:tc>
        <w:tc>
          <w:tcPr>
            <w:tcW w:w="2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(1,095)</w:t>
            </w:r>
          </w:p>
        </w:tc>
        <w:tc>
          <w:tcPr>
            <w:tcW w:w="32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5,665</w:t>
            </w:r>
          </w:p>
        </w:tc>
        <w:tc>
          <w:tcPr>
            <w:tcW w:w="32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(2,310)</w:t>
            </w:r>
          </w:p>
        </w:tc>
        <w:tc>
          <w:tcPr>
            <w:tcW w:w="460" w:type="dxa"/>
            <w:vAlign w:val="bottom"/>
            <w:shd w:val="clear" w:color="auto" w:fill="D5DCE4"/>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Loss from revaluation of foreign denominated cash</w:t>
            </w:r>
            <w:r>
              <w:rPr>
                <w:rFonts w:ascii="Arial" w:cs="Arial" w:eastAsia="Arial" w:hAnsi="Arial"/>
                <w:sz w:val="21"/>
                <w:szCs w:val="21"/>
                <w:color w:val="auto"/>
                <w:vertAlign w:val="superscript"/>
              </w:rPr>
              <w:t>(5)</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1,225</w:t>
            </w:r>
          </w:p>
        </w:tc>
        <w:tc>
          <w:tcPr>
            <w:tcW w:w="460" w:type="dxa"/>
            <w:vAlign w:val="bottom"/>
          </w:tcPr>
          <w:p>
            <w:pPr>
              <w:spacing w:after="0"/>
              <w:rPr>
                <w:sz w:val="21"/>
                <w:szCs w:val="21"/>
                <w:color w:val="auto"/>
              </w:rPr>
            </w:pPr>
          </w:p>
        </w:tc>
      </w:tr>
      <w:tr>
        <w:trPr>
          <w:trHeight w:val="243"/>
        </w:trPr>
        <w:tc>
          <w:tcPr>
            <w:tcW w:w="49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Tax receivable agreement liability adjustment</w:t>
            </w:r>
            <w:r>
              <w:rPr>
                <w:rFonts w:ascii="Arial" w:cs="Arial" w:eastAsia="Arial" w:hAnsi="Arial"/>
                <w:sz w:val="21"/>
                <w:szCs w:val="21"/>
                <w:color w:val="auto"/>
                <w:vertAlign w:val="superscript"/>
              </w:rPr>
              <w:t>(6)</w:t>
            </w:r>
          </w:p>
        </w:tc>
        <w:tc>
          <w:tcPr>
            <w:tcW w:w="240" w:type="dxa"/>
            <w:vAlign w:val="bottom"/>
            <w:tcBorders>
              <w:bottom w:val="single" w:sz="8" w:color="auto"/>
            </w:tcBorders>
            <w:shd w:val="clear" w:color="auto" w:fill="D5DCE4"/>
          </w:tcPr>
          <w:p>
            <w:pPr>
              <w:spacing w:after="0"/>
              <w:rPr>
                <w:sz w:val="21"/>
                <w:szCs w:val="21"/>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(11,425)</w:t>
            </w:r>
          </w:p>
        </w:tc>
        <w:tc>
          <w:tcPr>
            <w:tcW w:w="2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(33,134)</w:t>
            </w:r>
          </w:p>
        </w:tc>
        <w:tc>
          <w:tcPr>
            <w:tcW w:w="32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(11,425)</w:t>
            </w:r>
          </w:p>
        </w:tc>
        <w:tc>
          <w:tcPr>
            <w:tcW w:w="32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(33,134)</w:t>
            </w:r>
          </w:p>
        </w:tc>
        <w:tc>
          <w:tcPr>
            <w:tcW w:w="460" w:type="dxa"/>
            <w:vAlign w:val="bottom"/>
            <w:shd w:val="clear" w:color="auto" w:fill="D5DCE4"/>
          </w:tcPr>
          <w:p>
            <w:pPr>
              <w:spacing w:after="0"/>
              <w:rPr>
                <w:sz w:val="21"/>
                <w:szCs w:val="2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103,183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82,186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392,530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313,770</w:t>
            </w:r>
          </w:p>
        </w:tc>
        <w:tc>
          <w:tcPr>
            <w:tcW w:w="460" w:type="dxa"/>
            <w:vAlign w:val="bottom"/>
          </w:tcPr>
          <w:p>
            <w:pPr>
              <w:spacing w:after="0"/>
              <w:rPr>
                <w:sz w:val="19"/>
                <w:szCs w:val="19"/>
                <w:color w:val="auto"/>
              </w:rPr>
            </w:pPr>
          </w:p>
        </w:tc>
      </w:tr>
      <w:tr>
        <w:trPr>
          <w:trHeight w:val="251"/>
        </w:trPr>
        <w:tc>
          <w:tcPr>
            <w:tcW w:w="49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Adjusted income taxes</w:t>
            </w:r>
            <w:r>
              <w:rPr>
                <w:rFonts w:ascii="Arial" w:cs="Arial" w:eastAsia="Arial" w:hAnsi="Arial"/>
                <w:sz w:val="21"/>
                <w:szCs w:val="21"/>
                <w:color w:val="auto"/>
                <w:vertAlign w:val="superscript"/>
              </w:rPr>
              <w:t>(7)</w:t>
            </w:r>
          </w:p>
        </w:tc>
        <w:tc>
          <w:tcPr>
            <w:tcW w:w="240" w:type="dxa"/>
            <w:vAlign w:val="bottom"/>
            <w:tcBorders>
              <w:bottom w:val="single" w:sz="8" w:color="auto"/>
            </w:tcBorders>
            <w:shd w:val="clear" w:color="auto" w:fill="D5DCE4"/>
          </w:tcPr>
          <w:p>
            <w:pPr>
              <w:spacing w:after="0"/>
              <w:rPr>
                <w:sz w:val="21"/>
                <w:szCs w:val="21"/>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(22,700)</w:t>
            </w:r>
          </w:p>
        </w:tc>
        <w:tc>
          <w:tcPr>
            <w:tcW w:w="2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(21,697)</w:t>
            </w:r>
          </w:p>
        </w:tc>
        <w:tc>
          <w:tcPr>
            <w:tcW w:w="32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(86,357)</w:t>
            </w:r>
          </w:p>
        </w:tc>
        <w:tc>
          <w:tcPr>
            <w:tcW w:w="32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(82,835)</w:t>
            </w:r>
          </w:p>
        </w:tc>
        <w:tc>
          <w:tcPr>
            <w:tcW w:w="460" w:type="dxa"/>
            <w:vAlign w:val="bottom"/>
            <w:shd w:val="clear" w:color="auto" w:fill="D5DCE4"/>
          </w:tcPr>
          <w:p>
            <w:pPr>
              <w:spacing w:after="0"/>
              <w:rPr>
                <w:sz w:val="21"/>
                <w:szCs w:val="21"/>
                <w:color w:val="auto"/>
              </w:rPr>
            </w:pPr>
          </w:p>
        </w:tc>
      </w:tr>
      <w:tr>
        <w:trPr>
          <w:trHeight w:val="230"/>
        </w:trPr>
        <w:tc>
          <w:tcPr>
            <w:tcW w:w="494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Adjusted 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80,483</w:t>
            </w:r>
          </w:p>
        </w:tc>
        <w:tc>
          <w:tcPr>
            <w:tcW w:w="22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60,489</w:t>
            </w:r>
          </w:p>
        </w:tc>
        <w:tc>
          <w:tcPr>
            <w:tcW w:w="32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306,173</w:t>
            </w:r>
          </w:p>
        </w:tc>
        <w:tc>
          <w:tcPr>
            <w:tcW w:w="32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230,935</w:t>
            </w:r>
          </w:p>
        </w:tc>
        <w:tc>
          <w:tcPr>
            <w:tcW w:w="460" w:type="dxa"/>
            <w:vAlign w:val="bottom"/>
            <w:tcBorders>
              <w:bottom w:val="single" w:sz="8" w:color="D5DCE4"/>
            </w:tcBorders>
          </w:tcPr>
          <w:p>
            <w:pPr>
              <w:spacing w:after="0"/>
              <w:rPr>
                <w:sz w:val="20"/>
                <w:szCs w:val="20"/>
                <w:color w:val="auto"/>
              </w:rPr>
            </w:pPr>
          </w:p>
        </w:tc>
      </w:tr>
      <w:tr>
        <w:trPr>
          <w:trHeight w:val="263"/>
        </w:trPr>
        <w:tc>
          <w:tcPr>
            <w:tcW w:w="49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(1)(8)</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0.34</w:t>
            </w:r>
          </w:p>
        </w:tc>
        <w:tc>
          <w:tcPr>
            <w:tcW w:w="22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340" w:type="dxa"/>
            <w:vAlign w:val="bottom"/>
            <w:gridSpan w:val="2"/>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0.26</w:t>
            </w:r>
          </w:p>
        </w:tc>
        <w:tc>
          <w:tcPr>
            <w:tcW w:w="32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1.31</w:t>
            </w:r>
          </w:p>
        </w:tc>
        <w:tc>
          <w:tcPr>
            <w:tcW w:w="320" w:type="dxa"/>
            <w:vAlign w:val="bottom"/>
            <w:shd w:val="clear" w:color="auto" w:fill="D5DCE4"/>
          </w:tcPr>
          <w:p>
            <w:pPr>
              <w:ind w:left="20"/>
              <w:spacing w:after="0"/>
              <w:rPr>
                <w:sz w:val="20"/>
                <w:szCs w:val="20"/>
                <w:color w:val="auto"/>
              </w:rPr>
            </w:pPr>
            <w:r>
              <w:rPr>
                <w:rFonts w:ascii="Arial" w:cs="Arial" w:eastAsia="Arial" w:hAnsi="Arial"/>
                <w:sz w:val="11"/>
                <w:szCs w:val="11"/>
                <w:color w:val="auto"/>
              </w:rPr>
              <w:t>(a)</w:t>
            </w:r>
          </w:p>
        </w:tc>
        <w:tc>
          <w:tcPr>
            <w:tcW w:w="240" w:type="dxa"/>
            <w:vAlign w:val="bottom"/>
            <w:shd w:val="clear" w:color="auto" w:fill="D5DCE4"/>
          </w:tcPr>
          <w:p>
            <w:pPr>
              <w:spacing w:after="0"/>
              <w:rPr>
                <w:sz w:val="22"/>
                <w:szCs w:val="22"/>
                <w:color w:val="auto"/>
              </w:rPr>
            </w:pPr>
          </w:p>
        </w:tc>
        <w:tc>
          <w:tcPr>
            <w:tcW w:w="960" w:type="dxa"/>
            <w:vAlign w:val="bottom"/>
            <w:shd w:val="clear" w:color="auto" w:fill="D5DCE4"/>
          </w:tcPr>
          <w:p>
            <w:pPr>
              <w:ind w:left="40"/>
              <w:spacing w:after="0"/>
              <w:rPr>
                <w:sz w:val="20"/>
                <w:szCs w:val="20"/>
                <w:color w:val="auto"/>
              </w:rPr>
            </w:pPr>
            <w:r>
              <w:rPr>
                <w:rFonts w:ascii="Arial" w:cs="Arial" w:eastAsia="Arial" w:hAnsi="Arial"/>
                <w:sz w:val="16"/>
                <w:szCs w:val="16"/>
                <w:color w:val="auto"/>
              </w:rPr>
              <w:t>$ 0.23 / 0.77</w:t>
            </w:r>
          </w:p>
        </w:tc>
        <w:tc>
          <w:tcPr>
            <w:tcW w:w="460" w:type="dxa"/>
            <w:vAlign w:val="bottom"/>
            <w:shd w:val="clear" w:color="auto" w:fill="D5DCE4"/>
          </w:tcPr>
          <w:p>
            <w:pPr>
              <w:ind w:left="20"/>
              <w:spacing w:after="0"/>
              <w:rPr>
                <w:sz w:val="20"/>
                <w:szCs w:val="20"/>
                <w:color w:val="auto"/>
              </w:rPr>
            </w:pPr>
            <w:r>
              <w:rPr>
                <w:rFonts w:ascii="Arial" w:cs="Arial" w:eastAsia="Arial" w:hAnsi="Arial"/>
                <w:sz w:val="11"/>
                <w:szCs w:val="11"/>
                <w:color w:val="auto"/>
              </w:rPr>
              <w:t>(b)/(a)</w:t>
            </w:r>
          </w:p>
        </w:tc>
      </w:tr>
      <w:tr>
        <w:trPr>
          <w:trHeight w:val="20"/>
        </w:trPr>
        <w:tc>
          <w:tcPr>
            <w:tcW w:w="48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D5DCE4"/>
            </w:tcBorders>
          </w:tcPr>
          <w:p>
            <w:pPr>
              <w:spacing w:after="0" w:line="20" w:lineRule="exact"/>
              <w:rPr>
                <w:sz w:val="1"/>
                <w:szCs w:val="1"/>
                <w:color w:val="auto"/>
              </w:rPr>
            </w:pPr>
          </w:p>
        </w:tc>
      </w:tr>
    </w:tbl>
    <w:p>
      <w:pPr>
        <w:spacing w:after="0" w:line="316" w:lineRule="exact"/>
        <w:rPr>
          <w:sz w:val="20"/>
          <w:szCs w:val="20"/>
          <w:color w:val="auto"/>
        </w:rPr>
      </w:pPr>
    </w:p>
    <w:p>
      <w:pPr>
        <w:ind w:left="660" w:right="160" w:hanging="328"/>
        <w:spacing w:after="0" w:line="197"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As a result, certain earnings information is being presented separately for Tradeweb Markets LLC and Tradeweb Markets Inc.</w:t>
      </w:r>
    </w:p>
    <w:p>
      <w:pPr>
        <w:ind w:left="1300" w:hanging="320"/>
        <w:spacing w:after="0" w:line="216" w:lineRule="auto"/>
        <w:tabs>
          <w:tab w:leader="none" w:pos="130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ind w:left="1300" w:hanging="320"/>
        <w:spacing w:after="0" w:line="216" w:lineRule="auto"/>
        <w:tabs>
          <w:tab w:leader="none" w:pos="130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660"/>
        <w:spacing w:after="0"/>
        <w:rPr>
          <w:sz w:val="20"/>
          <w:szCs w:val="20"/>
          <w:color w:val="auto"/>
        </w:rPr>
      </w:pPr>
      <w:r>
        <w:rPr>
          <w:rFonts w:ascii="Arial" w:cs="Arial" w:eastAsia="Arial" w:hAnsi="Arial"/>
          <w:sz w:val="13"/>
          <w:szCs w:val="13"/>
          <w:color w:val="auto"/>
        </w:rPr>
        <w:t>See the “Basic and Diluted EPS Calculations” table below for additional information.</w:t>
      </w:r>
    </w:p>
    <w:p>
      <w:pPr>
        <w:sectPr>
          <w:pgSz w:w="11900" w:h="16838" w:orient="portrait"/>
          <w:cols w:equalWidth="0" w:num="1">
            <w:col w:w="11240"/>
          </w:cols>
          <w:pgMar w:left="320" w:top="686" w:right="339" w:bottom="1440" w:gutter="0" w:footer="0" w:header="0"/>
          <w:type w:val="continuous"/>
        </w:sectPr>
      </w:pPr>
    </w:p>
    <w:p>
      <w:pPr>
        <w:spacing w:after="0" w:line="7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86" w:right="339" w:bottom="1440" w:gutter="0" w:footer="0" w:header="0"/>
          <w:type w:val="continuous"/>
        </w:sectPr>
      </w:pPr>
    </w:p>
    <w:bookmarkStart w:id="8" w:name="page9"/>
    <w:bookmarkEnd w:id="8"/>
    <w:p>
      <w:pPr>
        <w:ind w:left="660" w:right="220" w:hanging="328"/>
        <w:spacing w:after="0" w:line="229"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660" w:right="18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right="22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line="216" w:lineRule="auto"/>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ind w:left="660" w:right="14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right="2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22.0% applied to Adjusted Net Income before income taxes for the year ended December 31, 2020 and 26.4% applied to Adjusted Net Income before income taxes for the year ended December 31, 2019. For pre-IPO periods, this adjustment assumes Tradeweb Markets LLC was subject to a corporate tax rate for the periods presented.</w:t>
      </w:r>
    </w:p>
    <w:p>
      <w:pPr>
        <w:ind w:left="660" w:right="80" w:hanging="328"/>
        <w:spacing w:after="0"/>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 Shares outstanding during the year ended December 31,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Post-IPO Period</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Pre-IPO Period</w:t>
            </w:r>
          </w:p>
        </w:tc>
        <w:tc>
          <w:tcPr>
            <w:tcW w:w="0" w:type="dxa"/>
            <w:vAlign w:val="bottom"/>
          </w:tcPr>
          <w:p>
            <w:pPr>
              <w:spacing w:after="0"/>
              <w:rPr>
                <w:sz w:val="1"/>
                <w:szCs w:val="1"/>
                <w:color w:val="auto"/>
              </w:rPr>
            </w:pPr>
          </w:p>
        </w:tc>
      </w:tr>
      <w:tr>
        <w:trPr>
          <w:trHeight w:val="196"/>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Diluted Weighted Average</w:t>
            </w:r>
          </w:p>
        </w:tc>
        <w:tc>
          <w:tcPr>
            <w:tcW w:w="14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89"/>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 Outstanding to Adjusted Diluted</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5"/>
        </w:trPr>
        <w:tc>
          <w:tcPr>
            <w:tcW w:w="36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Diluted weighted average TWM LLC shares</w:t>
            </w:r>
          </w:p>
        </w:tc>
        <w:tc>
          <w:tcPr>
            <w:tcW w:w="140" w:type="dxa"/>
            <w:vAlign w:val="bottom"/>
            <w:shd w:val="clear" w:color="auto" w:fill="D5DCE4"/>
          </w:tcPr>
          <w:p>
            <w:pPr>
              <w:spacing w:after="0"/>
              <w:rPr>
                <w:sz w:val="16"/>
                <w:szCs w:val="16"/>
                <w:color w:val="auto"/>
              </w:rPr>
            </w:pPr>
          </w:p>
        </w:tc>
        <w:tc>
          <w:tcPr>
            <w:tcW w:w="1320" w:type="dxa"/>
            <w:vAlign w:val="bottom"/>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140" w:type="dxa"/>
            <w:vAlign w:val="bottom"/>
            <w:shd w:val="clear" w:color="auto" w:fill="D5DCE4"/>
          </w:tcPr>
          <w:p>
            <w:pPr>
              <w:spacing w:after="0"/>
              <w:rPr>
                <w:sz w:val="16"/>
                <w:szCs w:val="16"/>
                <w:color w:val="auto"/>
              </w:rPr>
            </w:pPr>
          </w:p>
        </w:tc>
        <w:tc>
          <w:tcPr>
            <w:tcW w:w="1320" w:type="dxa"/>
            <w:vAlign w:val="bottom"/>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00" w:type="dxa"/>
            <w:vAlign w:val="bottom"/>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120" w:type="dxa"/>
            <w:vAlign w:val="bottom"/>
            <w:shd w:val="clear" w:color="auto" w:fill="D5DCE4"/>
          </w:tcPr>
          <w:p>
            <w:pPr>
              <w:spacing w:after="0"/>
              <w:rPr>
                <w:sz w:val="16"/>
                <w:szCs w:val="16"/>
                <w:color w:val="auto"/>
              </w:rPr>
            </w:pPr>
          </w:p>
        </w:tc>
        <w:tc>
          <w:tcPr>
            <w:tcW w:w="1340" w:type="dxa"/>
            <w:vAlign w:val="bottom"/>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140" w:type="dxa"/>
            <w:vAlign w:val="bottom"/>
            <w:shd w:val="clear" w:color="auto" w:fill="D5DCE4"/>
          </w:tcPr>
          <w:p>
            <w:pPr>
              <w:spacing w:after="0"/>
              <w:rPr>
                <w:sz w:val="16"/>
                <w:szCs w:val="16"/>
                <w:color w:val="auto"/>
              </w:rPr>
            </w:pPr>
          </w:p>
        </w:tc>
        <w:tc>
          <w:tcPr>
            <w:tcW w:w="1320" w:type="dxa"/>
            <w:vAlign w:val="bottom"/>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D5DCE4"/>
          </w:tcPr>
          <w:p>
            <w:pPr>
              <w:spacing w:after="0"/>
              <w:rPr>
                <w:sz w:val="20"/>
                <w:szCs w:val="20"/>
                <w:color w:val="auto"/>
              </w:rPr>
            </w:pPr>
          </w:p>
        </w:tc>
        <w:tc>
          <w:tcPr>
            <w:tcW w:w="140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5DCE4"/>
          </w:tcPr>
          <w:p>
            <w:pPr>
              <w:spacing w:after="0"/>
              <w:rPr>
                <w:sz w:val="20"/>
                <w:szCs w:val="20"/>
                <w:color w:val="auto"/>
              </w:rPr>
            </w:pPr>
          </w:p>
        </w:tc>
        <w:tc>
          <w:tcPr>
            <w:tcW w:w="140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5DCE4"/>
          </w:tcPr>
          <w:p>
            <w:pPr>
              <w:spacing w:after="0"/>
              <w:rPr>
                <w:sz w:val="20"/>
                <w:szCs w:val="20"/>
                <w:color w:val="auto"/>
              </w:rPr>
            </w:pPr>
          </w:p>
        </w:tc>
        <w:tc>
          <w:tcPr>
            <w:tcW w:w="138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0"/>
                <w:szCs w:val="20"/>
                <w:color w:val="auto"/>
              </w:rPr>
            </w:pPr>
          </w:p>
        </w:tc>
        <w:tc>
          <w:tcPr>
            <w:tcW w:w="142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5DCE4"/>
          </w:tcPr>
          <w:p>
            <w:pPr>
              <w:spacing w:after="0"/>
              <w:rPr>
                <w:sz w:val="20"/>
                <w:szCs w:val="20"/>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223,320,457</w:t>
            </w:r>
          </w:p>
        </w:tc>
        <w:tc>
          <w:tcPr>
            <w:tcW w:w="0" w:type="dxa"/>
            <w:vAlign w:val="bottom"/>
          </w:tcPr>
          <w:p>
            <w:pPr>
              <w:spacing w:after="0"/>
              <w:rPr>
                <w:sz w:val="1"/>
                <w:szCs w:val="1"/>
                <w:color w:val="auto"/>
              </w:rPr>
            </w:pPr>
          </w:p>
        </w:tc>
      </w:tr>
      <w:tr>
        <w:trPr>
          <w:trHeight w:val="198"/>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Diluted weighted average shares of Class A and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Class B common stock outstanding</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197,745,297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167,069,241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188,223,032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156,540,246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6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Assumed exchange of LLC interests for shares</w:t>
            </w:r>
          </w:p>
        </w:tc>
        <w:tc>
          <w:tcPr>
            <w:tcW w:w="140" w:type="dxa"/>
            <w:vAlign w:val="bottom"/>
            <w:shd w:val="clear" w:color="auto" w:fill="D5DCE4"/>
          </w:tcPr>
          <w:p>
            <w:pPr>
              <w:spacing w:after="0"/>
              <w:rPr>
                <w:sz w:val="17"/>
                <w:szCs w:val="17"/>
                <w:color w:val="auto"/>
              </w:rPr>
            </w:pPr>
          </w:p>
        </w:tc>
        <w:tc>
          <w:tcPr>
            <w:tcW w:w="132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140" w:type="dxa"/>
            <w:vAlign w:val="bottom"/>
            <w:shd w:val="clear" w:color="auto" w:fill="D5DCE4"/>
          </w:tcPr>
          <w:p>
            <w:pPr>
              <w:spacing w:after="0"/>
              <w:rPr>
                <w:sz w:val="17"/>
                <w:szCs w:val="17"/>
                <w:color w:val="auto"/>
              </w:rPr>
            </w:pPr>
          </w:p>
        </w:tc>
        <w:tc>
          <w:tcPr>
            <w:tcW w:w="132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160" w:type="dxa"/>
            <w:vAlign w:val="bottom"/>
            <w:shd w:val="clear" w:color="auto" w:fill="D5DCE4"/>
          </w:tcPr>
          <w:p>
            <w:pPr>
              <w:spacing w:after="0"/>
              <w:rPr>
                <w:sz w:val="17"/>
                <w:szCs w:val="17"/>
                <w:color w:val="auto"/>
              </w:rPr>
            </w:pPr>
          </w:p>
        </w:tc>
        <w:tc>
          <w:tcPr>
            <w:tcW w:w="130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120" w:type="dxa"/>
            <w:vAlign w:val="bottom"/>
            <w:shd w:val="clear" w:color="auto" w:fill="D5DCE4"/>
          </w:tcPr>
          <w:p>
            <w:pPr>
              <w:spacing w:after="0"/>
              <w:rPr>
                <w:sz w:val="17"/>
                <w:szCs w:val="17"/>
                <w:color w:val="auto"/>
              </w:rPr>
            </w:pPr>
          </w:p>
        </w:tc>
        <w:tc>
          <w:tcPr>
            <w:tcW w:w="134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140" w:type="dxa"/>
            <w:vAlign w:val="bottom"/>
            <w:shd w:val="clear" w:color="auto" w:fill="D5DCE4"/>
          </w:tcPr>
          <w:p>
            <w:pPr>
              <w:spacing w:after="0"/>
              <w:rPr>
                <w:sz w:val="17"/>
                <w:szCs w:val="17"/>
                <w:color w:val="auto"/>
              </w:rPr>
            </w:pPr>
          </w:p>
        </w:tc>
        <w:tc>
          <w:tcPr>
            <w:tcW w:w="132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D5DCE4"/>
          </w:tcPr>
          <w:p>
            <w:pPr>
              <w:ind w:left="20"/>
              <w:spacing w:after="0" w:line="234" w:lineRule="exact"/>
              <w:rPr>
                <w:sz w:val="20"/>
                <w:szCs w:val="20"/>
                <w:color w:val="auto"/>
              </w:rPr>
            </w:pPr>
            <w:r>
              <w:rPr>
                <w:rFonts w:ascii="Arial" w:cs="Arial" w:eastAsia="Arial" w:hAnsi="Arial"/>
                <w:sz w:val="16"/>
                <w:szCs w:val="16"/>
                <w:color w:val="auto"/>
              </w:rPr>
              <w:t xml:space="preserve">of Class A or Class B common stock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D5DCE4"/>
          </w:tcPr>
          <w:p>
            <w:pPr>
              <w:spacing w:after="0"/>
              <w:rPr>
                <w:sz w:val="20"/>
                <w:szCs w:val="20"/>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38,176,219</w:t>
            </w:r>
          </w:p>
        </w:tc>
        <w:tc>
          <w:tcPr>
            <w:tcW w:w="80" w:type="dxa"/>
            <w:vAlign w:val="bottom"/>
            <w:shd w:val="clear" w:color="auto" w:fill="D5DCE4"/>
          </w:tcPr>
          <w:p>
            <w:pPr>
              <w:spacing w:after="0"/>
              <w:rPr>
                <w:sz w:val="20"/>
                <w:szCs w:val="20"/>
                <w:color w:val="auto"/>
              </w:rPr>
            </w:pPr>
          </w:p>
        </w:tc>
        <w:tc>
          <w:tcPr>
            <w:tcW w:w="140" w:type="dxa"/>
            <w:vAlign w:val="bottom"/>
            <w:tcBorders>
              <w:bottom w:val="single" w:sz="8" w:color="auto"/>
            </w:tcBorders>
            <w:shd w:val="clear" w:color="auto" w:fill="D5DCE4"/>
          </w:tcPr>
          <w:p>
            <w:pPr>
              <w:spacing w:after="0"/>
              <w:rPr>
                <w:sz w:val="20"/>
                <w:szCs w:val="20"/>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64,479,008</w:t>
            </w:r>
          </w:p>
        </w:tc>
        <w:tc>
          <w:tcPr>
            <w:tcW w:w="80" w:type="dxa"/>
            <w:vAlign w:val="bottom"/>
            <w:shd w:val="clear" w:color="auto" w:fill="D5DCE4"/>
          </w:tcPr>
          <w:p>
            <w:pPr>
              <w:spacing w:after="0"/>
              <w:rPr>
                <w:sz w:val="20"/>
                <w:szCs w:val="20"/>
                <w:color w:val="auto"/>
              </w:rPr>
            </w:pPr>
          </w:p>
        </w:tc>
        <w:tc>
          <w:tcPr>
            <w:tcW w:w="160" w:type="dxa"/>
            <w:vAlign w:val="bottom"/>
            <w:tcBorders>
              <w:bottom w:val="single" w:sz="8" w:color="auto"/>
            </w:tcBorders>
            <w:shd w:val="clear" w:color="auto" w:fill="D5DCE4"/>
          </w:tcPr>
          <w:p>
            <w:pPr>
              <w:spacing w:after="0"/>
              <w:rPr>
                <w:sz w:val="20"/>
                <w:szCs w:val="20"/>
                <w:color w:val="auto"/>
              </w:rPr>
            </w:pPr>
          </w:p>
        </w:tc>
        <w:tc>
          <w:tcPr>
            <w:tcW w:w="13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45,828,289</w:t>
            </w:r>
          </w:p>
        </w:tc>
        <w:tc>
          <w:tcPr>
            <w:tcW w:w="80" w:type="dxa"/>
            <w:vAlign w:val="bottom"/>
            <w:shd w:val="clear" w:color="auto" w:fill="D5DCE4"/>
          </w:tcPr>
          <w:p>
            <w:pPr>
              <w:spacing w:after="0"/>
              <w:rPr>
                <w:sz w:val="20"/>
                <w:szCs w:val="20"/>
                <w:color w:val="auto"/>
              </w:rPr>
            </w:pPr>
          </w:p>
        </w:tc>
        <w:tc>
          <w:tcPr>
            <w:tcW w:w="120" w:type="dxa"/>
            <w:vAlign w:val="bottom"/>
            <w:tcBorders>
              <w:bottom w:val="single" w:sz="8" w:color="auto"/>
            </w:tcBorders>
            <w:shd w:val="clear" w:color="auto" w:fill="D5DCE4"/>
          </w:tcPr>
          <w:p>
            <w:pPr>
              <w:spacing w:after="0"/>
              <w:rPr>
                <w:sz w:val="20"/>
                <w:szCs w:val="20"/>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74,279,741</w:t>
            </w:r>
          </w:p>
        </w:tc>
        <w:tc>
          <w:tcPr>
            <w:tcW w:w="80" w:type="dxa"/>
            <w:vAlign w:val="bottom"/>
            <w:shd w:val="clear" w:color="auto" w:fill="D5DCE4"/>
          </w:tcPr>
          <w:p>
            <w:pPr>
              <w:spacing w:after="0"/>
              <w:rPr>
                <w:sz w:val="20"/>
                <w:szCs w:val="20"/>
                <w:color w:val="auto"/>
              </w:rPr>
            </w:pPr>
          </w:p>
        </w:tc>
        <w:tc>
          <w:tcPr>
            <w:tcW w:w="140" w:type="dxa"/>
            <w:vAlign w:val="bottom"/>
            <w:tcBorders>
              <w:bottom w:val="single" w:sz="8" w:color="auto"/>
            </w:tcBorders>
            <w:shd w:val="clear" w:color="auto" w:fill="D5DCE4"/>
          </w:tcPr>
          <w:p>
            <w:pPr>
              <w:spacing w:after="0"/>
              <w:rPr>
                <w:sz w:val="20"/>
                <w:szCs w:val="20"/>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36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Adjusted diluted weighted average shares</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235,921,516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231,548,249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234,051,321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230,819,987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223,320,457</w:t>
            </w:r>
          </w:p>
        </w:tc>
        <w:tc>
          <w:tcPr>
            <w:tcW w:w="0" w:type="dxa"/>
            <w:vAlign w:val="bottom"/>
          </w:tcPr>
          <w:p>
            <w:pPr>
              <w:spacing w:after="0"/>
              <w:rPr>
                <w:sz w:val="1"/>
                <w:szCs w:val="1"/>
                <w:color w:val="auto"/>
              </w:rPr>
            </w:pPr>
          </w:p>
        </w:tc>
      </w:tr>
      <w:tr>
        <w:trPr>
          <w:trHeight w:val="20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62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80,483</w:t>
            </w:r>
          </w:p>
        </w:tc>
        <w:tc>
          <w:tcPr>
            <w:tcW w:w="80" w:type="dxa"/>
            <w:vAlign w:val="bottom"/>
            <w:tcBorders>
              <w:bottom w:val="single" w:sz="8" w:color="D5DCE4"/>
            </w:tcBorders>
            <w:shd w:val="clear" w:color="auto" w:fill="D5DCE4"/>
          </w:tcPr>
          <w:p>
            <w:pPr>
              <w:spacing w:after="0"/>
              <w:rPr>
                <w:sz w:val="22"/>
                <w:szCs w:val="22"/>
                <w:color w:val="auto"/>
              </w:rPr>
            </w:pP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60,489</w:t>
            </w:r>
          </w:p>
        </w:tc>
        <w:tc>
          <w:tcPr>
            <w:tcW w:w="80" w:type="dxa"/>
            <w:vAlign w:val="bottom"/>
            <w:tcBorders>
              <w:bottom w:val="single" w:sz="8" w:color="D5DCE4"/>
            </w:tcBorders>
            <w:shd w:val="clear" w:color="auto" w:fill="D5DCE4"/>
          </w:tcPr>
          <w:p>
            <w:pPr>
              <w:spacing w:after="0"/>
              <w:rPr>
                <w:sz w:val="22"/>
                <w:szCs w:val="22"/>
                <w:color w:val="auto"/>
              </w:rPr>
            </w:pPr>
          </w:p>
        </w:tc>
        <w:tc>
          <w:tcPr>
            <w:tcW w:w="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306,173</w:t>
            </w:r>
          </w:p>
        </w:tc>
        <w:tc>
          <w:tcPr>
            <w:tcW w:w="80" w:type="dxa"/>
            <w:vAlign w:val="bottom"/>
            <w:tcBorders>
              <w:bottom w:val="single" w:sz="8" w:color="D5DCE4"/>
            </w:tcBorders>
            <w:shd w:val="clear" w:color="auto" w:fill="D5DCE4"/>
          </w:tcPr>
          <w:p>
            <w:pPr>
              <w:spacing w:after="0"/>
              <w:rPr>
                <w:sz w:val="22"/>
                <w:szCs w:val="22"/>
                <w:color w:val="auto"/>
              </w:rPr>
            </w:pPr>
          </w:p>
        </w:tc>
        <w:tc>
          <w:tcPr>
            <w:tcW w:w="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178,745</w:t>
            </w:r>
          </w:p>
        </w:tc>
        <w:tc>
          <w:tcPr>
            <w:tcW w:w="80" w:type="dxa"/>
            <w:vAlign w:val="bottom"/>
            <w:tcBorders>
              <w:bottom w:val="single" w:sz="8" w:color="D5DCE4"/>
            </w:tcBorders>
            <w:shd w:val="clear" w:color="auto" w:fill="D5DCE4"/>
          </w:tcPr>
          <w:p>
            <w:pPr>
              <w:spacing w:after="0"/>
              <w:rPr>
                <w:sz w:val="22"/>
                <w:szCs w:val="22"/>
                <w:color w:val="auto"/>
              </w:rPr>
            </w:pP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52,190</w:t>
            </w:r>
          </w:p>
        </w:tc>
        <w:tc>
          <w:tcPr>
            <w:tcW w:w="0" w:type="dxa"/>
            <w:vAlign w:val="bottom"/>
          </w:tcPr>
          <w:p>
            <w:pPr>
              <w:spacing w:after="0"/>
              <w:rPr>
                <w:sz w:val="1"/>
                <w:szCs w:val="1"/>
                <w:color w:val="auto"/>
              </w:rPr>
            </w:pPr>
          </w:p>
        </w:tc>
      </w:tr>
      <w:tr>
        <w:trPr>
          <w:trHeight w:val="20"/>
        </w:trPr>
        <w:tc>
          <w:tcPr>
            <w:tcW w:w="35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13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Adjusted Diluted EPS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0.77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right="100" w:hanging="328"/>
        <w:spacing w:after="0" w:line="271" w:lineRule="auto"/>
        <w:tabs>
          <w:tab w:leader="none" w:pos="652"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w:t>
            </w:r>
          </w:p>
        </w:tc>
        <w:tc>
          <w:tcPr>
            <w:tcW w:w="380" w:type="dxa"/>
            <w:vAlign w:val="bottom"/>
          </w:tcPr>
          <w:p>
            <w:pPr>
              <w:spacing w:after="0"/>
              <w:rPr>
                <w:sz w:val="22"/>
                <w:szCs w:val="22"/>
                <w:color w:val="auto"/>
              </w:rPr>
            </w:pPr>
          </w:p>
        </w:tc>
        <w:tc>
          <w:tcPr>
            <w:tcW w:w="3200" w:type="dxa"/>
            <w:vAlign w:val="bottom"/>
            <w:gridSpan w:val="5"/>
          </w:tcPr>
          <w:p>
            <w:pPr>
              <w:ind w:left="260"/>
              <w:spacing w:after="0"/>
              <w:rPr>
                <w:sz w:val="20"/>
                <w:szCs w:val="20"/>
                <w:color w:val="auto"/>
              </w:rPr>
            </w:pPr>
            <w:r>
              <w:rPr>
                <w:rFonts w:ascii="Arial" w:cs="Arial" w:eastAsia="Arial" w:hAnsi="Arial"/>
                <w:sz w:val="16"/>
                <w:szCs w:val="16"/>
                <w:b w:val="1"/>
                <w:bCs w:val="1"/>
                <w:color w:val="auto"/>
              </w:rPr>
              <w:t>Quarter Ended December 31,</w:t>
            </w:r>
          </w:p>
        </w:tc>
        <w:tc>
          <w:tcPr>
            <w:tcW w:w="600" w:type="dxa"/>
            <w:vAlign w:val="bottom"/>
          </w:tcPr>
          <w:p>
            <w:pPr>
              <w:spacing w:after="0"/>
              <w:rPr>
                <w:sz w:val="22"/>
                <w:szCs w:val="22"/>
                <w:color w:val="auto"/>
              </w:rPr>
            </w:pPr>
          </w:p>
        </w:tc>
        <w:tc>
          <w:tcPr>
            <w:tcW w:w="29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Year Ended December 31,</w:t>
            </w:r>
          </w:p>
        </w:tc>
      </w:tr>
      <w:tr>
        <w:trPr>
          <w:trHeight w:val="232"/>
        </w:trPr>
        <w:tc>
          <w:tcPr>
            <w:tcW w:w="4140" w:type="dxa"/>
            <w:vAlign w:val="bottom"/>
            <w:gridSpan w:val="2"/>
          </w:tcPr>
          <w:p>
            <w:pPr>
              <w:ind w:left="2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37"/>
        </w:trPr>
        <w:tc>
          <w:tcPr>
            <w:tcW w:w="3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47"/>
        </w:trPr>
        <w:tc>
          <w:tcPr>
            <w:tcW w:w="4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161,496</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142,979</w:t>
            </w:r>
          </w:p>
        </w:tc>
        <w:tc>
          <w:tcPr>
            <w:tcW w:w="80" w:type="dxa"/>
            <w:vAlign w:val="bottom"/>
            <w:shd w:val="clear" w:color="auto" w:fill="D5DCE4"/>
          </w:tcPr>
          <w:p>
            <w:pPr>
              <w:spacing w:after="0"/>
              <w:rPr>
                <w:sz w:val="21"/>
                <w:szCs w:val="21"/>
                <w:color w:val="auto"/>
              </w:rPr>
            </w:pPr>
          </w:p>
        </w:tc>
        <w:tc>
          <w:tcPr>
            <w:tcW w:w="600" w:type="dxa"/>
            <w:vAlign w:val="bottom"/>
            <w:shd w:val="clear" w:color="auto" w:fill="D5DCE4"/>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629,304</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585,747</w:t>
            </w:r>
          </w:p>
        </w:tc>
      </w:tr>
      <w:tr>
        <w:trPr>
          <w:trHeight w:val="243"/>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21"/>
                <w:szCs w:val="21"/>
                <w:color w:val="auto"/>
                <w:vertAlign w:val="superscript"/>
              </w:rPr>
              <w:t>(1)</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(28,824)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(25,443)</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(110,187)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(97,565)</w:t>
            </w:r>
          </w:p>
        </w:tc>
      </w:tr>
      <w:tr>
        <w:trPr>
          <w:trHeight w:val="243"/>
        </w:trPr>
        <w:tc>
          <w:tcPr>
            <w:tcW w:w="4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(2)</w:t>
            </w:r>
          </w:p>
        </w:tc>
        <w:tc>
          <w:tcPr>
            <w:tcW w:w="38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(2,700)</w:t>
            </w:r>
          </w:p>
        </w:tc>
        <w:tc>
          <w:tcPr>
            <w:tcW w:w="80" w:type="dxa"/>
            <w:vAlign w:val="bottom"/>
            <w:shd w:val="clear" w:color="auto" w:fill="D5DCE4"/>
          </w:tcPr>
          <w:p>
            <w:pPr>
              <w:spacing w:after="0"/>
              <w:rPr>
                <w:sz w:val="21"/>
                <w:szCs w:val="21"/>
                <w:color w:val="auto"/>
              </w:rPr>
            </w:pPr>
          </w:p>
        </w:tc>
        <w:tc>
          <w:tcPr>
            <w:tcW w:w="60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(13,025)</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(25,098)</w:t>
            </w:r>
          </w:p>
        </w:tc>
      </w:tr>
      <w:tr>
        <w:trPr>
          <w:trHeight w:val="235"/>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Unrealized foreign exchange gains / (losses)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(5,665)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2,310</w:t>
            </w:r>
          </w:p>
        </w:tc>
      </w:tr>
      <w:tr>
        <w:trPr>
          <w:trHeight w:val="251"/>
        </w:trPr>
        <w:tc>
          <w:tcPr>
            <w:tcW w:w="4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Loss from revaluation of foreign-denominated cash</w:t>
            </w:r>
            <w:r>
              <w:rPr>
                <w:rFonts w:ascii="Arial" w:cs="Arial" w:eastAsia="Arial" w:hAnsi="Arial"/>
                <w:sz w:val="21"/>
                <w:szCs w:val="21"/>
                <w:color w:val="auto"/>
                <w:vertAlign w:val="superscript"/>
              </w:rPr>
              <w:t>(3)</w:t>
            </w:r>
          </w:p>
        </w:tc>
        <w:tc>
          <w:tcPr>
            <w:tcW w:w="38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(226)</w:t>
            </w:r>
          </w:p>
        </w:tc>
        <w:tc>
          <w:tcPr>
            <w:tcW w:w="80" w:type="dxa"/>
            <w:vAlign w:val="bottom"/>
            <w:shd w:val="clear" w:color="auto" w:fill="D5DCE4"/>
          </w:tcPr>
          <w:p>
            <w:pPr>
              <w:spacing w:after="0"/>
              <w:rPr>
                <w:sz w:val="21"/>
                <w:szCs w:val="21"/>
                <w:color w:val="auto"/>
              </w:rPr>
            </w:pPr>
          </w:p>
        </w:tc>
        <w:tc>
          <w:tcPr>
            <w:tcW w:w="380" w:type="dxa"/>
            <w:vAlign w:val="bottom"/>
            <w:tcBorders>
              <w:bottom w:val="single" w:sz="8" w:color="auto"/>
            </w:tcBorders>
            <w:shd w:val="clear" w:color="auto" w:fill="D5DCE4"/>
          </w:tcPr>
          <w:p>
            <w:pPr>
              <w:spacing w:after="0"/>
              <w:rPr>
                <w:sz w:val="21"/>
                <w:szCs w:val="21"/>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D5DCE4"/>
          </w:tcPr>
          <w:p>
            <w:pPr>
              <w:spacing w:after="0"/>
              <w:rPr>
                <w:sz w:val="21"/>
                <w:szCs w:val="21"/>
                <w:color w:val="auto"/>
              </w:rPr>
            </w:pPr>
          </w:p>
        </w:tc>
        <w:tc>
          <w:tcPr>
            <w:tcW w:w="60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(614)</w:t>
            </w:r>
          </w:p>
        </w:tc>
        <w:tc>
          <w:tcPr>
            <w:tcW w:w="80" w:type="dxa"/>
            <w:vAlign w:val="bottom"/>
            <w:shd w:val="clear" w:color="auto" w:fill="D5DCE4"/>
          </w:tcPr>
          <w:p>
            <w:pPr>
              <w:spacing w:after="0"/>
              <w:rPr>
                <w:sz w:val="21"/>
                <w:szCs w:val="21"/>
                <w:color w:val="auto"/>
              </w:rPr>
            </w:pPr>
          </w:p>
        </w:tc>
        <w:tc>
          <w:tcPr>
            <w:tcW w:w="400" w:type="dxa"/>
            <w:vAlign w:val="bottom"/>
            <w:tcBorders>
              <w:bottom w:val="single" w:sz="8" w:color="auto"/>
            </w:tcBorders>
            <w:shd w:val="clear" w:color="auto" w:fill="D5DCE4"/>
          </w:tcPr>
          <w:p>
            <w:pPr>
              <w:spacing w:after="0"/>
              <w:rPr>
                <w:sz w:val="21"/>
                <w:szCs w:val="21"/>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(1,225)</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129,513</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115,826</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499,813</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464,169</w:t>
            </w:r>
          </w:p>
        </w:tc>
      </w:tr>
      <w:tr>
        <w:trPr>
          <w:trHeight w:val="20"/>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660" w:right="180" w:hanging="328"/>
        <w:spacing w:after="0" w:line="251" w:lineRule="auto"/>
        <w:tabs>
          <w:tab w:leader="none" w:pos="652"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right="220" w:hanging="328"/>
        <w:spacing w:after="0" w:line="238" w:lineRule="auto"/>
        <w:tabs>
          <w:tab w:leader="none" w:pos="652"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Year Ended December 31,</w:t>
            </w:r>
          </w:p>
        </w:tc>
      </w:tr>
      <w:tr>
        <w:trPr>
          <w:trHeight w:val="232"/>
        </w:trPr>
        <w:tc>
          <w:tcPr>
            <w:tcW w:w="9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300" w:type="dxa"/>
            <w:vAlign w:val="bottom"/>
          </w:tcPr>
          <w:p>
            <w:pPr>
              <w:spacing w:after="0"/>
              <w:rPr>
                <w:sz w:val="20"/>
                <w:szCs w:val="20"/>
                <w:color w:val="auto"/>
              </w:rPr>
            </w:pPr>
          </w:p>
        </w:tc>
        <w:tc>
          <w:tcPr>
            <w:tcW w:w="18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2020</w:t>
            </w:r>
          </w:p>
        </w:tc>
      </w:tr>
      <w:tr>
        <w:trPr>
          <w:trHeight w:val="237"/>
        </w:trPr>
        <w:tc>
          <w:tcPr>
            <w:tcW w:w="9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(in thousands)</w:t>
            </w:r>
          </w:p>
        </w:tc>
      </w:tr>
      <w:tr>
        <w:trPr>
          <w:trHeight w:val="247"/>
        </w:trPr>
        <w:tc>
          <w:tcPr>
            <w:tcW w:w="9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300" w:type="dxa"/>
            <w:vAlign w:val="bottom"/>
            <w:shd w:val="clear" w:color="auto" w:fill="D5DCE4"/>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443,234</w:t>
            </w:r>
          </w:p>
        </w:tc>
      </w:tr>
      <w:tr>
        <w:trPr>
          <w:trHeight w:val="235"/>
        </w:trPr>
        <w:tc>
          <w:tcPr>
            <w:tcW w:w="9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(31,046)</w:t>
            </w:r>
          </w:p>
        </w:tc>
      </w:tr>
      <w:tr>
        <w:trPr>
          <w:trHeight w:val="244"/>
        </w:trPr>
        <w:tc>
          <w:tcPr>
            <w:tcW w:w="9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300" w:type="dxa"/>
            <w:vAlign w:val="bottom"/>
            <w:tcBorders>
              <w:bottom w:val="single" w:sz="8" w:color="auto"/>
            </w:tcBorders>
            <w:shd w:val="clear" w:color="auto" w:fill="D5DCE4"/>
          </w:tcPr>
          <w:p>
            <w:pPr>
              <w:spacing w:after="0"/>
              <w:rPr>
                <w:sz w:val="21"/>
                <w:szCs w:val="21"/>
                <w:color w:val="auto"/>
              </w:rPr>
            </w:pPr>
          </w:p>
        </w:tc>
        <w:tc>
          <w:tcPr>
            <w:tcW w:w="18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(11,490)</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400,698</w:t>
            </w:r>
          </w:p>
        </w:tc>
      </w:tr>
      <w:tr>
        <w:trPr>
          <w:trHeight w:val="20"/>
        </w:trPr>
        <w:tc>
          <w:tcPr>
            <w:tcW w:w="9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68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2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following table summarizes the basic and diluted earnings per share calculations for Tradeweb Markets Inc. (post-IPO period) and Tradeweb Markets LLC (pre-IPO period):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80" w:type="dxa"/>
            <w:vAlign w:val="bottom"/>
            <w:gridSpan w:val="4"/>
          </w:tcPr>
          <w:p>
            <w:pPr>
              <w:spacing w:after="0"/>
              <w:rPr>
                <w:sz w:val="20"/>
                <w:szCs w:val="20"/>
                <w:color w:val="auto"/>
              </w:rPr>
            </w:pPr>
            <w:r>
              <w:rPr>
                <w:rFonts w:ascii="Arial" w:cs="Arial" w:eastAsia="Arial" w:hAnsi="Arial"/>
                <w:sz w:val="16"/>
                <w:szCs w:val="16"/>
                <w:b w:val="1"/>
                <w:bCs w:val="1"/>
                <w:color w:val="auto"/>
              </w:rPr>
              <w:t>EPS: Post-IPO net income attributable to Tradeweb</w:t>
            </w:r>
          </w:p>
        </w:tc>
        <w:tc>
          <w:tcPr>
            <w:tcW w:w="360" w:type="dxa"/>
            <w:vAlign w:val="bottom"/>
          </w:tcPr>
          <w:p>
            <w:pPr>
              <w:spacing w:after="0"/>
              <w:rPr>
                <w:sz w:val="21"/>
                <w:szCs w:val="21"/>
                <w:color w:val="auto"/>
              </w:rPr>
            </w:pPr>
          </w:p>
        </w:tc>
        <w:tc>
          <w:tcPr>
            <w:tcW w:w="310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December 31,</w:t>
            </w:r>
          </w:p>
        </w:tc>
        <w:tc>
          <w:tcPr>
            <w:tcW w:w="380" w:type="dxa"/>
            <w:vAlign w:val="bottom"/>
          </w:tcPr>
          <w:p>
            <w:pPr>
              <w:spacing w:after="0"/>
              <w:rPr>
                <w:sz w:val="21"/>
                <w:szCs w:val="21"/>
                <w:color w:val="auto"/>
              </w:rPr>
            </w:pPr>
          </w:p>
        </w:tc>
        <w:tc>
          <w:tcPr>
            <w:tcW w:w="30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80" w:type="dxa"/>
            <w:vAlign w:val="bottom"/>
            <w:gridSpan w:val="4"/>
          </w:tcPr>
          <w:p>
            <w:pPr>
              <w:spacing w:after="0"/>
              <w:rPr>
                <w:sz w:val="20"/>
                <w:szCs w:val="20"/>
                <w:color w:val="auto"/>
              </w:rPr>
            </w:pPr>
            <w:r>
              <w:rPr>
                <w:rFonts w:ascii="Arial" w:cs="Arial" w:eastAsia="Arial" w:hAnsi="Arial"/>
                <w:sz w:val="16"/>
                <w:szCs w:val="16"/>
                <w:b w:val="1"/>
                <w:bCs w:val="1"/>
                <w:color w:val="auto"/>
              </w:rPr>
              <w:t>Markets Inc.</w:t>
            </w:r>
          </w:p>
        </w:tc>
        <w:tc>
          <w:tcPr>
            <w:tcW w:w="360" w:type="dxa"/>
            <w:vAlign w:val="bottom"/>
          </w:tcPr>
          <w:p>
            <w:pPr>
              <w:spacing w:after="0"/>
              <w:rPr>
                <w:sz w:val="20"/>
                <w:szCs w:val="20"/>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80" w:type="dxa"/>
            <w:vAlign w:val="bottom"/>
            <w:tcBorders>
              <w:top w:val="single" w:sz="8" w:color="auto"/>
            </w:tcBorders>
            <w:gridSpan w:val="10"/>
          </w:tcPr>
          <w:p>
            <w:pPr>
              <w:jc w:val="right"/>
              <w:ind w:right="1319"/>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3560" w:type="dxa"/>
            <w:vAlign w:val="bottom"/>
            <w:tcBorders>
              <w:bottom w:val="single" w:sz="8" w:color="D5DCE4"/>
            </w:tcBorders>
            <w:gridSpan w:val="3"/>
            <w:shd w:val="clear" w:color="auto" w:fill="D5DCE4"/>
          </w:tcPr>
          <w:p>
            <w:pPr>
              <w:spacing w:after="0"/>
              <w:rPr>
                <w:sz w:val="19"/>
                <w:szCs w:val="19"/>
                <w:color w:val="auto"/>
              </w:rPr>
            </w:pPr>
          </w:p>
        </w:tc>
        <w:tc>
          <w:tcPr>
            <w:tcW w:w="360" w:type="dxa"/>
            <w:vAlign w:val="bottom"/>
            <w:tcBorders>
              <w:bottom w:val="single" w:sz="8" w:color="D5DCE4"/>
            </w:tcBorders>
            <w:shd w:val="clear" w:color="auto" w:fill="D5DCE4"/>
          </w:tcPr>
          <w:p>
            <w:pPr>
              <w:spacing w:after="0"/>
              <w:rPr>
                <w:sz w:val="19"/>
                <w:szCs w:val="19"/>
                <w:color w:val="auto"/>
              </w:rPr>
            </w:pPr>
          </w:p>
        </w:tc>
        <w:tc>
          <w:tcPr>
            <w:tcW w:w="13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80" w:type="dxa"/>
            <w:vAlign w:val="bottom"/>
            <w:tcBorders>
              <w:bottom w:val="single" w:sz="8" w:color="D5DCE4"/>
            </w:tcBorders>
            <w:shd w:val="clear" w:color="auto" w:fill="D5DCE4"/>
          </w:tcPr>
          <w:p>
            <w:pPr>
              <w:spacing w:after="0"/>
              <w:rPr>
                <w:sz w:val="19"/>
                <w:szCs w:val="19"/>
                <w:color w:val="auto"/>
              </w:rPr>
            </w:pPr>
          </w:p>
        </w:tc>
        <w:tc>
          <w:tcPr>
            <w:tcW w:w="126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80" w:type="dxa"/>
            <w:vAlign w:val="bottom"/>
            <w:tcBorders>
              <w:bottom w:val="single" w:sz="8" w:color="D5DCE4"/>
            </w:tcBorders>
            <w:shd w:val="clear" w:color="auto" w:fill="D5DCE4"/>
          </w:tcPr>
          <w:p>
            <w:pPr>
              <w:spacing w:after="0"/>
              <w:rPr>
                <w:sz w:val="19"/>
                <w:szCs w:val="19"/>
                <w:color w:val="auto"/>
              </w:rPr>
            </w:pPr>
          </w:p>
        </w:tc>
        <w:tc>
          <w:tcPr>
            <w:tcW w:w="12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120" w:type="dxa"/>
            <w:vAlign w:val="bottom"/>
            <w:tcBorders>
              <w:bottom w:val="single" w:sz="8" w:color="D5DCE4"/>
            </w:tcBorders>
            <w:shd w:val="clear" w:color="auto" w:fill="D5DCE4"/>
          </w:tcPr>
          <w:p>
            <w:pPr>
              <w:spacing w:after="0"/>
              <w:rPr>
                <w:sz w:val="19"/>
                <w:szCs w:val="19"/>
                <w:color w:val="auto"/>
              </w:rPr>
            </w:pPr>
          </w:p>
        </w:tc>
        <w:tc>
          <w:tcPr>
            <w:tcW w:w="152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80" w:type="dxa"/>
            <w:vAlign w:val="bottom"/>
            <w:gridSpan w:val="4"/>
          </w:tcPr>
          <w:p>
            <w:pPr>
              <w:spacing w:after="0"/>
              <w:rPr>
                <w:sz w:val="20"/>
                <w:szCs w:val="20"/>
                <w:color w:val="auto"/>
              </w:rPr>
            </w:pPr>
            <w:r>
              <w:rPr>
                <w:rFonts w:ascii="Arial" w:cs="Arial" w:eastAsia="Arial" w:hAnsi="Arial"/>
                <w:sz w:val="16"/>
                <w:szCs w:val="16"/>
                <w:color w:val="auto"/>
              </w:rPr>
              <w:t>Post-IPO net income attributable to Tradeweb Markets Inc.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55,060</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41,329</w:t>
            </w:r>
          </w:p>
        </w:tc>
        <w:tc>
          <w:tcPr>
            <w:tcW w:w="8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166,296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83,769</w:t>
            </w:r>
          </w:p>
        </w:tc>
        <w:tc>
          <w:tcPr>
            <w:tcW w:w="0" w:type="dxa"/>
            <w:vAlign w:val="bottom"/>
          </w:tcPr>
          <w:p>
            <w:pPr>
              <w:spacing w:after="0"/>
              <w:rPr>
                <w:sz w:val="1"/>
                <w:szCs w:val="1"/>
                <w:color w:val="auto"/>
              </w:rPr>
            </w:pPr>
          </w:p>
        </w:tc>
      </w:tr>
      <w:tr>
        <w:trPr>
          <w:trHeight w:val="170"/>
        </w:trPr>
        <w:tc>
          <w:tcPr>
            <w:tcW w:w="20" w:type="dxa"/>
            <w:vAlign w:val="bottom"/>
            <w:shd w:val="clear" w:color="auto" w:fill="D5DCE4"/>
          </w:tcPr>
          <w:p>
            <w:pPr>
              <w:spacing w:after="0"/>
              <w:rPr>
                <w:sz w:val="14"/>
                <w:szCs w:val="14"/>
                <w:color w:val="auto"/>
              </w:rPr>
            </w:pPr>
          </w:p>
        </w:tc>
        <w:tc>
          <w:tcPr>
            <w:tcW w:w="820" w:type="dxa"/>
            <w:vAlign w:val="bottom"/>
            <w:shd w:val="clear" w:color="auto" w:fill="D5DCE4"/>
          </w:tcPr>
          <w:p>
            <w:pPr>
              <w:spacing w:after="0"/>
              <w:rPr>
                <w:sz w:val="14"/>
                <w:szCs w:val="14"/>
                <w:color w:val="auto"/>
              </w:rPr>
            </w:pPr>
          </w:p>
        </w:tc>
        <w:tc>
          <w:tcPr>
            <w:tcW w:w="160" w:type="dxa"/>
            <w:vAlign w:val="bottom"/>
            <w:shd w:val="clear" w:color="auto" w:fill="D5DCE4"/>
          </w:tcPr>
          <w:p>
            <w:pPr>
              <w:spacing w:after="0"/>
              <w:rPr>
                <w:sz w:val="14"/>
                <w:szCs w:val="14"/>
                <w:color w:val="auto"/>
              </w:rPr>
            </w:pPr>
          </w:p>
        </w:tc>
        <w:tc>
          <w:tcPr>
            <w:tcW w:w="332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360" w:type="dxa"/>
            <w:vAlign w:val="bottom"/>
            <w:shd w:val="clear" w:color="auto" w:fill="D5DCE4"/>
          </w:tcPr>
          <w:p>
            <w:pPr>
              <w:spacing w:after="0"/>
              <w:rPr>
                <w:sz w:val="14"/>
                <w:szCs w:val="14"/>
                <w:color w:val="auto"/>
              </w:rPr>
            </w:pPr>
          </w:p>
        </w:tc>
        <w:tc>
          <w:tcPr>
            <w:tcW w:w="130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380" w:type="dxa"/>
            <w:vAlign w:val="bottom"/>
            <w:shd w:val="clear" w:color="auto" w:fill="D5DCE4"/>
          </w:tcPr>
          <w:p>
            <w:pPr>
              <w:spacing w:after="0"/>
              <w:rPr>
                <w:sz w:val="14"/>
                <w:szCs w:val="14"/>
                <w:color w:val="auto"/>
              </w:rPr>
            </w:pPr>
          </w:p>
        </w:tc>
        <w:tc>
          <w:tcPr>
            <w:tcW w:w="126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380" w:type="dxa"/>
            <w:vAlign w:val="bottom"/>
            <w:shd w:val="clear" w:color="auto" w:fill="D5DCE4"/>
          </w:tcPr>
          <w:p>
            <w:pPr>
              <w:spacing w:after="0"/>
              <w:rPr>
                <w:sz w:val="14"/>
                <w:szCs w:val="14"/>
                <w:color w:val="auto"/>
              </w:rPr>
            </w:pPr>
          </w:p>
        </w:tc>
        <w:tc>
          <w:tcPr>
            <w:tcW w:w="128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120" w:type="dxa"/>
            <w:vAlign w:val="bottom"/>
            <w:shd w:val="clear" w:color="auto" w:fill="D5DCE4"/>
          </w:tcPr>
          <w:p>
            <w:pPr>
              <w:spacing w:after="0"/>
              <w:rPr>
                <w:sz w:val="14"/>
                <w:szCs w:val="14"/>
                <w:color w:val="auto"/>
              </w:rPr>
            </w:pPr>
          </w:p>
        </w:tc>
        <w:tc>
          <w:tcPr>
            <w:tcW w:w="1520" w:type="dxa"/>
            <w:vAlign w:val="bottom"/>
            <w:shd w:val="clear" w:color="auto" w:fill="D5DCE4"/>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38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w:t>
            </w:r>
          </w:p>
        </w:tc>
        <w:tc>
          <w:tcPr>
            <w:tcW w:w="360" w:type="dxa"/>
            <w:vAlign w:val="bottom"/>
            <w:shd w:val="clear" w:color="auto" w:fill="D5DCE4"/>
          </w:tcPr>
          <w:p>
            <w:pPr>
              <w:spacing w:after="0"/>
              <w:rPr>
                <w:sz w:val="14"/>
                <w:szCs w:val="14"/>
                <w:color w:val="auto"/>
              </w:rPr>
            </w:pPr>
          </w:p>
        </w:tc>
        <w:tc>
          <w:tcPr>
            <w:tcW w:w="13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189,795,356</w:t>
            </w:r>
          </w:p>
        </w:tc>
        <w:tc>
          <w:tcPr>
            <w:tcW w:w="80" w:type="dxa"/>
            <w:vAlign w:val="bottom"/>
            <w:shd w:val="clear" w:color="auto" w:fill="D5DCE4"/>
          </w:tcPr>
          <w:p>
            <w:pPr>
              <w:spacing w:after="0"/>
              <w:rPr>
                <w:sz w:val="14"/>
                <w:szCs w:val="14"/>
                <w:color w:val="auto"/>
              </w:rPr>
            </w:pPr>
          </w:p>
        </w:tc>
        <w:tc>
          <w:tcPr>
            <w:tcW w:w="380" w:type="dxa"/>
            <w:vAlign w:val="bottom"/>
            <w:shd w:val="clear" w:color="auto" w:fill="D5DCE4"/>
          </w:tcPr>
          <w:p>
            <w:pPr>
              <w:spacing w:after="0"/>
              <w:rPr>
                <w:sz w:val="14"/>
                <w:szCs w:val="14"/>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157,950,550</w:t>
            </w:r>
          </w:p>
        </w:tc>
        <w:tc>
          <w:tcPr>
            <w:tcW w:w="80" w:type="dxa"/>
            <w:vAlign w:val="bottom"/>
            <w:shd w:val="clear" w:color="auto" w:fill="D5DCE4"/>
          </w:tcPr>
          <w:p>
            <w:pPr>
              <w:spacing w:after="0"/>
              <w:rPr>
                <w:sz w:val="14"/>
                <w:szCs w:val="14"/>
                <w:color w:val="auto"/>
              </w:rPr>
            </w:pPr>
          </w:p>
        </w:tc>
        <w:tc>
          <w:tcPr>
            <w:tcW w:w="380" w:type="dxa"/>
            <w:vAlign w:val="bottom"/>
            <w:shd w:val="clear" w:color="auto" w:fill="D5DCE4"/>
          </w:tcPr>
          <w:p>
            <w:pPr>
              <w:spacing w:after="0"/>
              <w:rPr>
                <w:sz w:val="14"/>
                <w:szCs w:val="14"/>
                <w:color w:val="auto"/>
              </w:rPr>
            </w:pPr>
          </w:p>
        </w:tc>
        <w:tc>
          <w:tcPr>
            <w:tcW w:w="12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180,409,462</w:t>
            </w:r>
          </w:p>
        </w:tc>
        <w:tc>
          <w:tcPr>
            <w:tcW w:w="80" w:type="dxa"/>
            <w:vAlign w:val="bottom"/>
            <w:shd w:val="clear" w:color="auto" w:fill="D5DCE4"/>
          </w:tcPr>
          <w:p>
            <w:pPr>
              <w:spacing w:after="0"/>
              <w:rPr>
                <w:sz w:val="14"/>
                <w:szCs w:val="14"/>
                <w:color w:val="auto"/>
              </w:rPr>
            </w:pPr>
          </w:p>
        </w:tc>
        <w:tc>
          <w:tcPr>
            <w:tcW w:w="120" w:type="dxa"/>
            <w:vAlign w:val="bottom"/>
            <w:shd w:val="clear" w:color="auto" w:fill="D5DCE4"/>
          </w:tcPr>
          <w:p>
            <w:pPr>
              <w:spacing w:after="0"/>
              <w:rPr>
                <w:sz w:val="14"/>
                <w:szCs w:val="14"/>
                <w:color w:val="auto"/>
              </w:rPr>
            </w:pPr>
          </w:p>
        </w:tc>
        <w:tc>
          <w:tcPr>
            <w:tcW w:w="15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148,013,274</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38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stock outstanding - Basic</w:t>
            </w:r>
          </w:p>
        </w:tc>
        <w:tc>
          <w:tcPr>
            <w:tcW w:w="360" w:type="dxa"/>
            <w:vAlign w:val="bottom"/>
            <w:shd w:val="clear" w:color="auto" w:fill="D5DCE4"/>
          </w:tcPr>
          <w:p>
            <w:pPr>
              <w:spacing w:after="0"/>
              <w:rPr>
                <w:sz w:val="18"/>
                <w:szCs w:val="18"/>
                <w:color w:val="auto"/>
              </w:rPr>
            </w:pPr>
          </w:p>
        </w:tc>
        <w:tc>
          <w:tcPr>
            <w:tcW w:w="13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80" w:type="dxa"/>
            <w:vAlign w:val="bottom"/>
            <w:shd w:val="clear" w:color="auto" w:fill="D5DCE4"/>
          </w:tcPr>
          <w:p>
            <w:pPr>
              <w:spacing w:after="0"/>
              <w:rPr>
                <w:sz w:val="18"/>
                <w:szCs w:val="18"/>
                <w:color w:val="auto"/>
              </w:rPr>
            </w:pPr>
          </w:p>
        </w:tc>
        <w:tc>
          <w:tcPr>
            <w:tcW w:w="126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80" w:type="dxa"/>
            <w:vAlign w:val="bottom"/>
            <w:shd w:val="clear" w:color="auto" w:fill="D5DCE4"/>
          </w:tcPr>
          <w:p>
            <w:pPr>
              <w:spacing w:after="0"/>
              <w:rPr>
                <w:sz w:val="18"/>
                <w:szCs w:val="18"/>
                <w:color w:val="auto"/>
              </w:rPr>
            </w:pPr>
          </w:p>
        </w:tc>
        <w:tc>
          <w:tcPr>
            <w:tcW w:w="12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120" w:type="dxa"/>
            <w:vAlign w:val="bottom"/>
            <w:shd w:val="clear" w:color="auto" w:fill="D5DCE4"/>
          </w:tcPr>
          <w:p>
            <w:pPr>
              <w:spacing w:after="0"/>
              <w:rPr>
                <w:sz w:val="18"/>
                <w:szCs w:val="18"/>
                <w:color w:val="auto"/>
              </w:rPr>
            </w:pPr>
          </w:p>
        </w:tc>
        <w:tc>
          <w:tcPr>
            <w:tcW w:w="152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80" w:type="dxa"/>
            <w:vAlign w:val="bottom"/>
            <w:gridSpan w:val="4"/>
          </w:tcPr>
          <w:p>
            <w:pPr>
              <w:ind w:left="120"/>
              <w:spacing w:after="0"/>
              <w:rPr>
                <w:sz w:val="20"/>
                <w:szCs w:val="20"/>
                <w:color w:val="auto"/>
              </w:rPr>
            </w:pPr>
            <w:r>
              <w:rPr>
                <w:rFonts w:ascii="Arial" w:cs="Arial" w:eastAsia="Arial" w:hAnsi="Arial"/>
                <w:sz w:val="16"/>
                <w:szCs w:val="16"/>
                <w:color w:val="auto"/>
              </w:rPr>
              <w:t>Dilutive effect of equity-settled PRSUs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2,776,023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2,675,831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2,472,801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2,464,137</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38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60" w:type="dxa"/>
            <w:vAlign w:val="bottom"/>
            <w:shd w:val="clear" w:color="auto" w:fill="D5DCE4"/>
          </w:tcPr>
          <w:p>
            <w:pPr>
              <w:spacing w:after="0"/>
              <w:rPr>
                <w:sz w:val="21"/>
                <w:szCs w:val="21"/>
                <w:color w:val="auto"/>
              </w:rPr>
            </w:pPr>
          </w:p>
        </w:tc>
        <w:tc>
          <w:tcPr>
            <w:tcW w:w="13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4,924,119</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6,442,860</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5,179,109</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6,062,835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249,799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161,660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20" w:type="dxa"/>
            <w:vAlign w:val="bottom"/>
            <w:tcBorders>
              <w:top w:val="single" w:sz="8" w:color="D5DCE4"/>
            </w:tcBorders>
            <w:shd w:val="clear" w:color="auto" w:fill="D5DCE4"/>
          </w:tcPr>
          <w:p>
            <w:pPr>
              <w:spacing w:after="0"/>
              <w:rPr>
                <w:sz w:val="12"/>
                <w:szCs w:val="12"/>
                <w:color w:val="auto"/>
              </w:rPr>
            </w:pPr>
          </w:p>
        </w:tc>
        <w:tc>
          <w:tcPr>
            <w:tcW w:w="4380" w:type="dxa"/>
            <w:vAlign w:val="bottom"/>
            <w:tcBorders>
              <w:top w:val="single" w:sz="8" w:color="D5DCE4"/>
            </w:tcBorders>
            <w:gridSpan w:val="4"/>
            <w:shd w:val="clear" w:color="auto" w:fill="D5DCE4"/>
          </w:tcPr>
          <w:p>
            <w:pPr>
              <w:spacing w:after="0" w:line="148" w:lineRule="exact"/>
              <w:rPr>
                <w:sz w:val="20"/>
                <w:szCs w:val="20"/>
                <w:color w:val="auto"/>
              </w:rPr>
            </w:pPr>
            <w:r>
              <w:rPr>
                <w:rFonts w:ascii="Arial" w:cs="Arial" w:eastAsia="Arial" w:hAnsi="Arial"/>
                <w:sz w:val="16"/>
                <w:szCs w:val="16"/>
                <w:color w:val="auto"/>
              </w:rPr>
              <w:t>Weighted average shares of Class A and Class B common</w:t>
            </w:r>
          </w:p>
        </w:tc>
        <w:tc>
          <w:tcPr>
            <w:tcW w:w="360" w:type="dxa"/>
            <w:vAlign w:val="bottom"/>
            <w:tcBorders>
              <w:top w:val="single" w:sz="8" w:color="auto"/>
            </w:tcBorders>
            <w:shd w:val="clear" w:color="auto" w:fill="D5DCE4"/>
          </w:tcPr>
          <w:p>
            <w:pPr>
              <w:spacing w:after="0"/>
              <w:rPr>
                <w:sz w:val="12"/>
                <w:szCs w:val="12"/>
                <w:color w:val="auto"/>
              </w:rPr>
            </w:pPr>
          </w:p>
        </w:tc>
        <w:tc>
          <w:tcPr>
            <w:tcW w:w="1300" w:type="dxa"/>
            <w:vAlign w:val="bottom"/>
            <w:tcBorders>
              <w:top w:val="single" w:sz="8" w:color="auto"/>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197,745,297</w:t>
            </w:r>
          </w:p>
        </w:tc>
        <w:tc>
          <w:tcPr>
            <w:tcW w:w="80" w:type="dxa"/>
            <w:vAlign w:val="bottom"/>
            <w:tcBorders>
              <w:top w:val="single" w:sz="8" w:color="D5DCE4"/>
            </w:tcBorders>
            <w:shd w:val="clear" w:color="auto" w:fill="D5DCE4"/>
          </w:tcPr>
          <w:p>
            <w:pPr>
              <w:spacing w:after="0"/>
              <w:rPr>
                <w:sz w:val="12"/>
                <w:szCs w:val="12"/>
                <w:color w:val="auto"/>
              </w:rPr>
            </w:pPr>
          </w:p>
        </w:tc>
        <w:tc>
          <w:tcPr>
            <w:tcW w:w="380" w:type="dxa"/>
            <w:vAlign w:val="bottom"/>
            <w:tcBorders>
              <w:top w:val="single" w:sz="8" w:color="auto"/>
            </w:tcBorders>
            <w:shd w:val="clear" w:color="auto" w:fill="D5DCE4"/>
          </w:tcPr>
          <w:p>
            <w:pPr>
              <w:spacing w:after="0"/>
              <w:rPr>
                <w:sz w:val="12"/>
                <w:szCs w:val="12"/>
                <w:color w:val="auto"/>
              </w:rPr>
            </w:pPr>
          </w:p>
        </w:tc>
        <w:tc>
          <w:tcPr>
            <w:tcW w:w="1260" w:type="dxa"/>
            <w:vAlign w:val="bottom"/>
            <w:tcBorders>
              <w:top w:val="single" w:sz="8" w:color="auto"/>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167,069,241</w:t>
            </w:r>
          </w:p>
        </w:tc>
        <w:tc>
          <w:tcPr>
            <w:tcW w:w="80" w:type="dxa"/>
            <w:vAlign w:val="bottom"/>
            <w:tcBorders>
              <w:top w:val="single" w:sz="8" w:color="D5DCE4"/>
            </w:tcBorders>
            <w:shd w:val="clear" w:color="auto" w:fill="D5DCE4"/>
          </w:tcPr>
          <w:p>
            <w:pPr>
              <w:spacing w:after="0"/>
              <w:rPr>
                <w:sz w:val="12"/>
                <w:szCs w:val="12"/>
                <w:color w:val="auto"/>
              </w:rPr>
            </w:pPr>
          </w:p>
        </w:tc>
        <w:tc>
          <w:tcPr>
            <w:tcW w:w="380" w:type="dxa"/>
            <w:vAlign w:val="bottom"/>
            <w:tcBorders>
              <w:top w:val="single" w:sz="8" w:color="auto"/>
            </w:tcBorders>
            <w:shd w:val="clear" w:color="auto" w:fill="D5DCE4"/>
          </w:tcPr>
          <w:p>
            <w:pPr>
              <w:spacing w:after="0"/>
              <w:rPr>
                <w:sz w:val="12"/>
                <w:szCs w:val="12"/>
                <w:color w:val="auto"/>
              </w:rPr>
            </w:pPr>
          </w:p>
        </w:tc>
        <w:tc>
          <w:tcPr>
            <w:tcW w:w="1280" w:type="dxa"/>
            <w:vAlign w:val="bottom"/>
            <w:tcBorders>
              <w:top w:val="single" w:sz="8" w:color="auto"/>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188,223,032</w:t>
            </w:r>
          </w:p>
        </w:tc>
        <w:tc>
          <w:tcPr>
            <w:tcW w:w="80" w:type="dxa"/>
            <w:vAlign w:val="bottom"/>
            <w:tcBorders>
              <w:top w:val="single" w:sz="8" w:color="D5DCE4"/>
            </w:tcBorders>
            <w:shd w:val="clear" w:color="auto" w:fill="D5DCE4"/>
          </w:tcPr>
          <w:p>
            <w:pPr>
              <w:spacing w:after="0"/>
              <w:rPr>
                <w:sz w:val="12"/>
                <w:szCs w:val="12"/>
                <w:color w:val="auto"/>
              </w:rPr>
            </w:pPr>
          </w:p>
        </w:tc>
        <w:tc>
          <w:tcPr>
            <w:tcW w:w="120" w:type="dxa"/>
            <w:vAlign w:val="bottom"/>
            <w:tcBorders>
              <w:top w:val="single" w:sz="8" w:color="auto"/>
            </w:tcBorders>
            <w:shd w:val="clear" w:color="auto" w:fill="D5DCE4"/>
          </w:tcPr>
          <w:p>
            <w:pPr>
              <w:spacing w:after="0"/>
              <w:rPr>
                <w:sz w:val="12"/>
                <w:szCs w:val="12"/>
                <w:color w:val="auto"/>
              </w:rPr>
            </w:pPr>
          </w:p>
        </w:tc>
        <w:tc>
          <w:tcPr>
            <w:tcW w:w="1520" w:type="dxa"/>
            <w:vAlign w:val="bottom"/>
            <w:tcBorders>
              <w:top w:val="single" w:sz="8" w:color="auto"/>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156,540,246</w:t>
            </w:r>
          </w:p>
        </w:tc>
        <w:tc>
          <w:tcPr>
            <w:tcW w:w="0" w:type="dxa"/>
            <w:vAlign w:val="bottom"/>
          </w:tcPr>
          <w:p>
            <w:pPr>
              <w:spacing w:after="0"/>
              <w:rPr>
                <w:sz w:val="1"/>
                <w:szCs w:val="1"/>
                <w:color w:val="auto"/>
              </w:rPr>
            </w:pPr>
          </w:p>
        </w:tc>
      </w:tr>
      <w:tr>
        <w:trPr>
          <w:trHeight w:val="209"/>
        </w:trPr>
        <w:tc>
          <w:tcPr>
            <w:tcW w:w="20" w:type="dxa"/>
            <w:vAlign w:val="bottom"/>
            <w:tcBorders>
              <w:bottom w:val="single" w:sz="8" w:color="D5DCE4"/>
            </w:tcBorders>
            <w:shd w:val="clear" w:color="auto" w:fill="D5DCE4"/>
          </w:tcPr>
          <w:p>
            <w:pPr>
              <w:spacing w:after="0"/>
              <w:rPr>
                <w:sz w:val="18"/>
                <w:szCs w:val="18"/>
                <w:color w:val="auto"/>
              </w:rPr>
            </w:pPr>
          </w:p>
        </w:tc>
        <w:tc>
          <w:tcPr>
            <w:tcW w:w="438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stock outstanding - Diluted</w:t>
            </w:r>
          </w:p>
        </w:tc>
        <w:tc>
          <w:tcPr>
            <w:tcW w:w="360" w:type="dxa"/>
            <w:vAlign w:val="bottom"/>
            <w:tcBorders>
              <w:bottom w:val="single" w:sz="8" w:color="auto"/>
            </w:tcBorders>
            <w:shd w:val="clear" w:color="auto" w:fill="D5DCE4"/>
          </w:tcPr>
          <w:p>
            <w:pPr>
              <w:spacing w:after="0"/>
              <w:rPr>
                <w:sz w:val="18"/>
                <w:szCs w:val="18"/>
                <w:color w:val="auto"/>
              </w:rPr>
            </w:pPr>
          </w:p>
        </w:tc>
        <w:tc>
          <w:tcPr>
            <w:tcW w:w="130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380" w:type="dxa"/>
            <w:vAlign w:val="bottom"/>
            <w:tcBorders>
              <w:bottom w:val="single" w:sz="8" w:color="auto"/>
            </w:tcBorders>
            <w:shd w:val="clear" w:color="auto" w:fill="D5DCE4"/>
          </w:tcPr>
          <w:p>
            <w:pPr>
              <w:spacing w:after="0"/>
              <w:rPr>
                <w:sz w:val="18"/>
                <w:szCs w:val="18"/>
                <w:color w:val="auto"/>
              </w:rPr>
            </w:pPr>
          </w:p>
        </w:tc>
        <w:tc>
          <w:tcPr>
            <w:tcW w:w="126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380" w:type="dxa"/>
            <w:vAlign w:val="bottom"/>
            <w:tcBorders>
              <w:bottom w:val="single" w:sz="8" w:color="auto"/>
            </w:tcBorders>
            <w:shd w:val="clear" w:color="auto" w:fill="D5DCE4"/>
          </w:tcPr>
          <w:p>
            <w:pPr>
              <w:spacing w:after="0"/>
              <w:rPr>
                <w:sz w:val="18"/>
                <w:szCs w:val="18"/>
                <w:color w:val="auto"/>
              </w:rPr>
            </w:pPr>
          </w:p>
        </w:tc>
        <w:tc>
          <w:tcPr>
            <w:tcW w:w="128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120" w:type="dxa"/>
            <w:vAlign w:val="bottom"/>
            <w:tcBorders>
              <w:bottom w:val="single" w:sz="8" w:color="auto"/>
            </w:tcBorders>
            <w:shd w:val="clear" w:color="auto" w:fill="D5DCE4"/>
          </w:tcPr>
          <w:p>
            <w:pPr>
              <w:spacing w:after="0"/>
              <w:rPr>
                <w:sz w:val="18"/>
                <w:szCs w:val="18"/>
                <w:color w:val="auto"/>
              </w:rPr>
            </w:pPr>
          </w:p>
        </w:tc>
        <w:tc>
          <w:tcPr>
            <w:tcW w:w="1520" w:type="dxa"/>
            <w:vAlign w:val="bottom"/>
            <w:tcBorders>
              <w:bottom w:val="single" w:sz="8" w:color="auto"/>
            </w:tcBorders>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3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3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bottom w:val="single" w:sz="8" w:color="auto"/>
            </w:tcBorders>
          </w:tcPr>
          <w:p>
            <w:pPr>
              <w:spacing w:after="0" w:line="20" w:lineRule="exact"/>
              <w:rPr>
                <w:sz w:val="1"/>
                <w:szCs w:val="1"/>
                <w:color w:val="auto"/>
              </w:rPr>
            </w:pPr>
          </w:p>
        </w:tc>
        <w:tc>
          <w:tcPr>
            <w:tcW w:w="12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15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38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360" w:type="dxa"/>
            <w:vAlign w:val="bottom"/>
            <w:tcBorders>
              <w:bottom w:val="single" w:sz="8" w:color="auto"/>
            </w:tcBorders>
            <w:shd w:val="clear" w:color="auto" w:fill="D5DCE4"/>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0.29</w:t>
            </w: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auto"/>
            </w:tcBorders>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0.26</w:t>
            </w: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0.92</w:t>
            </w:r>
          </w:p>
        </w:tc>
        <w:tc>
          <w:tcPr>
            <w:tcW w:w="80" w:type="dxa"/>
            <w:vAlign w:val="bottom"/>
            <w:tcBorders>
              <w:bottom w:val="single" w:sz="8" w:color="D5DCE4"/>
            </w:tcBorders>
            <w:shd w:val="clear" w:color="auto" w:fill="D5DCE4"/>
          </w:tcPr>
          <w:p>
            <w:pPr>
              <w:spacing w:after="0"/>
              <w:rPr>
                <w:sz w:val="22"/>
                <w:szCs w:val="22"/>
                <w:color w:val="auto"/>
              </w:rPr>
            </w:pPr>
          </w:p>
        </w:tc>
        <w:tc>
          <w:tcPr>
            <w:tcW w:w="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400" w:type="dxa"/>
            <w:vAlign w:val="bottom"/>
            <w:tcBorders>
              <w:top w:val="single" w:sz="8" w:color="D5DCE4"/>
            </w:tcBorders>
            <w:gridSpan w:val="2"/>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3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bottom w:val="single" w:sz="8" w:color="auto"/>
            </w:tcBorders>
          </w:tcPr>
          <w:p>
            <w:pPr>
              <w:spacing w:after="0" w:line="20" w:lineRule="exact"/>
              <w:rPr>
                <w:sz w:val="1"/>
                <w:szCs w:val="1"/>
                <w:color w:val="auto"/>
              </w:rPr>
            </w:pPr>
          </w:p>
        </w:tc>
        <w:tc>
          <w:tcPr>
            <w:tcW w:w="12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15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380" w:type="dxa"/>
            <w:vAlign w:val="bottom"/>
            <w:gridSpan w:val="4"/>
          </w:tcPr>
          <w:p>
            <w:pPr>
              <w:spacing w:after="0"/>
              <w:rPr>
                <w:sz w:val="20"/>
                <w:szCs w:val="20"/>
                <w:color w:val="auto"/>
              </w:rPr>
            </w:pPr>
            <w:r>
              <w:rPr>
                <w:rFonts w:ascii="Arial" w:cs="Arial" w:eastAsia="Arial" w:hAnsi="Arial"/>
                <w:sz w:val="16"/>
                <w:szCs w:val="16"/>
                <w:b w:val="1"/>
                <w:bCs w:val="1"/>
                <w:color w:val="auto"/>
              </w:rPr>
              <w:t>EPS: Pre-IPO net income attributable to Tradeweb</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gridSpan w:val="4"/>
          </w:tcPr>
          <w:p>
            <w:pPr>
              <w:spacing w:after="0" w:line="236" w:lineRule="exact"/>
              <w:rPr>
                <w:sz w:val="20"/>
                <w:szCs w:val="20"/>
                <w:color w:val="auto"/>
              </w:rPr>
            </w:pPr>
            <w:r>
              <w:rPr>
                <w:rFonts w:ascii="Arial" w:cs="Arial" w:eastAsia="Arial" w:hAnsi="Arial"/>
                <w:sz w:val="16"/>
                <w:szCs w:val="16"/>
                <w:b w:val="1"/>
                <w:bCs w:val="1"/>
                <w:color w:val="auto"/>
              </w:rPr>
              <w:t>Markets LLC</w:t>
            </w:r>
            <w:r>
              <w:rPr>
                <w:rFonts w:ascii="Arial" w:cs="Arial" w:eastAsia="Arial" w:hAnsi="Arial"/>
                <w:sz w:val="21"/>
                <w:szCs w:val="21"/>
                <w:b w:val="1"/>
                <w:bCs w:val="1"/>
                <w:color w:val="auto"/>
                <w:vertAlign w:val="superscript"/>
              </w:rPr>
              <w:t>(1)</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rPr>
              <w:t>except share and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 share amounts)</w:t>
            </w: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3560" w:type="dxa"/>
            <w:vAlign w:val="bottom"/>
            <w:tcBorders>
              <w:bottom w:val="single" w:sz="8" w:color="D5DCE4"/>
            </w:tcBorders>
            <w:gridSpan w:val="3"/>
            <w:shd w:val="clear" w:color="auto" w:fill="D5DCE4"/>
          </w:tcPr>
          <w:p>
            <w:pPr>
              <w:spacing w:after="0"/>
              <w:rPr>
                <w:sz w:val="19"/>
                <w:szCs w:val="19"/>
                <w:color w:val="auto"/>
              </w:rPr>
            </w:pPr>
          </w:p>
        </w:tc>
        <w:tc>
          <w:tcPr>
            <w:tcW w:w="360" w:type="dxa"/>
            <w:vAlign w:val="bottom"/>
            <w:tcBorders>
              <w:bottom w:val="single" w:sz="8" w:color="D5DCE4"/>
            </w:tcBorders>
            <w:shd w:val="clear" w:color="auto" w:fill="D5DCE4"/>
          </w:tcPr>
          <w:p>
            <w:pPr>
              <w:spacing w:after="0"/>
              <w:rPr>
                <w:sz w:val="19"/>
                <w:szCs w:val="19"/>
                <w:color w:val="auto"/>
              </w:rPr>
            </w:pPr>
          </w:p>
        </w:tc>
        <w:tc>
          <w:tcPr>
            <w:tcW w:w="13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80" w:type="dxa"/>
            <w:vAlign w:val="bottom"/>
            <w:tcBorders>
              <w:bottom w:val="single" w:sz="8" w:color="D5DCE4"/>
            </w:tcBorders>
            <w:shd w:val="clear" w:color="auto" w:fill="D5DCE4"/>
          </w:tcPr>
          <w:p>
            <w:pPr>
              <w:spacing w:after="0"/>
              <w:rPr>
                <w:sz w:val="19"/>
                <w:szCs w:val="19"/>
                <w:color w:val="auto"/>
              </w:rPr>
            </w:pPr>
          </w:p>
        </w:tc>
        <w:tc>
          <w:tcPr>
            <w:tcW w:w="126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80" w:type="dxa"/>
            <w:vAlign w:val="bottom"/>
            <w:tcBorders>
              <w:bottom w:val="single" w:sz="8" w:color="D5DCE4"/>
            </w:tcBorders>
            <w:shd w:val="clear" w:color="auto" w:fill="D5DCE4"/>
          </w:tcPr>
          <w:p>
            <w:pPr>
              <w:spacing w:after="0"/>
              <w:rPr>
                <w:sz w:val="19"/>
                <w:szCs w:val="19"/>
                <w:color w:val="auto"/>
              </w:rPr>
            </w:pPr>
          </w:p>
        </w:tc>
        <w:tc>
          <w:tcPr>
            <w:tcW w:w="12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120" w:type="dxa"/>
            <w:vAlign w:val="bottom"/>
            <w:tcBorders>
              <w:bottom w:val="single" w:sz="8" w:color="D5DCE4"/>
            </w:tcBorders>
            <w:shd w:val="clear" w:color="auto" w:fill="D5DCE4"/>
          </w:tcPr>
          <w:p>
            <w:pPr>
              <w:spacing w:after="0"/>
              <w:rPr>
                <w:sz w:val="19"/>
                <w:szCs w:val="19"/>
                <w:color w:val="auto"/>
              </w:rPr>
            </w:pPr>
          </w:p>
        </w:tc>
        <w:tc>
          <w:tcPr>
            <w:tcW w:w="152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80" w:type="dxa"/>
            <w:vAlign w:val="bottom"/>
            <w:gridSpan w:val="4"/>
          </w:tcPr>
          <w:p>
            <w:pPr>
              <w:spacing w:after="0"/>
              <w:rPr>
                <w:sz w:val="20"/>
                <w:szCs w:val="20"/>
                <w:color w:val="auto"/>
              </w:rPr>
            </w:pPr>
            <w:r>
              <w:rPr>
                <w:rFonts w:ascii="Arial" w:cs="Arial" w:eastAsia="Arial" w:hAnsi="Arial"/>
                <w:sz w:val="16"/>
                <w:szCs w:val="16"/>
                <w:color w:val="auto"/>
              </w:rPr>
              <w:t>Pre-IPO net income attributable to Tradeweb Markets LLC</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42,352</w:t>
            </w:r>
          </w:p>
        </w:tc>
        <w:tc>
          <w:tcPr>
            <w:tcW w:w="0" w:type="dxa"/>
            <w:vAlign w:val="bottom"/>
          </w:tcPr>
          <w:p>
            <w:pPr>
              <w:spacing w:after="0"/>
              <w:rPr>
                <w:sz w:val="1"/>
                <w:szCs w:val="1"/>
                <w:color w:val="auto"/>
              </w:rPr>
            </w:pPr>
          </w:p>
        </w:tc>
      </w:tr>
      <w:tr>
        <w:trPr>
          <w:trHeight w:val="170"/>
        </w:trPr>
        <w:tc>
          <w:tcPr>
            <w:tcW w:w="20" w:type="dxa"/>
            <w:vAlign w:val="bottom"/>
            <w:shd w:val="clear" w:color="auto" w:fill="D5DCE4"/>
          </w:tcPr>
          <w:p>
            <w:pPr>
              <w:spacing w:after="0"/>
              <w:rPr>
                <w:sz w:val="14"/>
                <w:szCs w:val="14"/>
                <w:color w:val="auto"/>
              </w:rPr>
            </w:pPr>
          </w:p>
        </w:tc>
        <w:tc>
          <w:tcPr>
            <w:tcW w:w="820" w:type="dxa"/>
            <w:vAlign w:val="bottom"/>
            <w:shd w:val="clear" w:color="auto" w:fill="D5DCE4"/>
          </w:tcPr>
          <w:p>
            <w:pPr>
              <w:spacing w:after="0"/>
              <w:rPr>
                <w:sz w:val="14"/>
                <w:szCs w:val="14"/>
                <w:color w:val="auto"/>
              </w:rPr>
            </w:pPr>
          </w:p>
        </w:tc>
        <w:tc>
          <w:tcPr>
            <w:tcW w:w="160" w:type="dxa"/>
            <w:vAlign w:val="bottom"/>
            <w:shd w:val="clear" w:color="auto" w:fill="D5DCE4"/>
          </w:tcPr>
          <w:p>
            <w:pPr>
              <w:spacing w:after="0"/>
              <w:rPr>
                <w:sz w:val="14"/>
                <w:szCs w:val="14"/>
                <w:color w:val="auto"/>
              </w:rPr>
            </w:pPr>
          </w:p>
        </w:tc>
        <w:tc>
          <w:tcPr>
            <w:tcW w:w="332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360" w:type="dxa"/>
            <w:vAlign w:val="bottom"/>
            <w:shd w:val="clear" w:color="auto" w:fill="D5DCE4"/>
          </w:tcPr>
          <w:p>
            <w:pPr>
              <w:spacing w:after="0"/>
              <w:rPr>
                <w:sz w:val="14"/>
                <w:szCs w:val="14"/>
                <w:color w:val="auto"/>
              </w:rPr>
            </w:pPr>
          </w:p>
        </w:tc>
        <w:tc>
          <w:tcPr>
            <w:tcW w:w="130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380" w:type="dxa"/>
            <w:vAlign w:val="bottom"/>
            <w:shd w:val="clear" w:color="auto" w:fill="D5DCE4"/>
          </w:tcPr>
          <w:p>
            <w:pPr>
              <w:spacing w:after="0"/>
              <w:rPr>
                <w:sz w:val="14"/>
                <w:szCs w:val="14"/>
                <w:color w:val="auto"/>
              </w:rPr>
            </w:pPr>
          </w:p>
        </w:tc>
        <w:tc>
          <w:tcPr>
            <w:tcW w:w="126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380" w:type="dxa"/>
            <w:vAlign w:val="bottom"/>
            <w:shd w:val="clear" w:color="auto" w:fill="D5DCE4"/>
          </w:tcPr>
          <w:p>
            <w:pPr>
              <w:spacing w:after="0"/>
              <w:rPr>
                <w:sz w:val="14"/>
                <w:szCs w:val="14"/>
                <w:color w:val="auto"/>
              </w:rPr>
            </w:pPr>
          </w:p>
        </w:tc>
        <w:tc>
          <w:tcPr>
            <w:tcW w:w="128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120" w:type="dxa"/>
            <w:vAlign w:val="bottom"/>
            <w:shd w:val="clear" w:color="auto" w:fill="D5DCE4"/>
          </w:tcPr>
          <w:p>
            <w:pPr>
              <w:spacing w:after="0"/>
              <w:rPr>
                <w:sz w:val="14"/>
                <w:szCs w:val="14"/>
                <w:color w:val="auto"/>
              </w:rPr>
            </w:pPr>
          </w:p>
        </w:tc>
        <w:tc>
          <w:tcPr>
            <w:tcW w:w="1520" w:type="dxa"/>
            <w:vAlign w:val="bottom"/>
            <w:shd w:val="clear" w:color="auto" w:fill="D5DCE4"/>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D5DCE4"/>
          </w:tcPr>
          <w:p>
            <w:pPr>
              <w:spacing w:after="0"/>
              <w:rPr>
                <w:sz w:val="21"/>
                <w:szCs w:val="21"/>
                <w:color w:val="auto"/>
              </w:rPr>
            </w:pPr>
          </w:p>
        </w:tc>
        <w:tc>
          <w:tcPr>
            <w:tcW w:w="438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Weighted average LLC Interests outstanding - Basic</w:t>
            </w:r>
          </w:p>
        </w:tc>
        <w:tc>
          <w:tcPr>
            <w:tcW w:w="360" w:type="dxa"/>
            <w:vAlign w:val="bottom"/>
            <w:shd w:val="clear" w:color="auto" w:fill="D5DCE4"/>
          </w:tcPr>
          <w:p>
            <w:pPr>
              <w:spacing w:after="0"/>
              <w:rPr>
                <w:sz w:val="21"/>
                <w:szCs w:val="21"/>
                <w:color w:val="auto"/>
              </w:rPr>
            </w:pPr>
          </w:p>
        </w:tc>
        <w:tc>
          <w:tcPr>
            <w:tcW w:w="13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12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222,222,197</w:t>
            </w:r>
          </w:p>
        </w:tc>
        <w:tc>
          <w:tcPr>
            <w:tcW w:w="0" w:type="dxa"/>
            <w:vAlign w:val="bottom"/>
          </w:tcPr>
          <w:p>
            <w:pPr>
              <w:spacing w:after="0"/>
              <w:rPr>
                <w:sz w:val="1"/>
                <w:szCs w:val="1"/>
                <w:color w:val="auto"/>
              </w:rPr>
            </w:pPr>
          </w:p>
        </w:tc>
      </w:tr>
      <w:tr>
        <w:trPr>
          <w:trHeight w:val="236"/>
        </w:trPr>
        <w:tc>
          <w:tcPr>
            <w:tcW w:w="20" w:type="dxa"/>
            <w:vAlign w:val="bottom"/>
            <w:tcBorders>
              <w:bottom w:val="single" w:sz="8" w:color="D5DCE4"/>
            </w:tcBorders>
          </w:tcPr>
          <w:p>
            <w:pPr>
              <w:spacing w:after="0"/>
              <w:rPr>
                <w:sz w:val="20"/>
                <w:szCs w:val="20"/>
                <w:color w:val="auto"/>
              </w:rPr>
            </w:pPr>
          </w:p>
        </w:tc>
        <w:tc>
          <w:tcPr>
            <w:tcW w:w="4380" w:type="dxa"/>
            <w:vAlign w:val="bottom"/>
            <w:tcBorders>
              <w:bottom w:val="single" w:sz="8" w:color="D5DCE4"/>
            </w:tcBorders>
            <w:gridSpan w:val="4"/>
          </w:tcPr>
          <w:p>
            <w:pPr>
              <w:spacing w:after="0"/>
              <w:rPr>
                <w:sz w:val="20"/>
                <w:szCs w:val="20"/>
                <w:color w:val="auto"/>
              </w:rPr>
            </w:pPr>
            <w:r>
              <w:rPr>
                <w:rFonts w:ascii="Arial" w:cs="Arial" w:eastAsia="Arial" w:hAnsi="Arial"/>
                <w:sz w:val="16"/>
                <w:szCs w:val="16"/>
                <w:color w:val="auto"/>
              </w:rPr>
              <w:t>Dilutive effect of equity-settled PRSUs</w:t>
            </w:r>
          </w:p>
        </w:tc>
        <w:tc>
          <w:tcPr>
            <w:tcW w:w="360" w:type="dxa"/>
            <w:vAlign w:val="bottom"/>
            <w:tcBorders>
              <w:bottom w:val="single" w:sz="8" w:color="D5DCE4"/>
            </w:tcBorders>
          </w:tcPr>
          <w:p>
            <w:pPr>
              <w:spacing w:after="0"/>
              <w:rPr>
                <w:sz w:val="20"/>
                <w:szCs w:val="20"/>
                <w:color w:val="auto"/>
              </w:rPr>
            </w:pPr>
          </w:p>
        </w:tc>
        <w:tc>
          <w:tcPr>
            <w:tcW w:w="130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380" w:type="dxa"/>
            <w:vAlign w:val="bottom"/>
            <w:tcBorders>
              <w:bottom w:val="single" w:sz="8" w:color="D5DCE4"/>
            </w:tcBorders>
          </w:tcPr>
          <w:p>
            <w:pPr>
              <w:spacing w:after="0"/>
              <w:rPr>
                <w:sz w:val="20"/>
                <w:szCs w:val="20"/>
                <w:color w:val="auto"/>
              </w:rPr>
            </w:pPr>
          </w:p>
        </w:tc>
        <w:tc>
          <w:tcPr>
            <w:tcW w:w="126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380" w:type="dxa"/>
            <w:vAlign w:val="bottom"/>
            <w:tcBorders>
              <w:bottom w:val="single" w:sz="8" w:color="D5DCE4"/>
            </w:tcBorders>
          </w:tcPr>
          <w:p>
            <w:pPr>
              <w:spacing w:after="0"/>
              <w:rPr>
                <w:sz w:val="20"/>
                <w:szCs w:val="20"/>
                <w:color w:val="auto"/>
              </w:rPr>
            </w:pPr>
          </w:p>
        </w:tc>
        <w:tc>
          <w:tcPr>
            <w:tcW w:w="128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1,098,260</w:t>
            </w: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38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Weighted average LLC Interests outstanding - Diluted</w:t>
            </w:r>
          </w:p>
        </w:tc>
        <w:tc>
          <w:tcPr>
            <w:tcW w:w="360" w:type="dxa"/>
            <w:vAlign w:val="bottom"/>
            <w:tcBorders>
              <w:bottom w:val="single" w:sz="8" w:color="D5DCE4"/>
            </w:tcBorders>
            <w:shd w:val="clear" w:color="auto" w:fill="D5DCE4"/>
          </w:tcPr>
          <w:p>
            <w:pPr>
              <w:spacing w:after="0"/>
              <w:rPr>
                <w:sz w:val="22"/>
                <w:szCs w:val="22"/>
                <w:color w:val="auto"/>
              </w:rPr>
            </w:pPr>
          </w:p>
        </w:tc>
        <w:tc>
          <w:tcPr>
            <w:tcW w:w="1300" w:type="dxa"/>
            <w:vAlign w:val="bottom"/>
            <w:tcBorders>
              <w:bottom w:val="single" w:sz="8" w:color="D5DCE4"/>
            </w:tcBorders>
            <w:shd w:val="clear" w:color="auto" w:fill="D5DCE4"/>
          </w:tcPr>
          <w:p>
            <w:pPr>
              <w:spacing w:after="0"/>
              <w:rPr>
                <w:sz w:val="22"/>
                <w:szCs w:val="22"/>
                <w:color w:val="auto"/>
              </w:rPr>
            </w:pP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D5DCE4"/>
            </w:tcBorders>
            <w:shd w:val="clear" w:color="auto" w:fill="D5DCE4"/>
          </w:tcPr>
          <w:p>
            <w:pPr>
              <w:spacing w:after="0"/>
              <w:rPr>
                <w:sz w:val="22"/>
                <w:szCs w:val="22"/>
                <w:color w:val="auto"/>
              </w:rPr>
            </w:pPr>
          </w:p>
        </w:tc>
        <w:tc>
          <w:tcPr>
            <w:tcW w:w="1260" w:type="dxa"/>
            <w:vAlign w:val="bottom"/>
            <w:tcBorders>
              <w:bottom w:val="single" w:sz="8" w:color="D5DCE4"/>
            </w:tcBorders>
            <w:shd w:val="clear" w:color="auto" w:fill="D5DCE4"/>
          </w:tcPr>
          <w:p>
            <w:pPr>
              <w:spacing w:after="0"/>
              <w:rPr>
                <w:sz w:val="22"/>
                <w:szCs w:val="22"/>
                <w:color w:val="auto"/>
              </w:rPr>
            </w:pP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D5DCE4"/>
            </w:tcBorders>
            <w:shd w:val="clear" w:color="auto" w:fill="D5DCE4"/>
          </w:tcPr>
          <w:p>
            <w:pPr>
              <w:spacing w:after="0"/>
              <w:rPr>
                <w:sz w:val="22"/>
                <w:szCs w:val="22"/>
                <w:color w:val="auto"/>
              </w:rPr>
            </w:pPr>
          </w:p>
        </w:tc>
        <w:tc>
          <w:tcPr>
            <w:tcW w:w="1280" w:type="dxa"/>
            <w:vAlign w:val="bottom"/>
            <w:tcBorders>
              <w:bottom w:val="single" w:sz="8" w:color="D5DCE4"/>
            </w:tcBorders>
            <w:shd w:val="clear" w:color="auto" w:fill="D5DCE4"/>
          </w:tcPr>
          <w:p>
            <w:pPr>
              <w:spacing w:after="0"/>
              <w:rPr>
                <w:sz w:val="22"/>
                <w:szCs w:val="22"/>
                <w:color w:val="auto"/>
              </w:rPr>
            </w:pPr>
          </w:p>
        </w:tc>
        <w:tc>
          <w:tcPr>
            <w:tcW w:w="80" w:type="dxa"/>
            <w:vAlign w:val="bottom"/>
            <w:tcBorders>
              <w:bottom w:val="single" w:sz="8" w:color="D5DCE4"/>
            </w:tcBorders>
            <w:shd w:val="clear" w:color="auto" w:fill="D5DCE4"/>
          </w:tcPr>
          <w:p>
            <w:pPr>
              <w:spacing w:after="0"/>
              <w:rPr>
                <w:sz w:val="22"/>
                <w:szCs w:val="22"/>
                <w:color w:val="auto"/>
              </w:rPr>
            </w:pPr>
          </w:p>
        </w:tc>
        <w:tc>
          <w:tcPr>
            <w:tcW w:w="120" w:type="dxa"/>
            <w:vAlign w:val="bottom"/>
            <w:tcBorders>
              <w:bottom w:val="single" w:sz="8" w:color="auto"/>
            </w:tcBorders>
            <w:shd w:val="clear" w:color="auto" w:fill="D5DCE4"/>
          </w:tcPr>
          <w:p>
            <w:pPr>
              <w:spacing w:after="0"/>
              <w:rPr>
                <w:sz w:val="22"/>
                <w:szCs w:val="22"/>
                <w:color w:val="auto"/>
              </w:rPr>
            </w:pPr>
          </w:p>
        </w:tc>
        <w:tc>
          <w:tcPr>
            <w:tcW w:w="15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223,320,457</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3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tcBorders>
          </w:tcPr>
          <w:p>
            <w:pPr>
              <w:spacing w:after="0" w:line="20" w:lineRule="exact"/>
              <w:rPr>
                <w:sz w:val="1"/>
                <w:szCs w:val="1"/>
                <w:color w:val="auto"/>
              </w:rPr>
            </w:pPr>
          </w:p>
        </w:tc>
        <w:tc>
          <w:tcPr>
            <w:tcW w:w="13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tcBorders>
          </w:tcPr>
          <w:p>
            <w:pPr>
              <w:spacing w:after="0" w:line="20" w:lineRule="exact"/>
              <w:rPr>
                <w:sz w:val="1"/>
                <w:szCs w:val="1"/>
                <w:color w:val="auto"/>
              </w:rPr>
            </w:pPr>
          </w:p>
        </w:tc>
        <w:tc>
          <w:tcPr>
            <w:tcW w:w="12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tcBorders>
          </w:tcPr>
          <w:p>
            <w:pPr>
              <w:spacing w:after="0" w:line="20" w:lineRule="exact"/>
              <w:rPr>
                <w:sz w:val="1"/>
                <w:szCs w:val="1"/>
                <w:color w:val="auto"/>
              </w:rPr>
            </w:pPr>
          </w:p>
        </w:tc>
        <w:tc>
          <w:tcPr>
            <w:tcW w:w="12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15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38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360" w:type="dxa"/>
            <w:vAlign w:val="bottom"/>
            <w:tcBorders>
              <w:bottom w:val="single" w:sz="8" w:color="D5DCE4"/>
            </w:tcBorders>
            <w:shd w:val="clear" w:color="auto" w:fill="D5DCE4"/>
          </w:tcPr>
          <w:p>
            <w:pPr>
              <w:spacing w:after="0"/>
              <w:rPr>
                <w:sz w:val="22"/>
                <w:szCs w:val="22"/>
                <w:color w:val="auto"/>
              </w:rPr>
            </w:pPr>
          </w:p>
        </w:tc>
        <w:tc>
          <w:tcPr>
            <w:tcW w:w="1300" w:type="dxa"/>
            <w:vAlign w:val="bottom"/>
            <w:tcBorders>
              <w:bottom w:val="single" w:sz="8" w:color="D5DCE4"/>
            </w:tcBorders>
            <w:shd w:val="clear" w:color="auto" w:fill="D5DCE4"/>
          </w:tcPr>
          <w:p>
            <w:pPr>
              <w:spacing w:after="0"/>
              <w:rPr>
                <w:sz w:val="22"/>
                <w:szCs w:val="22"/>
                <w:color w:val="auto"/>
              </w:rPr>
            </w:pP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D5DCE4"/>
            </w:tcBorders>
            <w:shd w:val="clear" w:color="auto" w:fill="D5DCE4"/>
          </w:tcPr>
          <w:p>
            <w:pPr>
              <w:spacing w:after="0"/>
              <w:rPr>
                <w:sz w:val="22"/>
                <w:szCs w:val="22"/>
                <w:color w:val="auto"/>
              </w:rPr>
            </w:pPr>
          </w:p>
        </w:tc>
        <w:tc>
          <w:tcPr>
            <w:tcW w:w="1260" w:type="dxa"/>
            <w:vAlign w:val="bottom"/>
            <w:tcBorders>
              <w:bottom w:val="single" w:sz="8" w:color="D5DCE4"/>
            </w:tcBorders>
            <w:shd w:val="clear" w:color="auto" w:fill="D5DCE4"/>
          </w:tcPr>
          <w:p>
            <w:pPr>
              <w:spacing w:after="0"/>
              <w:rPr>
                <w:sz w:val="22"/>
                <w:szCs w:val="22"/>
                <w:color w:val="auto"/>
              </w:rPr>
            </w:pPr>
          </w:p>
        </w:tc>
        <w:tc>
          <w:tcPr>
            <w:tcW w:w="80" w:type="dxa"/>
            <w:vAlign w:val="bottom"/>
            <w:tcBorders>
              <w:bottom w:val="single" w:sz="8" w:color="D5DCE4"/>
            </w:tcBorders>
            <w:shd w:val="clear" w:color="auto" w:fill="D5DCE4"/>
          </w:tcPr>
          <w:p>
            <w:pPr>
              <w:spacing w:after="0"/>
              <w:rPr>
                <w:sz w:val="22"/>
                <w:szCs w:val="22"/>
                <w:color w:val="auto"/>
              </w:rPr>
            </w:pPr>
          </w:p>
        </w:tc>
        <w:tc>
          <w:tcPr>
            <w:tcW w:w="380" w:type="dxa"/>
            <w:vAlign w:val="bottom"/>
            <w:tcBorders>
              <w:bottom w:val="single" w:sz="8" w:color="D5DCE4"/>
            </w:tcBorders>
            <w:shd w:val="clear" w:color="auto" w:fill="D5DCE4"/>
          </w:tcPr>
          <w:p>
            <w:pPr>
              <w:spacing w:after="0"/>
              <w:rPr>
                <w:sz w:val="22"/>
                <w:szCs w:val="22"/>
                <w:color w:val="auto"/>
              </w:rPr>
            </w:pPr>
          </w:p>
        </w:tc>
        <w:tc>
          <w:tcPr>
            <w:tcW w:w="1280" w:type="dxa"/>
            <w:vAlign w:val="bottom"/>
            <w:tcBorders>
              <w:bottom w:val="single" w:sz="8" w:color="D5DCE4"/>
            </w:tcBorders>
            <w:shd w:val="clear" w:color="auto" w:fill="D5DCE4"/>
          </w:tcPr>
          <w:p>
            <w:pPr>
              <w:spacing w:after="0"/>
              <w:rPr>
                <w:sz w:val="22"/>
                <w:szCs w:val="22"/>
                <w:color w:val="auto"/>
              </w:rPr>
            </w:pPr>
          </w:p>
        </w:tc>
        <w:tc>
          <w:tcPr>
            <w:tcW w:w="80" w:type="dxa"/>
            <w:vAlign w:val="bottom"/>
            <w:tcBorders>
              <w:bottom w:val="single" w:sz="8" w:color="D5DCE4"/>
            </w:tcBorders>
            <w:shd w:val="clear" w:color="auto" w:fill="D5DCE4"/>
          </w:tcPr>
          <w:p>
            <w:pPr>
              <w:spacing w:after="0"/>
              <w:rPr>
                <w:sz w:val="22"/>
                <w:szCs w:val="22"/>
                <w:color w:val="auto"/>
              </w:rPr>
            </w:pPr>
          </w:p>
        </w:tc>
        <w:tc>
          <w:tcPr>
            <w:tcW w:w="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3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tcBorders>
          </w:tcPr>
          <w:p>
            <w:pPr>
              <w:spacing w:after="0" w:line="20" w:lineRule="exact"/>
              <w:rPr>
                <w:sz w:val="1"/>
                <w:szCs w:val="1"/>
                <w:color w:val="auto"/>
              </w:rPr>
            </w:pPr>
          </w:p>
        </w:tc>
        <w:tc>
          <w:tcPr>
            <w:tcW w:w="13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tcBorders>
          </w:tcPr>
          <w:p>
            <w:pPr>
              <w:spacing w:after="0" w:line="20" w:lineRule="exact"/>
              <w:rPr>
                <w:sz w:val="1"/>
                <w:szCs w:val="1"/>
                <w:color w:val="auto"/>
              </w:rPr>
            </w:pPr>
          </w:p>
        </w:tc>
        <w:tc>
          <w:tcPr>
            <w:tcW w:w="12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80" w:type="dxa"/>
            <w:vAlign w:val="bottom"/>
            <w:tcBorders>
              <w:top w:val="single" w:sz="8" w:color="D5DCE4"/>
            </w:tcBorders>
          </w:tcPr>
          <w:p>
            <w:pPr>
              <w:spacing w:after="0" w:line="20" w:lineRule="exact"/>
              <w:rPr>
                <w:sz w:val="1"/>
                <w:szCs w:val="1"/>
                <w:color w:val="auto"/>
              </w:rPr>
            </w:pPr>
          </w:p>
        </w:tc>
        <w:tc>
          <w:tcPr>
            <w:tcW w:w="12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15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660" w:right="300" w:hanging="328"/>
        <w:spacing w:after="0" w:line="235"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Earnings per share and weighted average shares outstanding for the pre-IPO period has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76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GROSS REVENUES BY ASSET CLASS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8"/>
          </w:tcPr>
          <w:p>
            <w:pPr>
              <w:jc w:val="right"/>
              <w:ind w:right="20"/>
              <w:spacing w:after="0"/>
              <w:rPr>
                <w:sz w:val="20"/>
                <w:szCs w:val="20"/>
                <w:color w:val="auto"/>
              </w:rPr>
            </w:pPr>
            <w:r>
              <w:rPr>
                <w:rFonts w:ascii="Arial" w:cs="Arial" w:eastAsia="Arial" w:hAnsi="Arial"/>
                <w:sz w:val="16"/>
                <w:szCs w:val="16"/>
                <w:b w:val="1"/>
                <w:bCs w:val="1"/>
                <w:color w:val="auto"/>
              </w:rPr>
              <w:t>Quarter Ended December 31,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gridSpan w:val="8"/>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10"/>
          </w:tcPr>
          <w:p>
            <w:pPr>
              <w:ind w:left="26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04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121,699</w:t>
            </w:r>
          </w:p>
        </w:tc>
        <w:tc>
          <w:tcPr>
            <w:tcW w:w="740" w:type="dxa"/>
            <w:vAlign w:val="bottom"/>
            <w:gridSpan w:val="2"/>
            <w:shd w:val="clear" w:color="auto" w:fill="D5DCE4"/>
          </w:tcPr>
          <w:p>
            <w:pPr>
              <w:jc w:val="right"/>
              <w:ind w:right="379"/>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107,539</w:t>
            </w:r>
          </w:p>
        </w:tc>
        <w:tc>
          <w:tcPr>
            <w:tcW w:w="440" w:type="dxa"/>
            <w:vAlign w:val="bottom"/>
            <w:gridSpan w:val="4"/>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476,327</w:t>
            </w:r>
          </w:p>
        </w:tc>
        <w:tc>
          <w:tcPr>
            <w:tcW w:w="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20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434,197</w:t>
            </w:r>
          </w:p>
        </w:tc>
        <w:tc>
          <w:tcPr>
            <w:tcW w:w="1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59,255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43,542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212,554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162,154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04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15,011</w:t>
            </w:r>
          </w:p>
        </w:tc>
        <w:tc>
          <w:tcPr>
            <w:tcW w:w="1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11,665</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61,709</w:t>
            </w:r>
          </w:p>
        </w:tc>
        <w:tc>
          <w:tcPr>
            <w:tcW w:w="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46,912</w:t>
            </w:r>
          </w:p>
        </w:tc>
        <w:tc>
          <w:tcPr>
            <w:tcW w:w="1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10,382</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10,028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42,620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40,392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04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20,864</w:t>
            </w:r>
          </w:p>
        </w:tc>
        <w:tc>
          <w:tcPr>
            <w:tcW w:w="1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19,361</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76,521</w:t>
            </w:r>
          </w:p>
        </w:tc>
        <w:tc>
          <w:tcPr>
            <w:tcW w:w="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70,723</w:t>
            </w:r>
          </w:p>
        </w:tc>
        <w:tc>
          <w:tcPr>
            <w:tcW w:w="1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8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5,865</w:t>
            </w:r>
          </w:p>
        </w:tc>
        <w:tc>
          <w:tcPr>
            <w:tcW w:w="180" w:type="dxa"/>
            <w:vAlign w:val="bottom"/>
            <w:tcBorders>
              <w:bottom w:val="single" w:sz="8" w:color="D5DCE4"/>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5,173</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40" w:type="dxa"/>
            <w:vAlign w:val="bottom"/>
            <w:tcBorders>
              <w:bottom w:val="single" w:sz="8" w:color="D5DC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22,928</w:t>
            </w:r>
          </w:p>
        </w:tc>
        <w:tc>
          <w:tcPr>
            <w:tcW w:w="60" w:type="dxa"/>
            <w:vAlign w:val="bottom"/>
            <w:tcBorders>
              <w:bottom w:val="single" w:sz="8" w:color="D5DCE4"/>
            </w:tcBorders>
          </w:tcPr>
          <w:p>
            <w:pPr>
              <w:spacing w:after="0"/>
              <w:rPr>
                <w:sz w:val="20"/>
                <w:szCs w:val="20"/>
                <w:color w:val="auto"/>
              </w:rPr>
            </w:pPr>
          </w:p>
        </w:tc>
        <w:tc>
          <w:tcPr>
            <w:tcW w:w="120" w:type="dxa"/>
            <w:vAlign w:val="bottom"/>
            <w:tcBorders>
              <w:bottom w:val="single" w:sz="8" w:color="D5DCE4"/>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21,188</w:t>
            </w:r>
          </w:p>
        </w:tc>
        <w:tc>
          <w:tcPr>
            <w:tcW w:w="180" w:type="dxa"/>
            <w:vAlign w:val="bottom"/>
            <w:tcBorders>
              <w:bottom w:val="single" w:sz="8" w:color="D5DCE4"/>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1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Gross revenue</w:t>
            </w:r>
          </w:p>
        </w:tc>
        <w:tc>
          <w:tcPr>
            <w:tcW w:w="140" w:type="dxa"/>
            <w:vAlign w:val="bottom"/>
            <w:tcBorders>
              <w:bottom w:val="single" w:sz="8" w:color="D5DCE4"/>
            </w:tcBorders>
            <w:shd w:val="clear" w:color="auto" w:fill="D5DCE4"/>
          </w:tcPr>
          <w:p>
            <w:pPr>
              <w:spacing w:after="0"/>
              <w:rPr>
                <w:sz w:val="24"/>
                <w:szCs w:val="24"/>
                <w:color w:val="auto"/>
              </w:rPr>
            </w:pPr>
          </w:p>
        </w:tc>
        <w:tc>
          <w:tcPr>
            <w:tcW w:w="320" w:type="dxa"/>
            <w:vAlign w:val="bottom"/>
            <w:tcBorders>
              <w:bottom w:val="single" w:sz="8" w:color="D5DCE4"/>
            </w:tcBorders>
            <w:gridSpan w:val="2"/>
            <w:shd w:val="clear" w:color="auto" w:fill="D5DCE4"/>
          </w:tcPr>
          <w:p>
            <w:pPr>
              <w:spacing w:after="0"/>
              <w:rPr>
                <w:sz w:val="24"/>
                <w:szCs w:val="24"/>
                <w:color w:val="auto"/>
              </w:rPr>
            </w:pPr>
          </w:p>
        </w:tc>
        <w:tc>
          <w:tcPr>
            <w:tcW w:w="540" w:type="dxa"/>
            <w:vAlign w:val="bottom"/>
            <w:tcBorders>
              <w:bottom w:val="single" w:sz="8" w:color="auto"/>
            </w:tcBorders>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shd w:val="clear" w:color="auto" w:fill="D5DCE4"/>
          </w:tcPr>
          <w:p>
            <w:pPr>
              <w:spacing w:after="0"/>
              <w:rPr>
                <w:sz w:val="24"/>
                <w:szCs w:val="24"/>
                <w:color w:val="auto"/>
              </w:rPr>
            </w:pPr>
          </w:p>
        </w:tc>
        <w:tc>
          <w:tcPr>
            <w:tcW w:w="220" w:type="dxa"/>
            <w:vAlign w:val="bottom"/>
            <w:tcBorders>
              <w:bottom w:val="single" w:sz="8" w:color="auto"/>
            </w:tcBorders>
            <w:shd w:val="clear" w:color="auto" w:fill="D5DCE4"/>
          </w:tcPr>
          <w:p>
            <w:pPr>
              <w:spacing w:after="0"/>
              <w:rPr>
                <w:sz w:val="24"/>
                <w:szCs w:val="24"/>
                <w:color w:val="auto"/>
              </w:rPr>
            </w:pPr>
          </w:p>
        </w:tc>
        <w:tc>
          <w:tcPr>
            <w:tcW w:w="1040" w:type="dxa"/>
            <w:vAlign w:val="bottom"/>
            <w:tcBorders>
              <w:bottom w:val="single" w:sz="8" w:color="auto"/>
            </w:tcBorders>
            <w:gridSpan w:val="3"/>
            <w:shd w:val="clear" w:color="auto" w:fill="D5DCE4"/>
          </w:tcPr>
          <w:p>
            <w:pPr>
              <w:jc w:val="right"/>
              <w:spacing w:after="0"/>
              <w:rPr>
                <w:sz w:val="20"/>
                <w:szCs w:val="20"/>
                <w:color w:val="auto"/>
              </w:rPr>
            </w:pPr>
            <w:r>
              <w:rPr>
                <w:rFonts w:ascii="Arial" w:cs="Arial" w:eastAsia="Arial" w:hAnsi="Arial"/>
                <w:sz w:val="16"/>
                <w:szCs w:val="16"/>
                <w:color w:val="auto"/>
              </w:rPr>
              <w:t>233,076</w:t>
            </w:r>
          </w:p>
        </w:tc>
        <w:tc>
          <w:tcPr>
            <w:tcW w:w="180" w:type="dxa"/>
            <w:vAlign w:val="bottom"/>
            <w:tcBorders>
              <w:bottom w:val="single" w:sz="8" w:color="D5DCE4"/>
            </w:tcBorders>
            <w:shd w:val="clear" w:color="auto" w:fill="D5DCE4"/>
          </w:tcPr>
          <w:p>
            <w:pPr>
              <w:spacing w:after="0"/>
              <w:rPr>
                <w:sz w:val="24"/>
                <w:szCs w:val="24"/>
                <w:color w:val="auto"/>
              </w:rPr>
            </w:pPr>
          </w:p>
        </w:tc>
        <w:tc>
          <w:tcPr>
            <w:tcW w:w="560" w:type="dxa"/>
            <w:vAlign w:val="bottom"/>
            <w:tcBorders>
              <w:bottom w:val="single" w:sz="8" w:color="D5DCE4"/>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D5DCE4"/>
            </w:tcBorders>
            <w:shd w:val="clear" w:color="auto" w:fill="D5DCE4"/>
          </w:tcPr>
          <w:p>
            <w:pPr>
              <w:spacing w:after="0"/>
              <w:rPr>
                <w:sz w:val="24"/>
                <w:szCs w:val="24"/>
                <w:color w:val="auto"/>
              </w:rPr>
            </w:pPr>
          </w:p>
        </w:tc>
        <w:tc>
          <w:tcPr>
            <w:tcW w:w="200" w:type="dxa"/>
            <w:vAlign w:val="bottom"/>
            <w:tcBorders>
              <w:bottom w:val="single" w:sz="8" w:color="D5DCE4"/>
            </w:tcBorders>
            <w:shd w:val="clear" w:color="auto" w:fill="D5DCE4"/>
          </w:tcPr>
          <w:p>
            <w:pPr>
              <w:spacing w:after="0"/>
              <w:rPr>
                <w:sz w:val="24"/>
                <w:szCs w:val="24"/>
                <w:color w:val="auto"/>
              </w:rPr>
            </w:pPr>
          </w:p>
        </w:tc>
        <w:tc>
          <w:tcPr>
            <w:tcW w:w="160" w:type="dxa"/>
            <w:vAlign w:val="bottom"/>
            <w:tcBorders>
              <w:bottom w:val="single" w:sz="8" w:color="D5DCE4"/>
            </w:tcBorders>
            <w:shd w:val="clear" w:color="auto" w:fill="D5DCE4"/>
          </w:tcPr>
          <w:p>
            <w:pPr>
              <w:spacing w:after="0"/>
              <w:rPr>
                <w:sz w:val="24"/>
                <w:szCs w:val="24"/>
                <w:color w:val="auto"/>
              </w:rPr>
            </w:pPr>
          </w:p>
        </w:tc>
        <w:tc>
          <w:tcPr>
            <w:tcW w:w="880" w:type="dxa"/>
            <w:vAlign w:val="bottom"/>
            <w:tcBorders>
              <w:bottom w:val="single" w:sz="8" w:color="D5DCE4"/>
            </w:tcBorders>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197,308</w:t>
            </w:r>
          </w:p>
        </w:tc>
        <w:tc>
          <w:tcPr>
            <w:tcW w:w="180" w:type="dxa"/>
            <w:vAlign w:val="bottom"/>
            <w:tcBorders>
              <w:bottom w:val="single" w:sz="8" w:color="D5DCE4"/>
            </w:tcBorders>
            <w:gridSpan w:val="3"/>
            <w:shd w:val="clear" w:color="auto" w:fill="D5DCE4"/>
          </w:tcPr>
          <w:p>
            <w:pPr>
              <w:spacing w:after="0"/>
              <w:rPr>
                <w:sz w:val="24"/>
                <w:szCs w:val="24"/>
                <w:color w:val="auto"/>
              </w:rPr>
            </w:pPr>
          </w:p>
        </w:tc>
        <w:tc>
          <w:tcPr>
            <w:tcW w:w="260" w:type="dxa"/>
            <w:vAlign w:val="bottom"/>
            <w:tcBorders>
              <w:bottom w:val="single" w:sz="8" w:color="auto"/>
            </w:tcBorders>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D5DCE4"/>
          </w:tcPr>
          <w:p>
            <w:pPr>
              <w:spacing w:after="0"/>
              <w:rPr>
                <w:sz w:val="24"/>
                <w:szCs w:val="24"/>
                <w:color w:val="auto"/>
              </w:rPr>
            </w:pPr>
          </w:p>
        </w:tc>
        <w:tc>
          <w:tcPr>
            <w:tcW w:w="80" w:type="dxa"/>
            <w:vAlign w:val="bottom"/>
            <w:tcBorders>
              <w:bottom w:val="single" w:sz="8" w:color="auto"/>
            </w:tcBorders>
            <w:shd w:val="clear" w:color="auto" w:fill="D5DCE4"/>
          </w:tcPr>
          <w:p>
            <w:pPr>
              <w:spacing w:after="0"/>
              <w:rPr>
                <w:sz w:val="24"/>
                <w:szCs w:val="24"/>
                <w:color w:val="auto"/>
              </w:rPr>
            </w:pPr>
          </w:p>
        </w:tc>
        <w:tc>
          <w:tcPr>
            <w:tcW w:w="540" w:type="dxa"/>
            <w:vAlign w:val="bottom"/>
            <w:tcBorders>
              <w:bottom w:val="single" w:sz="8" w:color="auto"/>
            </w:tcBorders>
            <w:shd w:val="clear" w:color="auto" w:fill="D5DCE4"/>
          </w:tcPr>
          <w:p>
            <w:pPr>
              <w:spacing w:after="0"/>
              <w:rPr>
                <w:sz w:val="24"/>
                <w:szCs w:val="24"/>
                <w:color w:val="auto"/>
              </w:rPr>
            </w:pPr>
          </w:p>
        </w:tc>
        <w:tc>
          <w:tcPr>
            <w:tcW w:w="80" w:type="dxa"/>
            <w:vAlign w:val="bottom"/>
            <w:tcBorders>
              <w:bottom w:val="single" w:sz="8" w:color="auto"/>
            </w:tcBorders>
            <w:shd w:val="clear" w:color="auto" w:fill="D5DCE4"/>
          </w:tcPr>
          <w:p>
            <w:pPr>
              <w:spacing w:after="0"/>
              <w:rPr>
                <w:sz w:val="24"/>
                <w:szCs w:val="24"/>
                <w:color w:val="auto"/>
              </w:rPr>
            </w:pPr>
          </w:p>
        </w:tc>
        <w:tc>
          <w:tcPr>
            <w:tcW w:w="120" w:type="dxa"/>
            <w:vAlign w:val="bottom"/>
            <w:tcBorders>
              <w:bottom w:val="single" w:sz="8" w:color="auto"/>
            </w:tcBorders>
            <w:shd w:val="clear" w:color="auto" w:fill="D5DCE4"/>
          </w:tcPr>
          <w:p>
            <w:pPr>
              <w:spacing w:after="0"/>
              <w:rPr>
                <w:sz w:val="24"/>
                <w:szCs w:val="24"/>
                <w:color w:val="auto"/>
              </w:rPr>
            </w:pPr>
          </w:p>
        </w:tc>
        <w:tc>
          <w:tcPr>
            <w:tcW w:w="8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892,659</w:t>
            </w:r>
          </w:p>
        </w:tc>
        <w:tc>
          <w:tcPr>
            <w:tcW w:w="60" w:type="dxa"/>
            <w:vAlign w:val="bottom"/>
            <w:tcBorders>
              <w:bottom w:val="single" w:sz="8" w:color="D5DCE4"/>
            </w:tcBorders>
            <w:shd w:val="clear" w:color="auto" w:fill="D5DCE4"/>
          </w:tcPr>
          <w:p>
            <w:pPr>
              <w:spacing w:after="0"/>
              <w:rPr>
                <w:sz w:val="24"/>
                <w:szCs w:val="24"/>
                <w:color w:val="auto"/>
              </w:rPr>
            </w:pPr>
          </w:p>
        </w:tc>
        <w:tc>
          <w:tcPr>
            <w:tcW w:w="120" w:type="dxa"/>
            <w:vAlign w:val="bottom"/>
            <w:tcBorders>
              <w:bottom w:val="single" w:sz="8" w:color="D5DCE4"/>
            </w:tcBorders>
            <w:shd w:val="clear" w:color="auto" w:fill="D5DCE4"/>
          </w:tcPr>
          <w:p>
            <w:pPr>
              <w:spacing w:after="0"/>
              <w:rPr>
                <w:sz w:val="24"/>
                <w:szCs w:val="24"/>
                <w:color w:val="auto"/>
              </w:rPr>
            </w:pPr>
          </w:p>
        </w:tc>
        <w:tc>
          <w:tcPr>
            <w:tcW w:w="200" w:type="dxa"/>
            <w:vAlign w:val="bottom"/>
            <w:tcBorders>
              <w:bottom w:val="single" w:sz="8" w:color="auto"/>
            </w:tcBorders>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5DCE4"/>
          </w:tcPr>
          <w:p>
            <w:pPr>
              <w:spacing w:after="0"/>
              <w:rPr>
                <w:sz w:val="24"/>
                <w:szCs w:val="24"/>
                <w:color w:val="auto"/>
              </w:rPr>
            </w:pPr>
          </w:p>
        </w:tc>
        <w:tc>
          <w:tcPr>
            <w:tcW w:w="60" w:type="dxa"/>
            <w:vAlign w:val="bottom"/>
            <w:tcBorders>
              <w:bottom w:val="single" w:sz="8" w:color="auto"/>
            </w:tcBorders>
            <w:shd w:val="clear" w:color="auto" w:fill="D5DCE4"/>
          </w:tcPr>
          <w:p>
            <w:pPr>
              <w:spacing w:after="0"/>
              <w:rPr>
                <w:sz w:val="24"/>
                <w:szCs w:val="24"/>
                <w:color w:val="auto"/>
              </w:rPr>
            </w:pPr>
          </w:p>
        </w:tc>
        <w:tc>
          <w:tcPr>
            <w:tcW w:w="80" w:type="dxa"/>
            <w:vAlign w:val="bottom"/>
            <w:tcBorders>
              <w:bottom w:val="single" w:sz="8" w:color="auto"/>
            </w:tcBorders>
            <w:shd w:val="clear" w:color="auto" w:fill="D5DCE4"/>
          </w:tcPr>
          <w:p>
            <w:pPr>
              <w:spacing w:after="0"/>
              <w:rPr>
                <w:sz w:val="24"/>
                <w:szCs w:val="24"/>
                <w:color w:val="auto"/>
              </w:rPr>
            </w:pPr>
          </w:p>
        </w:tc>
        <w:tc>
          <w:tcPr>
            <w:tcW w:w="140" w:type="dxa"/>
            <w:vAlign w:val="bottom"/>
            <w:tcBorders>
              <w:bottom w:val="single" w:sz="8" w:color="auto"/>
            </w:tcBorders>
            <w:shd w:val="clear" w:color="auto" w:fill="D5DCE4"/>
          </w:tcPr>
          <w:p>
            <w:pPr>
              <w:spacing w:after="0"/>
              <w:rPr>
                <w:sz w:val="24"/>
                <w:szCs w:val="24"/>
                <w:color w:val="auto"/>
              </w:rPr>
            </w:pPr>
          </w:p>
        </w:tc>
        <w:tc>
          <w:tcPr>
            <w:tcW w:w="7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775,566</w:t>
            </w:r>
          </w:p>
        </w:tc>
        <w:tc>
          <w:tcPr>
            <w:tcW w:w="180" w:type="dxa"/>
            <w:vAlign w:val="bottom"/>
            <w:tcBorders>
              <w:bottom w:val="single" w:sz="8" w:color="D5DCE4"/>
            </w:tcBorders>
            <w:shd w:val="clear" w:color="auto" w:fill="D5DCE4"/>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Borders>
              <w:top w:val="single" w:sz="8" w:color="auto"/>
            </w:tcBorders>
            <w:gridSpan w:val="5"/>
          </w:tcPr>
          <w:p>
            <w:pPr>
              <w:jc w:val="center"/>
              <w:ind w:right="58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auto"/>
            </w:tcBorders>
            <w:gridSpan w:val="6"/>
          </w:tcPr>
          <w:p>
            <w:pPr>
              <w:jc w:val="right"/>
              <w:ind w:right="580"/>
              <w:spacing w:after="0"/>
              <w:rPr>
                <w:sz w:val="20"/>
                <w:szCs w:val="20"/>
                <w:color w:val="auto"/>
              </w:rPr>
            </w:pPr>
            <w:r>
              <w:rPr>
                <w:rFonts w:ascii="Arial" w:cs="Arial" w:eastAsia="Arial" w:hAnsi="Arial"/>
                <w:sz w:val="16"/>
                <w:szCs w:val="16"/>
                <w:b w:val="1"/>
                <w:bCs w:val="1"/>
                <w:color w:val="auto"/>
              </w:rPr>
              <w:t>Quarter Ended</w:t>
            </w: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gridSpan w:val="4"/>
          </w:tcPr>
          <w:p>
            <w:pPr>
              <w:jc w:val="center"/>
              <w:ind w:right="319"/>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center"/>
              <w:ind w:right="199"/>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December 31, 2019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39"/>
        </w:trPr>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1040" w:type="dxa"/>
            <w:vAlign w:val="bottom"/>
            <w:gridSpan w:val="4"/>
          </w:tcPr>
          <w:p>
            <w:pPr>
              <w:ind w:left="60"/>
              <w:spacing w:after="0"/>
              <w:rPr>
                <w:sz w:val="20"/>
                <w:szCs w:val="20"/>
                <w:color w:val="auto"/>
              </w:rPr>
            </w:pPr>
            <w:r>
              <w:rPr>
                <w:rFonts w:ascii="Arial" w:cs="Arial" w:eastAsia="Arial" w:hAnsi="Arial"/>
                <w:sz w:val="16"/>
                <w:szCs w:val="16"/>
                <w:b w:val="1"/>
                <w:bCs w:val="1"/>
                <w:color w:val="auto"/>
              </w:rPr>
              <w:t>Variable</w:t>
            </w:r>
          </w:p>
        </w:tc>
        <w:tc>
          <w:tcPr>
            <w:tcW w:w="22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Fixed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5"/>
          </w:tcPr>
          <w:p>
            <w:pPr>
              <w:ind w:left="140"/>
              <w:spacing w:after="0"/>
              <w:rPr>
                <w:sz w:val="20"/>
                <w:szCs w:val="20"/>
                <w:color w:val="auto"/>
              </w:rPr>
            </w:pPr>
            <w:r>
              <w:rPr>
                <w:rFonts w:ascii="Arial" w:cs="Arial" w:eastAsia="Arial" w:hAnsi="Arial"/>
                <w:sz w:val="16"/>
                <w:szCs w:val="16"/>
                <w:b w:val="1"/>
                <w:bCs w:val="1"/>
                <w:color w:val="auto"/>
              </w:rPr>
              <w:t>Variable</w:t>
            </w:r>
          </w:p>
        </w:tc>
        <w:tc>
          <w:tcPr>
            <w:tcW w:w="120" w:type="dxa"/>
            <w:vAlign w:val="bottom"/>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6"/>
                <w:szCs w:val="16"/>
                <w:b w:val="1"/>
                <w:bCs w:val="1"/>
                <w:color w:val="auto"/>
              </w:rPr>
              <w:t>Fixed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Fixed</w:t>
            </w:r>
          </w:p>
        </w:tc>
        <w:tc>
          <w:tcPr>
            <w:tcW w:w="0" w:type="dxa"/>
            <w:vAlign w:val="bottom"/>
          </w:tcPr>
          <w:p>
            <w:pPr>
              <w:spacing w:after="0"/>
              <w:rPr>
                <w:sz w:val="1"/>
                <w:szCs w:val="1"/>
                <w:color w:val="auto"/>
              </w:rPr>
            </w:pPr>
          </w:p>
        </w:tc>
      </w:tr>
      <w:tr>
        <w:trPr>
          <w:trHeight w:val="237"/>
        </w:trPr>
        <w:tc>
          <w:tcPr>
            <w:tcW w:w="2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10"/>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69,045</w:t>
            </w: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52,654</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D5DCE4"/>
          </w:tcPr>
          <w:p>
            <w:pPr>
              <w:jc w:val="right"/>
              <w:ind w:right="60"/>
              <w:spacing w:after="0"/>
              <w:rPr>
                <w:sz w:val="20"/>
                <w:szCs w:val="20"/>
                <w:color w:val="auto"/>
              </w:rPr>
            </w:pPr>
            <w:r>
              <w:rPr>
                <w:rFonts w:ascii="Arial" w:cs="Arial" w:eastAsia="Arial" w:hAnsi="Arial"/>
                <w:sz w:val="16"/>
                <w:szCs w:val="16"/>
                <w:color w:val="auto"/>
              </w:rPr>
              <w:t>57,145</w:t>
            </w:r>
          </w:p>
        </w:tc>
        <w:tc>
          <w:tcPr>
            <w:tcW w:w="36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50,394</w:t>
            </w: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270,826</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205,501</w:t>
            </w:r>
          </w:p>
        </w:tc>
        <w:tc>
          <w:tcPr>
            <w:tcW w:w="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200" w:type="dxa"/>
            <w:vAlign w:val="bottom"/>
            <w:gridSpan w:val="3"/>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232,423</w:t>
            </w:r>
          </w:p>
        </w:tc>
        <w:tc>
          <w:tcPr>
            <w:tcW w:w="280" w:type="dxa"/>
            <w:vAlign w:val="bottom"/>
            <w:gridSpan w:val="3"/>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201,774</w:t>
            </w:r>
          </w:p>
        </w:tc>
        <w:tc>
          <w:tcPr>
            <w:tcW w:w="0" w:type="dxa"/>
            <w:vAlign w:val="bottom"/>
          </w:tcPr>
          <w:p>
            <w:pPr>
              <w:spacing w:after="0"/>
              <w:rPr>
                <w:sz w:val="1"/>
                <w:szCs w:val="1"/>
                <w:color w:val="auto"/>
              </w:rPr>
            </w:pPr>
          </w:p>
        </w:tc>
      </w:tr>
      <w:tr>
        <w:trPr>
          <w:trHeight w:val="235"/>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53,205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38,231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189,789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141,343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20,811</w:t>
            </w:r>
          </w:p>
        </w:tc>
        <w:tc>
          <w:tcPr>
            <w:tcW w:w="0" w:type="dxa"/>
            <w:vAlign w:val="bottom"/>
          </w:tcPr>
          <w:p>
            <w:pPr>
              <w:spacing w:after="0"/>
              <w:rPr>
                <w:sz w:val="1"/>
                <w:szCs w:val="1"/>
                <w:color w:val="auto"/>
              </w:rPr>
            </w:pPr>
          </w:p>
        </w:tc>
      </w:tr>
      <w:tr>
        <w:trPr>
          <w:trHeight w:val="251"/>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12,202</w:t>
            </w: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2,809</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ind w:right="60"/>
              <w:spacing w:after="0"/>
              <w:rPr>
                <w:sz w:val="20"/>
                <w:szCs w:val="20"/>
                <w:color w:val="auto"/>
              </w:rPr>
            </w:pPr>
            <w:r>
              <w:rPr>
                <w:rFonts w:ascii="Arial" w:cs="Arial" w:eastAsia="Arial" w:hAnsi="Arial"/>
                <w:sz w:val="16"/>
                <w:szCs w:val="16"/>
                <w:color w:val="auto"/>
              </w:rPr>
              <w:t>9,272</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2,393</w:t>
            </w:r>
          </w:p>
        </w:tc>
        <w:tc>
          <w:tcPr>
            <w:tcW w:w="6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51,536</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10,173</w:t>
            </w:r>
          </w:p>
        </w:tc>
        <w:tc>
          <w:tcPr>
            <w:tcW w:w="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38,515</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8,397</w:t>
            </w:r>
          </w:p>
        </w:tc>
        <w:tc>
          <w:tcPr>
            <w:tcW w:w="0" w:type="dxa"/>
            <w:vAlign w:val="bottom"/>
          </w:tcPr>
          <w:p>
            <w:pPr>
              <w:spacing w:after="0"/>
              <w:rPr>
                <w:sz w:val="1"/>
                <w:szCs w:val="1"/>
                <w:color w:val="auto"/>
              </w:rPr>
            </w:pPr>
          </w:p>
        </w:tc>
      </w:tr>
      <w:tr>
        <w:trPr>
          <w:trHeight w:val="235"/>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6,336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6,221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26,308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25,461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14,931</w:t>
            </w:r>
          </w:p>
        </w:tc>
        <w:tc>
          <w:tcPr>
            <w:tcW w:w="0" w:type="dxa"/>
            <w:vAlign w:val="bottom"/>
          </w:tcPr>
          <w:p>
            <w:pPr>
              <w:spacing w:after="0"/>
              <w:rPr>
                <w:sz w:val="1"/>
                <w:szCs w:val="1"/>
                <w:color w:val="auto"/>
              </w:rPr>
            </w:pPr>
          </w:p>
        </w:tc>
      </w:tr>
      <w:tr>
        <w:trPr>
          <w:trHeight w:val="251"/>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2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20,864</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68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19,361</w:t>
            </w:r>
          </w:p>
        </w:tc>
        <w:tc>
          <w:tcPr>
            <w:tcW w:w="6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62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76,521</w:t>
            </w:r>
          </w:p>
        </w:tc>
        <w:tc>
          <w:tcPr>
            <w:tcW w:w="6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70,723</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w:t>
            </w:r>
          </w:p>
        </w:tc>
        <w:tc>
          <w:tcPr>
            <w:tcW w:w="12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5,173</w:t>
            </w:r>
          </w:p>
        </w:tc>
        <w:tc>
          <w:tcPr>
            <w:tcW w:w="60" w:type="dxa"/>
            <w:vAlign w:val="bottom"/>
            <w:tcBorders>
              <w:bottom w:val="single" w:sz="8" w:color="D5DCE4"/>
            </w:tcBorders>
          </w:tcPr>
          <w:p>
            <w:pPr>
              <w:spacing w:after="0"/>
              <w:rPr>
                <w:sz w:val="20"/>
                <w:szCs w:val="20"/>
                <w:color w:val="auto"/>
              </w:rPr>
            </w:pPr>
          </w:p>
        </w:tc>
        <w:tc>
          <w:tcPr>
            <w:tcW w:w="6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21,188</w:t>
            </w:r>
          </w:p>
        </w:tc>
        <w:tc>
          <w:tcPr>
            <w:tcW w:w="0" w:type="dxa"/>
            <w:vAlign w:val="bottom"/>
          </w:tcPr>
          <w:p>
            <w:pPr>
              <w:spacing w:after="0"/>
              <w:rPr>
                <w:sz w:val="1"/>
                <w:szCs w:val="1"/>
                <w:color w:val="auto"/>
              </w:rPr>
            </w:pPr>
          </w:p>
        </w:tc>
      </w:tr>
      <w:tr>
        <w:trPr>
          <w:trHeight w:val="263"/>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Gross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140,788</w:t>
            </w:r>
          </w:p>
        </w:tc>
        <w:tc>
          <w:tcPr>
            <w:tcW w:w="180" w:type="dxa"/>
            <w:vAlign w:val="bottom"/>
            <w:shd w:val="clear" w:color="auto" w:fill="D5DCE4"/>
          </w:tcPr>
          <w:p>
            <w:pPr>
              <w:spacing w:after="0"/>
              <w:rPr>
                <w:sz w:val="22"/>
                <w:szCs w:val="22"/>
                <w:color w:val="auto"/>
              </w:rPr>
            </w:pP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92,288</w:t>
            </w:r>
          </w:p>
        </w:tc>
        <w:tc>
          <w:tcPr>
            <w:tcW w:w="12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D5DCE4"/>
          </w:tcPr>
          <w:p>
            <w:pPr>
              <w:jc w:val="right"/>
              <w:ind w:right="60"/>
              <w:spacing w:after="0"/>
              <w:rPr>
                <w:sz w:val="20"/>
                <w:szCs w:val="20"/>
                <w:color w:val="auto"/>
              </w:rPr>
            </w:pPr>
            <w:r>
              <w:rPr>
                <w:rFonts w:ascii="Arial" w:cs="Arial" w:eastAsia="Arial" w:hAnsi="Arial"/>
                <w:sz w:val="16"/>
                <w:szCs w:val="16"/>
                <w:color w:val="auto"/>
              </w:rPr>
              <w:t>110,869</w:t>
            </w:r>
          </w:p>
        </w:tc>
        <w:tc>
          <w:tcPr>
            <w:tcW w:w="36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86,439</w:t>
            </w:r>
          </w:p>
        </w:tc>
        <w:tc>
          <w:tcPr>
            <w:tcW w:w="60" w:type="dxa"/>
            <w:vAlign w:val="bottom"/>
            <w:shd w:val="clear" w:color="auto" w:fill="D5DCE4"/>
          </w:tcPr>
          <w:p>
            <w:pPr>
              <w:spacing w:after="0"/>
              <w:rPr>
                <w:sz w:val="22"/>
                <w:szCs w:val="22"/>
                <w:color w:val="auto"/>
              </w:rPr>
            </w:pPr>
          </w:p>
        </w:tc>
        <w:tc>
          <w:tcPr>
            <w:tcW w:w="440" w:type="dxa"/>
            <w:vAlign w:val="bottom"/>
            <w:gridSpan w:val="4"/>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538,459</w:t>
            </w:r>
          </w:p>
        </w:tc>
        <w:tc>
          <w:tcPr>
            <w:tcW w:w="80" w:type="dxa"/>
            <w:vAlign w:val="bottom"/>
            <w:shd w:val="clear" w:color="auto" w:fill="D5DCE4"/>
          </w:tcPr>
          <w:p>
            <w:pPr>
              <w:spacing w:after="0"/>
              <w:rPr>
                <w:sz w:val="22"/>
                <w:szCs w:val="22"/>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354,200</w:t>
            </w:r>
          </w:p>
        </w:tc>
        <w:tc>
          <w:tcPr>
            <w:tcW w:w="60" w:type="dxa"/>
            <w:vAlign w:val="bottom"/>
            <w:shd w:val="clear" w:color="auto" w:fill="D5DCE4"/>
          </w:tcPr>
          <w:p>
            <w:pPr>
              <w:spacing w:after="0"/>
              <w:rPr>
                <w:sz w:val="22"/>
                <w:szCs w:val="22"/>
                <w:color w:val="auto"/>
              </w:rPr>
            </w:pPr>
          </w:p>
        </w:tc>
        <w:tc>
          <w:tcPr>
            <w:tcW w:w="120" w:type="dxa"/>
            <w:vAlign w:val="bottom"/>
            <w:shd w:val="clear" w:color="auto" w:fill="D5DCE4"/>
          </w:tcPr>
          <w:p>
            <w:pPr>
              <w:spacing w:after="0"/>
              <w:rPr>
                <w:sz w:val="22"/>
                <w:szCs w:val="22"/>
                <w:color w:val="auto"/>
              </w:rPr>
            </w:pPr>
          </w:p>
        </w:tc>
        <w:tc>
          <w:tcPr>
            <w:tcW w:w="200" w:type="dxa"/>
            <w:vAlign w:val="bottom"/>
            <w:gridSpan w:val="3"/>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437,742</w:t>
            </w:r>
          </w:p>
        </w:tc>
        <w:tc>
          <w:tcPr>
            <w:tcW w:w="280" w:type="dxa"/>
            <w:vAlign w:val="bottom"/>
            <w:gridSpan w:val="3"/>
            <w:shd w:val="clear" w:color="auto" w:fill="D5DCE4"/>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rPr>
              <w:t>337,824</w:t>
            </w:r>
          </w:p>
        </w:tc>
        <w:tc>
          <w:tcPr>
            <w:tcW w:w="0" w:type="dxa"/>
            <w:vAlign w:val="bottom"/>
          </w:tcPr>
          <w:p>
            <w:pPr>
              <w:spacing w:after="0"/>
              <w:rPr>
                <w:sz w:val="1"/>
                <w:szCs w:val="1"/>
                <w:color w:val="auto"/>
              </w:rPr>
            </w:pPr>
          </w:p>
        </w:tc>
      </w:tr>
      <w:tr>
        <w:trPr>
          <w:trHeight w:val="20"/>
        </w:trPr>
        <w:tc>
          <w:tcPr>
            <w:tcW w:w="2180" w:type="dxa"/>
            <w:vAlign w:val="bottom"/>
            <w:tcBorders>
              <w:top w:val="single" w:sz="8" w:color="D5DCE4"/>
              <w:bottom w:val="single" w:sz="8" w:color="D5DCE4"/>
            </w:tcBorders>
            <w:gridSpan w:val="2"/>
            <w:vMerge w:val="restart"/>
          </w:tcPr>
          <w:p>
            <w:pPr>
              <w:spacing w:after="0"/>
              <w:rPr>
                <w:sz w:val="20"/>
                <w:szCs w:val="20"/>
                <w:color w:val="auto"/>
              </w:rPr>
            </w:pPr>
            <w:r>
              <w:rPr>
                <w:rFonts w:ascii="Arial" w:cs="Arial" w:eastAsia="Arial" w:hAnsi="Arial"/>
                <w:sz w:val="16"/>
                <w:szCs w:val="16"/>
                <w:b w:val="1"/>
                <w:bCs w:val="1"/>
                <w:color w:val="083566"/>
              </w:rPr>
              <w:t>TRADEWEB MARKETS INC.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5DCE4"/>
            </w:tcBorders>
          </w:tcPr>
          <w:p>
            <w:pPr>
              <w:spacing w:after="0" w:line="20" w:lineRule="exact"/>
              <w:rPr>
                <w:sz w:val="1"/>
                <w:szCs w:val="1"/>
                <w:color w:val="auto"/>
              </w:rPr>
            </w:pPr>
          </w:p>
        </w:tc>
        <w:tc>
          <w:tcPr>
            <w:tcW w:w="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20" w:type="dxa"/>
            <w:vAlign w:val="bottom"/>
            <w:gridSpan w:val="18"/>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4"/>
          </w:tcPr>
          <w:p>
            <w:pPr>
              <w:ind w:left="320"/>
              <w:spacing w:after="0"/>
              <w:rPr>
                <w:sz w:val="20"/>
                <w:szCs w:val="20"/>
                <w:color w:val="auto"/>
              </w:rPr>
            </w:pPr>
            <w:r>
              <w:rPr>
                <w:rFonts w:ascii="Arial" w:cs="Arial" w:eastAsia="Arial" w:hAnsi="Arial"/>
                <w:sz w:val="16"/>
                <w:szCs w:val="16"/>
                <w:b w:val="1"/>
                <w:bCs w:val="1"/>
                <w:color w:val="auto"/>
              </w:rPr>
              <w:t>Quarter Ended December 31,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w w:val="96"/>
              </w:rPr>
              <w:t>YoY</w:t>
            </w:r>
          </w:p>
        </w:tc>
        <w:tc>
          <w:tcPr>
            <w:tcW w:w="0" w:type="dxa"/>
            <w:vAlign w:val="bottom"/>
          </w:tcPr>
          <w:p>
            <w:pPr>
              <w:spacing w:after="0"/>
              <w:rPr>
                <w:sz w:val="1"/>
                <w:szCs w:val="1"/>
                <w:color w:val="auto"/>
              </w:rPr>
            </w:pPr>
          </w:p>
        </w:tc>
      </w:tr>
      <w:tr>
        <w:trPr>
          <w:trHeight w:val="239"/>
        </w:trPr>
        <w:tc>
          <w:tcPr>
            <w:tcW w:w="200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54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780" w:type="dxa"/>
            <w:vAlign w:val="bottom"/>
            <w:tcBorders>
              <w:bottom w:val="single" w:sz="8" w:color="D5DCE4"/>
            </w:tcBorders>
          </w:tcPr>
          <w:p>
            <w:pPr>
              <w:spacing w:after="0"/>
              <w:rPr>
                <w:sz w:val="20"/>
                <w:szCs w:val="20"/>
                <w:color w:val="auto"/>
              </w:rPr>
            </w:pPr>
          </w:p>
        </w:tc>
        <w:tc>
          <w:tcPr>
            <w:tcW w:w="12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560" w:type="dxa"/>
            <w:vAlign w:val="bottom"/>
            <w:tcBorders>
              <w:bottom w:val="single" w:sz="8" w:color="D5DCE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2019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9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0"/>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4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54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220" w:type="dxa"/>
            <w:vAlign w:val="bottom"/>
            <w:shd w:val="clear" w:color="auto" w:fill="D5DCE4"/>
          </w:tcPr>
          <w:p>
            <w:pPr>
              <w:spacing w:after="0"/>
              <w:rPr>
                <w:sz w:val="20"/>
                <w:szCs w:val="20"/>
                <w:color w:val="auto"/>
              </w:rPr>
            </w:pPr>
          </w:p>
        </w:tc>
        <w:tc>
          <w:tcPr>
            <w:tcW w:w="780" w:type="dxa"/>
            <w:vAlign w:val="bottom"/>
            <w:shd w:val="clear" w:color="auto" w:fill="D5DCE4"/>
          </w:tcPr>
          <w:p>
            <w:pPr>
              <w:spacing w:after="0"/>
              <w:rPr>
                <w:sz w:val="20"/>
                <w:szCs w:val="20"/>
                <w:color w:val="auto"/>
              </w:rPr>
            </w:pPr>
          </w:p>
        </w:tc>
        <w:tc>
          <w:tcPr>
            <w:tcW w:w="12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0"/>
                <w:szCs w:val="20"/>
                <w:color w:val="auto"/>
              </w:rPr>
            </w:pPr>
          </w:p>
        </w:tc>
        <w:tc>
          <w:tcPr>
            <w:tcW w:w="160" w:type="dxa"/>
            <w:vAlign w:val="bottom"/>
            <w:shd w:val="clear" w:color="auto" w:fill="D5DCE4"/>
          </w:tcPr>
          <w:p>
            <w:pPr>
              <w:spacing w:after="0"/>
              <w:rPr>
                <w:sz w:val="20"/>
                <w:szCs w:val="20"/>
                <w:color w:val="auto"/>
              </w:rPr>
            </w:pPr>
          </w:p>
        </w:tc>
        <w:tc>
          <w:tcPr>
            <w:tcW w:w="820" w:type="dxa"/>
            <w:vAlign w:val="bottom"/>
            <w:shd w:val="clear" w:color="auto" w:fill="D5DCE4"/>
          </w:tcPr>
          <w:p>
            <w:pPr>
              <w:spacing w:after="0"/>
              <w:rPr>
                <w:sz w:val="20"/>
                <w:szCs w:val="20"/>
                <w:color w:val="auto"/>
              </w:rPr>
            </w:pPr>
          </w:p>
        </w:tc>
        <w:tc>
          <w:tcPr>
            <w:tcW w:w="60" w:type="dxa"/>
            <w:vAlign w:val="bottom"/>
            <w:shd w:val="clear" w:color="auto" w:fill="D5DCE4"/>
          </w:tcPr>
          <w:p>
            <w:pPr>
              <w:spacing w:after="0"/>
              <w:rPr>
                <w:sz w:val="20"/>
                <w:szCs w:val="20"/>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2.05</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5DCE4"/>
          </w:tcPr>
          <w:p>
            <w:pPr>
              <w:spacing w:after="0"/>
              <w:rPr>
                <w:sz w:val="20"/>
                <w:szCs w:val="20"/>
                <w:color w:val="auto"/>
              </w:rPr>
            </w:pPr>
          </w:p>
        </w:tc>
        <w:tc>
          <w:tcPr>
            <w:tcW w:w="120" w:type="dxa"/>
            <w:vAlign w:val="bottom"/>
            <w:shd w:val="clear" w:color="auto" w:fill="D5DCE4"/>
          </w:tcPr>
          <w:p>
            <w:pPr>
              <w:spacing w:after="0"/>
              <w:rPr>
                <w:sz w:val="20"/>
                <w:szCs w:val="20"/>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2.03</w:t>
            </w:r>
          </w:p>
        </w:tc>
        <w:tc>
          <w:tcPr>
            <w:tcW w:w="4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820" w:type="dxa"/>
            <w:vAlign w:val="bottom"/>
            <w:shd w:val="clear" w:color="auto" w:fill="D5DCE4"/>
          </w:tcPr>
          <w:p>
            <w:pPr>
              <w:spacing w:after="0"/>
              <w:rPr>
                <w:sz w:val="20"/>
                <w:szCs w:val="20"/>
                <w:color w:val="auto"/>
              </w:rPr>
            </w:pPr>
          </w:p>
        </w:tc>
        <w:tc>
          <w:tcPr>
            <w:tcW w:w="6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1.4 %</w:t>
            </w:r>
          </w:p>
        </w:tc>
        <w:tc>
          <w:tcPr>
            <w:tcW w:w="0" w:type="dxa"/>
            <w:vAlign w:val="bottom"/>
          </w:tcPr>
          <w:p>
            <w:pPr>
              <w:spacing w:after="0"/>
              <w:rPr>
                <w:sz w:val="1"/>
                <w:szCs w:val="1"/>
                <w:color w:val="auto"/>
              </w:rPr>
            </w:pPr>
          </w:p>
        </w:tc>
      </w:tr>
      <w:tr>
        <w:trPr>
          <w:trHeight w:val="235"/>
        </w:trPr>
        <w:tc>
          <w:tcPr>
            <w:tcW w:w="2180" w:type="dxa"/>
            <w:vAlign w:val="bottom"/>
            <w:gridSpan w:val="2"/>
          </w:tcPr>
          <w:p>
            <w:pPr>
              <w:ind w:left="140"/>
              <w:spacing w:after="0"/>
              <w:rPr>
                <w:sz w:val="20"/>
                <w:szCs w:val="20"/>
                <w:color w:val="auto"/>
              </w:rPr>
            </w:pPr>
            <w:r>
              <w:rPr>
                <w:rFonts w:ascii="Arial" w:cs="Arial" w:eastAsia="Arial" w:hAnsi="Arial"/>
                <w:sz w:val="16"/>
                <w:szCs w:val="16"/>
                <w:color w:val="auto"/>
              </w:rPr>
              <w:t>Cash Rates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1.82</w:t>
            </w:r>
          </w:p>
        </w:tc>
        <w:tc>
          <w:tcPr>
            <w:tcW w:w="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2.02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51"/>
        </w:trPr>
        <w:tc>
          <w:tcPr>
            <w:tcW w:w="2180" w:type="dxa"/>
            <w:vAlign w:val="bottom"/>
            <w:gridSpan w:val="2"/>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2.42</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2.03</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19.1 %</w:t>
            </w:r>
          </w:p>
        </w:tc>
        <w:tc>
          <w:tcPr>
            <w:tcW w:w="0" w:type="dxa"/>
            <w:vAlign w:val="bottom"/>
          </w:tcPr>
          <w:p>
            <w:pPr>
              <w:spacing w:after="0"/>
              <w:rPr>
                <w:sz w:val="1"/>
                <w:szCs w:val="1"/>
                <w:color w:val="auto"/>
              </w:rPr>
            </w:pPr>
          </w:p>
        </w:tc>
      </w:tr>
      <w:tr>
        <w:trPr>
          <w:trHeight w:val="235"/>
        </w:trPr>
        <w:tc>
          <w:tcPr>
            <w:tcW w:w="3580" w:type="dxa"/>
            <w:vAlign w:val="bottom"/>
            <w:gridSpan w:val="8"/>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3.47</w:t>
            </w:r>
          </w:p>
        </w:tc>
        <w:tc>
          <w:tcPr>
            <w:tcW w:w="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2.63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32.3 %</w:t>
            </w:r>
          </w:p>
        </w:tc>
        <w:tc>
          <w:tcPr>
            <w:tcW w:w="0" w:type="dxa"/>
            <w:vAlign w:val="bottom"/>
          </w:tcPr>
          <w:p>
            <w:pPr>
              <w:spacing w:after="0"/>
              <w:rPr>
                <w:sz w:val="1"/>
                <w:szCs w:val="1"/>
                <w:color w:val="auto"/>
              </w:rPr>
            </w:pPr>
          </w:p>
        </w:tc>
      </w:tr>
      <w:tr>
        <w:trPr>
          <w:trHeight w:val="251"/>
        </w:trPr>
        <w:tc>
          <w:tcPr>
            <w:tcW w:w="2180" w:type="dxa"/>
            <w:vAlign w:val="bottom"/>
            <w:gridSpan w:val="2"/>
            <w:shd w:val="clear" w:color="auto" w:fill="D5DCE4"/>
          </w:tcPr>
          <w:p>
            <w:pPr>
              <w:ind w:left="240"/>
              <w:spacing w:after="0"/>
              <w:rPr>
                <w:sz w:val="20"/>
                <w:szCs w:val="20"/>
                <w:color w:val="auto"/>
              </w:rPr>
            </w:pPr>
            <w:r>
              <w:rPr>
                <w:rFonts w:ascii="Arial" w:cs="Arial" w:eastAsia="Arial" w:hAnsi="Arial"/>
                <w:sz w:val="16"/>
                <w:szCs w:val="16"/>
                <w:color w:val="auto"/>
              </w:rPr>
              <w:t>Other Rates Derivatives</w:t>
            </w:r>
            <w:r>
              <w:rPr>
                <w:rFonts w:ascii="Arial" w:cs="Arial" w:eastAsia="Arial" w:hAnsi="Arial"/>
                <w:sz w:val="21"/>
                <w:szCs w:val="21"/>
                <w:color w:val="auto"/>
                <w:vertAlign w:val="superscript"/>
              </w:rPr>
              <w:t>(1)</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0.17</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0.18</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47.52</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46.17</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2.9 %</w:t>
            </w:r>
          </w:p>
        </w:tc>
        <w:tc>
          <w:tcPr>
            <w:tcW w:w="0" w:type="dxa"/>
            <w:vAlign w:val="bottom"/>
          </w:tcPr>
          <w:p>
            <w:pPr>
              <w:spacing w:after="0"/>
              <w:rPr>
                <w:sz w:val="1"/>
                <w:szCs w:val="1"/>
                <w:color w:val="auto"/>
              </w:rPr>
            </w:pPr>
          </w:p>
        </w:tc>
      </w:tr>
      <w:tr>
        <w:trPr>
          <w:trHeight w:val="243"/>
        </w:trPr>
        <w:tc>
          <w:tcPr>
            <w:tcW w:w="2180" w:type="dxa"/>
            <w:vAlign w:val="bottom"/>
            <w:gridSpan w:val="2"/>
          </w:tcPr>
          <w:p>
            <w:pPr>
              <w:ind w:left="140"/>
              <w:spacing w:after="0"/>
              <w:rPr>
                <w:sz w:val="20"/>
                <w:szCs w:val="20"/>
                <w:color w:val="auto"/>
              </w:rPr>
            </w:pPr>
            <w:r>
              <w:rPr>
                <w:rFonts w:ascii="Arial" w:cs="Arial" w:eastAsia="Arial" w:hAnsi="Arial"/>
                <w:sz w:val="16"/>
                <w:szCs w:val="16"/>
                <w:color w:val="auto"/>
              </w:rPr>
              <w:t>Cash Credit</w:t>
            </w:r>
            <w:r>
              <w:rPr>
                <w:rFonts w:ascii="Arial" w:cs="Arial" w:eastAsia="Arial" w:hAnsi="Arial"/>
                <w:sz w:val="21"/>
                <w:szCs w:val="21"/>
                <w:color w:val="auto"/>
                <w:vertAlign w:val="superscript"/>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6"/>
          </w:tcPr>
          <w:p>
            <w:pPr>
              <w:jc w:val="right"/>
              <w:spacing w:after="0"/>
              <w:rPr>
                <w:sz w:val="20"/>
                <w:szCs w:val="20"/>
                <w:color w:val="auto"/>
              </w:rPr>
            </w:pPr>
            <w:r>
              <w:rPr>
                <w:rFonts w:ascii="Arial" w:cs="Arial" w:eastAsia="Arial" w:hAnsi="Arial"/>
                <w:sz w:val="16"/>
                <w:szCs w:val="16"/>
                <w:color w:val="auto"/>
              </w:rPr>
              <w:t>129.27</w:t>
            </w:r>
          </w:p>
        </w:tc>
        <w:tc>
          <w:tcPr>
            <w:tcW w:w="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133.93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3"/>
        </w:trPr>
        <w:tc>
          <w:tcPr>
            <w:tcW w:w="3360" w:type="dxa"/>
            <w:vAlign w:val="bottom"/>
            <w:gridSpan w:val="7"/>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7.55</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7.32</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15.38</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16.12</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35"/>
        </w:trPr>
        <w:tc>
          <w:tcPr>
            <w:tcW w:w="2180" w:type="dxa"/>
            <w:vAlign w:val="bottom"/>
            <w:gridSpan w:val="2"/>
          </w:tcPr>
          <w:p>
            <w:pPr>
              <w:ind w:left="140"/>
              <w:spacing w:after="0"/>
              <w:rPr>
                <w:sz w:val="20"/>
                <w:szCs w:val="20"/>
                <w:color w:val="auto"/>
              </w:rPr>
            </w:pPr>
            <w:r>
              <w:rPr>
                <w:rFonts w:ascii="Arial" w:cs="Arial" w:eastAsia="Arial" w:hAnsi="Arial"/>
                <w:sz w:val="16"/>
                <w:szCs w:val="16"/>
                <w:color w:val="auto"/>
              </w:rPr>
              <w:t>Cash Equities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22.39</w:t>
            </w:r>
          </w:p>
        </w:tc>
        <w:tc>
          <w:tcPr>
            <w:tcW w:w="700" w:type="dxa"/>
            <w:vAlign w:val="bottom"/>
            <w:gridSpan w:val="3"/>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24.80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1"/>
        </w:trPr>
        <w:tc>
          <w:tcPr>
            <w:tcW w:w="2180" w:type="dxa"/>
            <w:vAlign w:val="bottom"/>
            <w:gridSpan w:val="2"/>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6.79</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7.23</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0.31</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0.47</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(34.7)%</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44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2.51</w:t>
            </w:r>
          </w:p>
        </w:tc>
        <w:tc>
          <w:tcPr>
            <w:tcW w:w="700" w:type="dxa"/>
            <w:vAlign w:val="bottom"/>
            <w:gridSpan w:val="3"/>
            <w:shd w:val="clear" w:color="auto" w:fill="D5DCE4"/>
          </w:tcPr>
          <w:p>
            <w:pPr>
              <w:jc w:val="right"/>
              <w:ind w:right="35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080" w:type="dxa"/>
            <w:vAlign w:val="bottom"/>
            <w:gridSpan w:val="4"/>
            <w:shd w:val="clear" w:color="auto" w:fill="D5DCE4"/>
          </w:tcPr>
          <w:p>
            <w:pPr>
              <w:jc w:val="right"/>
              <w:spacing w:after="0"/>
              <w:rPr>
                <w:sz w:val="20"/>
                <w:szCs w:val="20"/>
                <w:color w:val="auto"/>
              </w:rPr>
            </w:pPr>
            <w:r>
              <w:rPr>
                <w:rFonts w:ascii="Arial" w:cs="Arial" w:eastAsia="Arial" w:hAnsi="Arial"/>
                <w:sz w:val="16"/>
                <w:szCs w:val="16"/>
                <w:b w:val="1"/>
                <w:bCs w:val="1"/>
                <w:color w:val="auto"/>
              </w:rPr>
              <w:t>2.59</w:t>
            </w:r>
          </w:p>
        </w:tc>
        <w:tc>
          <w:tcPr>
            <w:tcW w:w="4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2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302"/>
        </w:trPr>
        <w:tc>
          <w:tcPr>
            <w:tcW w:w="4480" w:type="dxa"/>
            <w:vAlign w:val="bottom"/>
            <w:gridSpan w:val="10"/>
          </w:tcPr>
          <w:p>
            <w:pPr>
              <w:ind w:left="20"/>
              <w:spacing w:after="0"/>
              <w:rPr>
                <w:sz w:val="20"/>
                <w:szCs w:val="20"/>
                <w:color w:val="auto"/>
              </w:rPr>
            </w:pPr>
            <w:r>
              <w:rPr>
                <w:rFonts w:ascii="Arial" w:cs="Arial" w:eastAsia="Arial" w:hAnsi="Arial"/>
                <w:sz w:val="16"/>
                <w:szCs w:val="16"/>
                <w:b w:val="1"/>
                <w:bCs w:val="1"/>
                <w:color w:val="auto"/>
                <w:w w:val="99"/>
              </w:rPr>
              <w:t>Total Fees per Million excluding Other Rates Derivatives</w:t>
            </w:r>
            <w:r>
              <w:rPr>
                <w:rFonts w:ascii="Arial" w:cs="Arial" w:eastAsia="Arial" w:hAnsi="Arial"/>
                <w:sz w:val="21"/>
                <w:szCs w:val="21"/>
                <w:b w:val="1"/>
                <w:bCs w:val="1"/>
                <w:color w:val="auto"/>
                <w:w w:val="99"/>
                <w:vertAlign w:val="superscript"/>
              </w:rPr>
              <w:t>(3)</w:t>
            </w:r>
          </w:p>
        </w:tc>
        <w:tc>
          <w:tcPr>
            <w:tcW w:w="14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b w:val="1"/>
                <w:bCs w:val="1"/>
                <w:color w:val="auto"/>
              </w:rPr>
              <w:t>2.70</w:t>
            </w:r>
          </w:p>
        </w:tc>
        <w:tc>
          <w:tcPr>
            <w:tcW w:w="7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b w:val="1"/>
                <w:bCs w:val="1"/>
                <w:color w:val="auto"/>
              </w:rPr>
              <w:t>2.76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Swaps/Swaptions of tenor less than 1 year and Rates Futures.</w:t>
      </w:r>
    </w:p>
    <w:p>
      <w:pPr>
        <w:spacing w:after="0" w:line="15" w:lineRule="exact"/>
        <w:rPr>
          <w:rFonts w:ascii="Arial" w:cs="Arial" w:eastAsia="Arial" w:hAnsi="Arial"/>
          <w:sz w:val="13"/>
          <w:szCs w:val="13"/>
          <w:color w:val="auto"/>
        </w:rPr>
      </w:pP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 Grade and High Yield electronically processed ("EP") activity.</w:t>
      </w: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Included to contextualize the impact of short-tenored Swaps/Swaptions and Rates Futures on blended fees per million across all periods presented.</w:t>
      </w:r>
    </w:p>
    <w:p>
      <w:pPr>
        <w:sectPr>
          <w:pgSz w:w="11900" w:h="16838" w:orient="portrait"/>
          <w:cols w:equalWidth="0" w:num="1">
            <w:col w:w="11240"/>
          </w:cols>
          <w:pgMar w:left="320" w:top="7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8</w:t>
      </w:r>
    </w:p>
    <w:p>
      <w:pPr>
        <w:sectPr>
          <w:pgSz w:w="11900" w:h="16838" w:orient="portrait"/>
          <w:cols w:equalWidth="0" w:num="1">
            <w:col w:w="11240"/>
          </w:cols>
          <w:pgMar w:left="320" w:top="76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277" w:lineRule="exact"/>
        <w:rPr>
          <w:sz w:val="20"/>
          <w:szCs w:val="20"/>
          <w:color w:val="auto"/>
        </w:rPr>
      </w:pPr>
    </w:p>
    <w:p>
      <w:pPr>
        <w:ind w:left="3560"/>
        <w:spacing w:after="0"/>
        <w:rPr>
          <w:sz w:val="20"/>
          <w:szCs w:val="20"/>
          <w:color w:val="auto"/>
        </w:rPr>
      </w:pPr>
      <w:r>
        <w:rPr>
          <w:rFonts w:ascii="Arial" w:cs="Arial" w:eastAsia="Arial" w:hAnsi="Arial"/>
          <w:sz w:val="18"/>
          <w:szCs w:val="18"/>
          <w:color w:val="FFFFFF"/>
        </w:rPr>
        <w:t>2020 Q3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3"/>
          </w:tcPr>
          <w:p>
            <w:pPr>
              <w:ind w:left="1180"/>
              <w:spacing w:after="0"/>
              <w:rPr>
                <w:sz w:val="20"/>
                <w:szCs w:val="20"/>
                <w:color w:val="auto"/>
              </w:rPr>
            </w:pPr>
            <w:r>
              <w:rPr>
                <w:rFonts w:ascii="Arial" w:cs="Arial" w:eastAsia="Arial" w:hAnsi="Arial"/>
                <w:sz w:val="16"/>
                <w:szCs w:val="16"/>
                <w:b w:val="1"/>
                <w:bCs w:val="1"/>
                <w:color w:val="auto"/>
              </w:rPr>
              <w:t>2020 Q4</w:t>
            </w: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rPr>
              <w:t>2019 Q4</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47"/>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Product</w:t>
            </w:r>
          </w:p>
        </w:tc>
        <w:tc>
          <w:tcPr>
            <w:tcW w:w="80" w:type="dxa"/>
            <w:vAlign w:val="bottom"/>
            <w:tcBorders>
              <w:bottom w:val="single" w:sz="8" w:color="D5DCE4"/>
            </w:tcBorders>
          </w:tcPr>
          <w:p>
            <w:pPr>
              <w:spacing w:after="0"/>
              <w:rPr>
                <w:sz w:val="21"/>
                <w:szCs w:val="21"/>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ADV (USD mm)</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Volume (USD mm)</w:t>
            </w:r>
          </w:p>
        </w:tc>
        <w:tc>
          <w:tcPr>
            <w:tcW w:w="80" w:type="dxa"/>
            <w:vAlign w:val="bottom"/>
            <w:tcBorders>
              <w:bottom w:val="single" w:sz="8" w:color="D5DCE4"/>
            </w:tcBorders>
          </w:tcPr>
          <w:p>
            <w:pPr>
              <w:spacing w:after="0"/>
              <w:rPr>
                <w:sz w:val="21"/>
                <w:szCs w:val="21"/>
                <w:color w:val="auto"/>
              </w:rPr>
            </w:pPr>
          </w:p>
        </w:tc>
        <w:tc>
          <w:tcPr>
            <w:tcW w:w="2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ADV (USD mm)  Volume (USD mm)</w:t>
            </w:r>
          </w:p>
        </w:tc>
        <w:tc>
          <w:tcPr>
            <w:tcW w:w="80" w:type="dxa"/>
            <w:vAlign w:val="bottom"/>
            <w:tcBorders>
              <w:bottom w:val="single" w:sz="8" w:color="D5DCE4"/>
            </w:tcBorders>
          </w:tcPr>
          <w:p>
            <w:pPr>
              <w:spacing w:after="0"/>
              <w:rPr>
                <w:sz w:val="21"/>
                <w:szCs w:val="21"/>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0"/>
        </w:trPr>
        <w:tc>
          <w:tcPr>
            <w:tcW w:w="10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60" w:type="dxa"/>
            <w:vAlign w:val="bottom"/>
            <w:gridSpan w:val="2"/>
            <w:shd w:val="clear" w:color="auto" w:fill="D5DCE4"/>
          </w:tcPr>
          <w:p>
            <w:pPr>
              <w:ind w:left="120"/>
              <w:spacing w:after="0"/>
              <w:rPr>
                <w:sz w:val="20"/>
                <w:szCs w:val="20"/>
                <w:color w:val="auto"/>
              </w:rPr>
            </w:pPr>
            <w:r>
              <w:rPr>
                <w:rFonts w:ascii="Arial" w:cs="Arial" w:eastAsia="Arial" w:hAnsi="Arial"/>
                <w:sz w:val="16"/>
                <w:szCs w:val="16"/>
                <w:b w:val="1"/>
                <w:bCs w:val="1"/>
                <w:color w:val="auto"/>
              </w:rPr>
              <w:t>Cash</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327,865</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20,382,030</w:t>
            </w:r>
          </w:p>
        </w:tc>
        <w:tc>
          <w:tcPr>
            <w:tcW w:w="80" w:type="dxa"/>
            <w:vAlign w:val="bottom"/>
            <w:shd w:val="clear" w:color="auto" w:fill="D5DCE4"/>
          </w:tcPr>
          <w:p>
            <w:pPr>
              <w:spacing w:after="0"/>
              <w:rPr>
                <w:sz w:val="20"/>
                <w:szCs w:val="20"/>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b w:val="1"/>
                <w:bCs w:val="1"/>
                <w:color w:val="auto"/>
              </w:rPr>
              <w:t>267,714</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16,639,296</w:t>
            </w:r>
          </w:p>
        </w:tc>
        <w:tc>
          <w:tcPr>
            <w:tcW w:w="80" w:type="dxa"/>
            <w:vAlign w:val="bottom"/>
            <w:shd w:val="clear" w:color="auto" w:fill="D5DCE4"/>
          </w:tcPr>
          <w:p>
            <w:pPr>
              <w:spacing w:after="0"/>
              <w:rPr>
                <w:sz w:val="20"/>
                <w:szCs w:val="20"/>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22.47 %</w:t>
            </w: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Government Bonds</w:t>
            </w:r>
          </w:p>
        </w:tc>
        <w:tc>
          <w:tcPr>
            <w:tcW w:w="1460" w:type="dxa"/>
            <w:vAlign w:val="bottom"/>
          </w:tcPr>
          <w:p>
            <w:pPr>
              <w:jc w:val="right"/>
              <w:spacing w:after="0"/>
              <w:rPr>
                <w:sz w:val="20"/>
                <w:szCs w:val="20"/>
                <w:color w:val="auto"/>
              </w:rPr>
            </w:pPr>
            <w:r>
              <w:rPr>
                <w:rFonts w:ascii="Arial" w:cs="Arial" w:eastAsia="Arial" w:hAnsi="Arial"/>
                <w:sz w:val="16"/>
                <w:szCs w:val="16"/>
                <w:color w:val="auto"/>
              </w:rPr>
              <w:t>91,733</w:t>
            </w:r>
          </w:p>
        </w:tc>
        <w:tc>
          <w:tcPr>
            <w:tcW w:w="1500" w:type="dxa"/>
            <w:vAlign w:val="bottom"/>
          </w:tcPr>
          <w:p>
            <w:pPr>
              <w:jc w:val="right"/>
              <w:spacing w:after="0"/>
              <w:rPr>
                <w:sz w:val="20"/>
                <w:szCs w:val="20"/>
                <w:color w:val="auto"/>
              </w:rPr>
            </w:pPr>
            <w:r>
              <w:rPr>
                <w:rFonts w:ascii="Arial" w:cs="Arial" w:eastAsia="Arial" w:hAnsi="Arial"/>
                <w:sz w:val="16"/>
                <w:szCs w:val="16"/>
                <w:color w:val="auto"/>
              </w:rPr>
              <w:t>5,687,470</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77,007</w:t>
            </w:r>
          </w:p>
        </w:tc>
        <w:tc>
          <w:tcPr>
            <w:tcW w:w="1040" w:type="dxa"/>
            <w:vAlign w:val="bottom"/>
          </w:tcPr>
          <w:p>
            <w:pPr>
              <w:jc w:val="right"/>
              <w:spacing w:after="0"/>
              <w:rPr>
                <w:sz w:val="20"/>
                <w:szCs w:val="20"/>
                <w:color w:val="auto"/>
              </w:rPr>
            </w:pPr>
            <w:r>
              <w:rPr>
                <w:rFonts w:ascii="Arial" w:cs="Arial" w:eastAsia="Arial" w:hAnsi="Arial"/>
                <w:sz w:val="16"/>
                <w:szCs w:val="16"/>
                <w:color w:val="auto"/>
              </w:rPr>
              <w:t>4,774,459</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19.12 %</w:t>
            </w: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European Government Bonds</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24,942</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1,596,300</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19,644</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1,257,195</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26.97 %</w:t>
            </w: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Mortgages</w:t>
            </w:r>
          </w:p>
        </w:tc>
        <w:tc>
          <w:tcPr>
            <w:tcW w:w="1460" w:type="dxa"/>
            <w:vAlign w:val="bottom"/>
          </w:tcPr>
          <w:p>
            <w:pPr>
              <w:jc w:val="right"/>
              <w:spacing w:after="0"/>
              <w:rPr>
                <w:sz w:val="20"/>
                <w:szCs w:val="20"/>
                <w:color w:val="auto"/>
              </w:rPr>
            </w:pPr>
            <w:r>
              <w:rPr>
                <w:rFonts w:ascii="Arial" w:cs="Arial" w:eastAsia="Arial" w:hAnsi="Arial"/>
                <w:sz w:val="16"/>
                <w:szCs w:val="16"/>
                <w:color w:val="auto"/>
              </w:rPr>
              <w:t>207,291</w:t>
            </w:r>
          </w:p>
        </w:tc>
        <w:tc>
          <w:tcPr>
            <w:tcW w:w="1500" w:type="dxa"/>
            <w:vAlign w:val="bottom"/>
          </w:tcPr>
          <w:p>
            <w:pPr>
              <w:jc w:val="right"/>
              <w:spacing w:after="0"/>
              <w:rPr>
                <w:sz w:val="20"/>
                <w:szCs w:val="20"/>
                <w:color w:val="auto"/>
              </w:rPr>
            </w:pPr>
            <w:r>
              <w:rPr>
                <w:rFonts w:ascii="Arial" w:cs="Arial" w:eastAsia="Arial" w:hAnsi="Arial"/>
                <w:sz w:val="16"/>
                <w:szCs w:val="16"/>
                <w:color w:val="auto"/>
              </w:rPr>
              <w:t>12,852,011</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167,950</w:t>
            </w:r>
          </w:p>
        </w:tc>
        <w:tc>
          <w:tcPr>
            <w:tcW w:w="1040" w:type="dxa"/>
            <w:vAlign w:val="bottom"/>
          </w:tcPr>
          <w:p>
            <w:pPr>
              <w:jc w:val="right"/>
              <w:spacing w:after="0"/>
              <w:rPr>
                <w:sz w:val="20"/>
                <w:szCs w:val="20"/>
                <w:color w:val="auto"/>
              </w:rPr>
            </w:pPr>
            <w:r>
              <w:rPr>
                <w:rFonts w:ascii="Arial" w:cs="Arial" w:eastAsia="Arial" w:hAnsi="Arial"/>
                <w:sz w:val="16"/>
                <w:szCs w:val="16"/>
                <w:color w:val="auto"/>
              </w:rPr>
              <w:t>10,412,907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23.42 %</w:t>
            </w: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Other Government Bonds</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3,899</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246,248</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3,113</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194,735</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25.26 %</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4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209,442</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13,220,482</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183,550</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11,551,936</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14.11 %</w:t>
            </w:r>
          </w:p>
        </w:tc>
        <w:tc>
          <w:tcPr>
            <w:tcW w:w="0" w:type="dxa"/>
            <w:vAlign w:val="bottom"/>
          </w:tcPr>
          <w:p>
            <w:pPr>
              <w:spacing w:after="0"/>
              <w:rPr>
                <w:sz w:val="1"/>
                <w:szCs w:val="1"/>
                <w:color w:val="auto"/>
              </w:rPr>
            </w:pPr>
          </w:p>
        </w:tc>
      </w:tr>
      <w:tr>
        <w:trPr>
          <w:trHeight w:val="247"/>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ind w:left="680"/>
              <w:spacing w:after="0"/>
              <w:rPr>
                <w:sz w:val="20"/>
                <w:szCs w:val="20"/>
                <w:color w:val="auto"/>
              </w:rPr>
            </w:pPr>
            <w:r>
              <w:rPr>
                <w:rFonts w:ascii="Arial" w:cs="Arial" w:eastAsia="Arial" w:hAnsi="Arial"/>
                <w:sz w:val="16"/>
                <w:szCs w:val="16"/>
                <w:i w:val="1"/>
                <w:iCs w:val="1"/>
                <w:color w:val="auto"/>
              </w:rPr>
              <w:t xml:space="preserve">Swaps/Swaptions </w:t>
            </w:r>
            <w:r>
              <w:rPr>
                <w:rFonts w:ascii="Arial" w:cs="Arial" w:eastAsia="Arial" w:hAnsi="Arial"/>
                <w:sz w:val="16"/>
                <w:szCs w:val="16"/>
                <w:color w:val="auto"/>
              </w:rPr>
              <w:t>≥</w:t>
            </w:r>
            <w:r>
              <w:rPr>
                <w:rFonts w:ascii="Arial" w:cs="Arial" w:eastAsia="Arial" w:hAnsi="Arial"/>
                <w:sz w:val="16"/>
                <w:szCs w:val="16"/>
                <w:i w:val="1"/>
                <w:iCs w:val="1"/>
                <w:color w:val="auto"/>
              </w:rPr>
              <w:t xml:space="preserve"> 1Y</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142,921</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9,001,633</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138,746</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8,739,588</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Swaps/Swaptions &lt; 1Y</w:t>
            </w:r>
          </w:p>
        </w:tc>
        <w:tc>
          <w:tcPr>
            <w:tcW w:w="1460" w:type="dxa"/>
            <w:vAlign w:val="bottom"/>
          </w:tcPr>
          <w:p>
            <w:pPr>
              <w:jc w:val="right"/>
              <w:spacing w:after="0"/>
              <w:rPr>
                <w:sz w:val="20"/>
                <w:szCs w:val="20"/>
                <w:color w:val="auto"/>
              </w:rPr>
            </w:pPr>
            <w:r>
              <w:rPr>
                <w:rFonts w:ascii="Arial" w:cs="Arial" w:eastAsia="Arial" w:hAnsi="Arial"/>
                <w:sz w:val="16"/>
                <w:szCs w:val="16"/>
                <w:color w:val="auto"/>
              </w:rPr>
              <w:t>65,988</w:t>
            </w:r>
          </w:p>
        </w:tc>
        <w:tc>
          <w:tcPr>
            <w:tcW w:w="1500" w:type="dxa"/>
            <w:vAlign w:val="bottom"/>
          </w:tcPr>
          <w:p>
            <w:pPr>
              <w:jc w:val="right"/>
              <w:spacing w:after="0"/>
              <w:rPr>
                <w:sz w:val="20"/>
                <w:szCs w:val="20"/>
                <w:color w:val="auto"/>
              </w:rPr>
            </w:pPr>
            <w:r>
              <w:rPr>
                <w:rFonts w:ascii="Arial" w:cs="Arial" w:eastAsia="Arial" w:hAnsi="Arial"/>
                <w:sz w:val="16"/>
                <w:szCs w:val="16"/>
                <w:color w:val="auto"/>
              </w:rPr>
              <w:t>4,185,769</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44,165</w:t>
            </w:r>
          </w:p>
        </w:tc>
        <w:tc>
          <w:tcPr>
            <w:tcW w:w="1040" w:type="dxa"/>
            <w:vAlign w:val="bottom"/>
          </w:tcPr>
          <w:p>
            <w:pPr>
              <w:jc w:val="right"/>
              <w:spacing w:after="0"/>
              <w:rPr>
                <w:sz w:val="20"/>
                <w:szCs w:val="20"/>
                <w:color w:val="auto"/>
              </w:rPr>
            </w:pPr>
            <w:r>
              <w:rPr>
                <w:rFonts w:ascii="Arial" w:cs="Arial" w:eastAsia="Arial" w:hAnsi="Arial"/>
                <w:sz w:val="16"/>
                <w:szCs w:val="16"/>
                <w:color w:val="auto"/>
              </w:rPr>
              <w:t>2,772,698</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49.41 %</w:t>
            </w: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Futures</w:t>
            </w:r>
          </w:p>
        </w:tc>
        <w:tc>
          <w:tcPr>
            <w:tcW w:w="14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534</w:t>
            </w:r>
          </w:p>
        </w:tc>
        <w:tc>
          <w:tcPr>
            <w:tcW w:w="15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33,080</w:t>
            </w:r>
          </w:p>
        </w:tc>
        <w:tc>
          <w:tcPr>
            <w:tcW w:w="80" w:type="dxa"/>
            <w:vAlign w:val="bottom"/>
            <w:tcBorders>
              <w:bottom w:val="single" w:sz="8" w:color="auto"/>
            </w:tcBorders>
            <w:shd w:val="clear" w:color="auto" w:fill="D5DCE4"/>
          </w:tcPr>
          <w:p>
            <w:pPr>
              <w:spacing w:after="0"/>
              <w:rPr>
                <w:sz w:val="21"/>
                <w:szCs w:val="21"/>
                <w:color w:val="auto"/>
              </w:rPr>
            </w:pPr>
          </w:p>
        </w:tc>
        <w:tc>
          <w:tcPr>
            <w:tcW w:w="1940" w:type="dxa"/>
            <w:vAlign w:val="bottom"/>
            <w:tcBorders>
              <w:bottom w:val="single" w:sz="8" w:color="auto"/>
            </w:tcBorders>
            <w:shd w:val="clear" w:color="auto" w:fill="D5DCE4"/>
          </w:tcPr>
          <w:p>
            <w:pPr>
              <w:jc w:val="right"/>
              <w:ind w:right="459"/>
              <w:spacing w:after="0"/>
              <w:rPr>
                <w:sz w:val="20"/>
                <w:szCs w:val="20"/>
                <w:color w:val="auto"/>
              </w:rPr>
            </w:pPr>
            <w:r>
              <w:rPr>
                <w:rFonts w:ascii="Arial" w:cs="Arial" w:eastAsia="Arial" w:hAnsi="Arial"/>
                <w:sz w:val="16"/>
                <w:szCs w:val="16"/>
                <w:color w:val="auto"/>
              </w:rPr>
              <w:t>639</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39,650</w:t>
            </w:r>
          </w:p>
        </w:tc>
        <w:tc>
          <w:tcPr>
            <w:tcW w:w="8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33"/>
        </w:trPr>
        <w:tc>
          <w:tcPr>
            <w:tcW w:w="1080" w:type="dxa"/>
            <w:vAlign w:val="bottom"/>
            <w:tcBorders>
              <w:bottom w:val="single" w:sz="8" w:color="D5DCE4"/>
            </w:tcBorders>
          </w:tcPr>
          <w:p>
            <w:pPr>
              <w:spacing w:after="0"/>
              <w:rPr>
                <w:sz w:val="20"/>
                <w:szCs w:val="20"/>
                <w:color w:val="auto"/>
              </w:rPr>
            </w:pPr>
          </w:p>
        </w:tc>
        <w:tc>
          <w:tcPr>
            <w:tcW w:w="2460" w:type="dxa"/>
            <w:vAlign w:val="bottom"/>
            <w:tcBorders>
              <w:bottom w:val="single" w:sz="8" w:color="D5DCE4"/>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537,308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33,602,512</w:t>
            </w:r>
          </w:p>
        </w:tc>
        <w:tc>
          <w:tcPr>
            <w:tcW w:w="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451,264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28,191,232</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19.07 %</w:t>
            </w:r>
          </w:p>
        </w:tc>
        <w:tc>
          <w:tcPr>
            <w:tcW w:w="0" w:type="dxa"/>
            <w:vAlign w:val="bottom"/>
          </w:tcPr>
          <w:p>
            <w:pPr>
              <w:spacing w:after="0"/>
              <w:rPr>
                <w:sz w:val="1"/>
                <w:szCs w:val="1"/>
                <w:color w:val="auto"/>
              </w:rPr>
            </w:pPr>
          </w:p>
        </w:tc>
      </w:tr>
      <w:tr>
        <w:trPr>
          <w:trHeight w:val="240"/>
        </w:trPr>
        <w:tc>
          <w:tcPr>
            <w:tcW w:w="10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60" w:type="dxa"/>
            <w:vAlign w:val="bottom"/>
            <w:gridSpan w:val="2"/>
            <w:shd w:val="clear" w:color="auto" w:fill="D5DCE4"/>
          </w:tcPr>
          <w:p>
            <w:pPr>
              <w:ind w:left="120"/>
              <w:spacing w:after="0"/>
              <w:rPr>
                <w:sz w:val="20"/>
                <w:szCs w:val="20"/>
                <w:color w:val="auto"/>
              </w:rPr>
            </w:pPr>
            <w:r>
              <w:rPr>
                <w:rFonts w:ascii="Arial" w:cs="Arial" w:eastAsia="Arial" w:hAnsi="Arial"/>
                <w:sz w:val="16"/>
                <w:szCs w:val="16"/>
                <w:b w:val="1"/>
                <w:bCs w:val="1"/>
                <w:color w:val="auto"/>
              </w:rPr>
              <w:t>Cash</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8,328</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516,514</w:t>
            </w:r>
          </w:p>
        </w:tc>
        <w:tc>
          <w:tcPr>
            <w:tcW w:w="80" w:type="dxa"/>
            <w:vAlign w:val="bottom"/>
            <w:shd w:val="clear" w:color="auto" w:fill="D5DCE4"/>
          </w:tcPr>
          <w:p>
            <w:pPr>
              <w:spacing w:after="0"/>
              <w:rPr>
                <w:sz w:val="20"/>
                <w:szCs w:val="20"/>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b w:val="1"/>
                <w:bCs w:val="1"/>
                <w:color w:val="auto"/>
              </w:rPr>
              <w:t>6,015</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373,866</w:t>
            </w:r>
          </w:p>
        </w:tc>
        <w:tc>
          <w:tcPr>
            <w:tcW w:w="80" w:type="dxa"/>
            <w:vAlign w:val="bottom"/>
            <w:shd w:val="clear" w:color="auto" w:fill="D5DCE4"/>
          </w:tcPr>
          <w:p>
            <w:pPr>
              <w:spacing w:after="0"/>
              <w:rPr>
                <w:sz w:val="20"/>
                <w:szCs w:val="20"/>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38.46 %</w:t>
            </w: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High Grade</w:t>
            </w:r>
          </w:p>
        </w:tc>
        <w:tc>
          <w:tcPr>
            <w:tcW w:w="1460" w:type="dxa"/>
            <w:vAlign w:val="bottom"/>
          </w:tcPr>
          <w:p>
            <w:pPr>
              <w:jc w:val="right"/>
              <w:spacing w:after="0"/>
              <w:rPr>
                <w:sz w:val="20"/>
                <w:szCs w:val="20"/>
                <w:color w:val="auto"/>
              </w:rPr>
            </w:pPr>
            <w:r>
              <w:rPr>
                <w:rFonts w:ascii="Arial" w:cs="Arial" w:eastAsia="Arial" w:hAnsi="Arial"/>
                <w:sz w:val="16"/>
                <w:szCs w:val="16"/>
                <w:color w:val="auto"/>
              </w:rPr>
              <w:t>4,393</w:t>
            </w:r>
          </w:p>
        </w:tc>
        <w:tc>
          <w:tcPr>
            <w:tcW w:w="1500" w:type="dxa"/>
            <w:vAlign w:val="bottom"/>
          </w:tcPr>
          <w:p>
            <w:pPr>
              <w:jc w:val="right"/>
              <w:spacing w:after="0"/>
              <w:rPr>
                <w:sz w:val="20"/>
                <w:szCs w:val="20"/>
                <w:color w:val="auto"/>
              </w:rPr>
            </w:pPr>
            <w:r>
              <w:rPr>
                <w:rFonts w:ascii="Arial" w:cs="Arial" w:eastAsia="Arial" w:hAnsi="Arial"/>
                <w:sz w:val="16"/>
                <w:szCs w:val="16"/>
                <w:color w:val="auto"/>
              </w:rPr>
              <w:t>272,335</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3,223</w:t>
            </w:r>
          </w:p>
        </w:tc>
        <w:tc>
          <w:tcPr>
            <w:tcW w:w="1040" w:type="dxa"/>
            <w:vAlign w:val="bottom"/>
          </w:tcPr>
          <w:p>
            <w:pPr>
              <w:jc w:val="right"/>
              <w:spacing w:after="0"/>
              <w:rPr>
                <w:sz w:val="20"/>
                <w:szCs w:val="20"/>
                <w:color w:val="auto"/>
              </w:rPr>
            </w:pPr>
            <w:r>
              <w:rPr>
                <w:rFonts w:ascii="Arial" w:cs="Arial" w:eastAsia="Arial" w:hAnsi="Arial"/>
                <w:sz w:val="16"/>
                <w:szCs w:val="16"/>
                <w:color w:val="auto"/>
              </w:rPr>
              <w:t>199,833</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36.28 %</w:t>
            </w: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U.S. High Yield</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604</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37,455</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357</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22,152</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69.08 %</w:t>
            </w: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European Credit</w:t>
            </w:r>
          </w:p>
        </w:tc>
        <w:tc>
          <w:tcPr>
            <w:tcW w:w="1460" w:type="dxa"/>
            <w:vAlign w:val="bottom"/>
          </w:tcPr>
          <w:p>
            <w:pPr>
              <w:jc w:val="right"/>
              <w:spacing w:after="0"/>
              <w:rPr>
                <w:sz w:val="20"/>
                <w:szCs w:val="20"/>
                <w:color w:val="auto"/>
              </w:rPr>
            </w:pPr>
            <w:r>
              <w:rPr>
                <w:rFonts w:ascii="Arial" w:cs="Arial" w:eastAsia="Arial" w:hAnsi="Arial"/>
                <w:sz w:val="16"/>
                <w:szCs w:val="16"/>
                <w:color w:val="auto"/>
              </w:rPr>
              <w:t>1,541</w:t>
            </w:r>
          </w:p>
        </w:tc>
        <w:tc>
          <w:tcPr>
            <w:tcW w:w="1500" w:type="dxa"/>
            <w:vAlign w:val="bottom"/>
          </w:tcPr>
          <w:p>
            <w:pPr>
              <w:jc w:val="right"/>
              <w:spacing w:after="0"/>
              <w:rPr>
                <w:sz w:val="20"/>
                <w:szCs w:val="20"/>
                <w:color w:val="auto"/>
              </w:rPr>
            </w:pPr>
            <w:r>
              <w:rPr>
                <w:rFonts w:ascii="Arial" w:cs="Arial" w:eastAsia="Arial" w:hAnsi="Arial"/>
                <w:sz w:val="16"/>
                <w:szCs w:val="16"/>
                <w:color w:val="auto"/>
              </w:rPr>
              <w:t>98,623</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1,299</w:t>
            </w:r>
          </w:p>
        </w:tc>
        <w:tc>
          <w:tcPr>
            <w:tcW w:w="1040" w:type="dxa"/>
            <w:vAlign w:val="bottom"/>
          </w:tcPr>
          <w:p>
            <w:pPr>
              <w:jc w:val="right"/>
              <w:spacing w:after="0"/>
              <w:rPr>
                <w:sz w:val="20"/>
                <w:szCs w:val="20"/>
                <w:color w:val="auto"/>
              </w:rPr>
            </w:pPr>
            <w:r>
              <w:rPr>
                <w:rFonts w:ascii="Arial" w:cs="Arial" w:eastAsia="Arial" w:hAnsi="Arial"/>
                <w:sz w:val="16"/>
                <w:szCs w:val="16"/>
                <w:color w:val="auto"/>
              </w:rPr>
              <w:t>83,106</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18.67 %</w:t>
            </w: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Municipal Bonds</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12,350</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217</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13,426</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Chinese Bonds</w:t>
            </w:r>
          </w:p>
        </w:tc>
        <w:tc>
          <w:tcPr>
            <w:tcW w:w="1460" w:type="dxa"/>
            <w:vAlign w:val="bottom"/>
          </w:tcPr>
          <w:p>
            <w:pPr>
              <w:jc w:val="right"/>
              <w:spacing w:after="0"/>
              <w:rPr>
                <w:sz w:val="20"/>
                <w:szCs w:val="20"/>
                <w:color w:val="auto"/>
              </w:rPr>
            </w:pPr>
            <w:r>
              <w:rPr>
                <w:rFonts w:ascii="Arial" w:cs="Arial" w:eastAsia="Arial" w:hAnsi="Arial"/>
                <w:sz w:val="16"/>
                <w:szCs w:val="16"/>
                <w:color w:val="auto"/>
              </w:rPr>
              <w:t>1,501</w:t>
            </w:r>
          </w:p>
        </w:tc>
        <w:tc>
          <w:tcPr>
            <w:tcW w:w="1500" w:type="dxa"/>
            <w:vAlign w:val="bottom"/>
          </w:tcPr>
          <w:p>
            <w:pPr>
              <w:jc w:val="right"/>
              <w:spacing w:after="0"/>
              <w:rPr>
                <w:sz w:val="20"/>
                <w:szCs w:val="20"/>
                <w:color w:val="auto"/>
              </w:rPr>
            </w:pPr>
            <w:r>
              <w:rPr>
                <w:rFonts w:ascii="Arial" w:cs="Arial" w:eastAsia="Arial" w:hAnsi="Arial"/>
                <w:sz w:val="16"/>
                <w:szCs w:val="16"/>
                <w:color w:val="auto"/>
              </w:rPr>
              <w:t>90,057</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864</w:t>
            </w:r>
          </w:p>
        </w:tc>
        <w:tc>
          <w:tcPr>
            <w:tcW w:w="1040" w:type="dxa"/>
            <w:vAlign w:val="bottom"/>
          </w:tcPr>
          <w:p>
            <w:pPr>
              <w:jc w:val="right"/>
              <w:spacing w:after="0"/>
              <w:rPr>
                <w:sz w:val="20"/>
                <w:szCs w:val="20"/>
                <w:color w:val="auto"/>
              </w:rPr>
            </w:pPr>
            <w:r>
              <w:rPr>
                <w:rFonts w:ascii="Arial" w:cs="Arial" w:eastAsia="Arial" w:hAnsi="Arial"/>
                <w:sz w:val="16"/>
                <w:szCs w:val="16"/>
                <w:color w:val="auto"/>
              </w:rPr>
              <w:t>51,812</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73.81 %</w:t>
            </w: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Other Credit Bonds</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5,695</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56</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3,537</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61.94 %</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4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9,587</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603,015</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7,218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454,130</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32.82 %</w:t>
            </w:r>
          </w:p>
        </w:tc>
        <w:tc>
          <w:tcPr>
            <w:tcW w:w="0" w:type="dxa"/>
            <w:vAlign w:val="bottom"/>
          </w:tcPr>
          <w:p>
            <w:pPr>
              <w:spacing w:after="0"/>
              <w:rPr>
                <w:sz w:val="1"/>
                <w:szCs w:val="1"/>
                <w:color w:val="auto"/>
              </w:rPr>
            </w:pPr>
          </w:p>
        </w:tc>
      </w:tr>
      <w:tr>
        <w:trPr>
          <w:trHeight w:val="247"/>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Swaps</w:t>
            </w:r>
          </w:p>
        </w:tc>
        <w:tc>
          <w:tcPr>
            <w:tcW w:w="14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9,587</w:t>
            </w:r>
          </w:p>
        </w:tc>
        <w:tc>
          <w:tcPr>
            <w:tcW w:w="15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603,015</w:t>
            </w:r>
          </w:p>
        </w:tc>
        <w:tc>
          <w:tcPr>
            <w:tcW w:w="80" w:type="dxa"/>
            <w:vAlign w:val="bottom"/>
            <w:tcBorders>
              <w:bottom w:val="single" w:sz="8" w:color="auto"/>
            </w:tcBorders>
            <w:shd w:val="clear" w:color="auto" w:fill="D5DCE4"/>
          </w:tcPr>
          <w:p>
            <w:pPr>
              <w:spacing w:after="0"/>
              <w:rPr>
                <w:sz w:val="21"/>
                <w:szCs w:val="21"/>
                <w:color w:val="auto"/>
              </w:rPr>
            </w:pPr>
          </w:p>
        </w:tc>
        <w:tc>
          <w:tcPr>
            <w:tcW w:w="1940" w:type="dxa"/>
            <w:vAlign w:val="bottom"/>
            <w:tcBorders>
              <w:bottom w:val="single" w:sz="8" w:color="auto"/>
            </w:tcBorders>
            <w:shd w:val="clear" w:color="auto" w:fill="D5DCE4"/>
          </w:tcPr>
          <w:p>
            <w:pPr>
              <w:jc w:val="right"/>
              <w:ind w:right="459"/>
              <w:spacing w:after="0"/>
              <w:rPr>
                <w:sz w:val="20"/>
                <w:szCs w:val="20"/>
                <w:color w:val="auto"/>
              </w:rPr>
            </w:pPr>
            <w:r>
              <w:rPr>
                <w:rFonts w:ascii="Arial" w:cs="Arial" w:eastAsia="Arial" w:hAnsi="Arial"/>
                <w:sz w:val="16"/>
                <w:szCs w:val="16"/>
                <w:color w:val="auto"/>
              </w:rPr>
              <w:t>7,218</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454,130</w:t>
            </w:r>
          </w:p>
        </w:tc>
        <w:tc>
          <w:tcPr>
            <w:tcW w:w="8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32.82 %</w:t>
            </w:r>
          </w:p>
        </w:tc>
        <w:tc>
          <w:tcPr>
            <w:tcW w:w="0" w:type="dxa"/>
            <w:vAlign w:val="bottom"/>
          </w:tcPr>
          <w:p>
            <w:pPr>
              <w:spacing w:after="0"/>
              <w:rPr>
                <w:sz w:val="1"/>
                <w:szCs w:val="1"/>
                <w:color w:val="auto"/>
              </w:rPr>
            </w:pPr>
          </w:p>
        </w:tc>
      </w:tr>
      <w:tr>
        <w:trPr>
          <w:trHeight w:val="233"/>
        </w:trPr>
        <w:tc>
          <w:tcPr>
            <w:tcW w:w="1080" w:type="dxa"/>
            <w:vAlign w:val="bottom"/>
            <w:tcBorders>
              <w:bottom w:val="single" w:sz="8" w:color="D5DCE4"/>
            </w:tcBorders>
          </w:tcPr>
          <w:p>
            <w:pPr>
              <w:spacing w:after="0"/>
              <w:rPr>
                <w:sz w:val="20"/>
                <w:szCs w:val="20"/>
                <w:color w:val="auto"/>
              </w:rPr>
            </w:pPr>
          </w:p>
        </w:tc>
        <w:tc>
          <w:tcPr>
            <w:tcW w:w="2460" w:type="dxa"/>
            <w:vAlign w:val="bottom"/>
            <w:tcBorders>
              <w:bottom w:val="single" w:sz="8" w:color="D5DCE4"/>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17,915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1,119,529</w:t>
            </w:r>
          </w:p>
        </w:tc>
        <w:tc>
          <w:tcPr>
            <w:tcW w:w="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13,233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827,996</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35.38 %</w:t>
            </w:r>
          </w:p>
        </w:tc>
        <w:tc>
          <w:tcPr>
            <w:tcW w:w="0" w:type="dxa"/>
            <w:vAlign w:val="bottom"/>
          </w:tcPr>
          <w:p>
            <w:pPr>
              <w:spacing w:after="0"/>
              <w:rPr>
                <w:sz w:val="1"/>
                <w:szCs w:val="1"/>
                <w:color w:val="auto"/>
              </w:rPr>
            </w:pPr>
          </w:p>
        </w:tc>
      </w:tr>
      <w:tr>
        <w:trPr>
          <w:trHeight w:val="180"/>
        </w:trPr>
        <w:tc>
          <w:tcPr>
            <w:tcW w:w="1080" w:type="dxa"/>
            <w:vAlign w:val="bottom"/>
            <w:shd w:val="clear" w:color="auto" w:fill="D5DCE4"/>
          </w:tcPr>
          <w:p>
            <w:pPr>
              <w:ind w:left="20"/>
              <w:spacing w:after="0" w:line="180" w:lineRule="exact"/>
              <w:rPr>
                <w:sz w:val="20"/>
                <w:szCs w:val="20"/>
                <w:color w:val="auto"/>
              </w:rPr>
            </w:pPr>
            <w:r>
              <w:rPr>
                <w:rFonts w:ascii="Arial" w:cs="Arial" w:eastAsia="Arial" w:hAnsi="Arial"/>
                <w:sz w:val="16"/>
                <w:szCs w:val="16"/>
                <w:b w:val="1"/>
                <w:bCs w:val="1"/>
                <w:color w:val="auto"/>
              </w:rPr>
              <w:t>Money</w:t>
            </w:r>
          </w:p>
        </w:tc>
        <w:tc>
          <w:tcPr>
            <w:tcW w:w="2460" w:type="dxa"/>
            <w:vAlign w:val="bottom"/>
            <w:gridSpan w:val="2"/>
            <w:vMerge w:val="restart"/>
            <w:shd w:val="clear" w:color="auto" w:fill="D5DCE4"/>
          </w:tcPr>
          <w:p>
            <w:pPr>
              <w:ind w:left="120"/>
              <w:spacing w:after="0"/>
              <w:rPr>
                <w:sz w:val="20"/>
                <w:szCs w:val="20"/>
                <w:color w:val="auto"/>
              </w:rPr>
            </w:pPr>
            <w:r>
              <w:rPr>
                <w:rFonts w:ascii="Arial" w:cs="Arial" w:eastAsia="Arial" w:hAnsi="Arial"/>
                <w:sz w:val="16"/>
                <w:szCs w:val="16"/>
                <w:b w:val="1"/>
                <w:bCs w:val="1"/>
                <w:color w:val="auto"/>
              </w:rPr>
              <w:t>Cash</w:t>
            </w:r>
          </w:p>
        </w:tc>
        <w:tc>
          <w:tcPr>
            <w:tcW w:w="1460" w:type="dxa"/>
            <w:vAlign w:val="bottom"/>
            <w:vMerge w:val="restart"/>
            <w:shd w:val="clear" w:color="auto" w:fill="D5DCE4"/>
          </w:tcPr>
          <w:p>
            <w:pPr>
              <w:jc w:val="right"/>
              <w:spacing w:after="0"/>
              <w:rPr>
                <w:sz w:val="20"/>
                <w:szCs w:val="20"/>
                <w:color w:val="auto"/>
              </w:rPr>
            </w:pPr>
            <w:r>
              <w:rPr>
                <w:rFonts w:ascii="Arial" w:cs="Arial" w:eastAsia="Arial" w:hAnsi="Arial"/>
                <w:sz w:val="16"/>
                <w:szCs w:val="16"/>
                <w:b w:val="1"/>
                <w:bCs w:val="1"/>
                <w:color w:val="auto"/>
              </w:rPr>
              <w:t>330,296</w:t>
            </w:r>
          </w:p>
        </w:tc>
        <w:tc>
          <w:tcPr>
            <w:tcW w:w="1500" w:type="dxa"/>
            <w:vAlign w:val="bottom"/>
            <w:vMerge w:val="restart"/>
            <w:shd w:val="clear" w:color="auto" w:fill="D5DCE4"/>
          </w:tcPr>
          <w:p>
            <w:pPr>
              <w:jc w:val="right"/>
              <w:spacing w:after="0"/>
              <w:rPr>
                <w:sz w:val="20"/>
                <w:szCs w:val="20"/>
                <w:color w:val="auto"/>
              </w:rPr>
            </w:pPr>
            <w:r>
              <w:rPr>
                <w:rFonts w:ascii="Arial" w:cs="Arial" w:eastAsia="Arial" w:hAnsi="Arial"/>
                <w:sz w:val="16"/>
                <w:szCs w:val="16"/>
                <w:b w:val="1"/>
                <w:bCs w:val="1"/>
                <w:color w:val="auto"/>
              </w:rPr>
              <w:t>20,615,266</w:t>
            </w:r>
          </w:p>
        </w:tc>
        <w:tc>
          <w:tcPr>
            <w:tcW w:w="80" w:type="dxa"/>
            <w:vAlign w:val="bottom"/>
            <w:shd w:val="clear" w:color="auto" w:fill="D5DCE4"/>
          </w:tcPr>
          <w:p>
            <w:pPr>
              <w:spacing w:after="0"/>
              <w:rPr>
                <w:sz w:val="15"/>
                <w:szCs w:val="15"/>
                <w:color w:val="auto"/>
              </w:rPr>
            </w:pPr>
          </w:p>
        </w:tc>
        <w:tc>
          <w:tcPr>
            <w:tcW w:w="1940" w:type="dxa"/>
            <w:vAlign w:val="bottom"/>
            <w:vMerge w:val="restart"/>
            <w:shd w:val="clear" w:color="auto" w:fill="D5DCE4"/>
          </w:tcPr>
          <w:p>
            <w:pPr>
              <w:jc w:val="right"/>
              <w:ind w:right="459"/>
              <w:spacing w:after="0"/>
              <w:rPr>
                <w:sz w:val="20"/>
                <w:szCs w:val="20"/>
                <w:color w:val="auto"/>
              </w:rPr>
            </w:pPr>
            <w:r>
              <w:rPr>
                <w:rFonts w:ascii="Arial" w:cs="Arial" w:eastAsia="Arial" w:hAnsi="Arial"/>
                <w:sz w:val="16"/>
                <w:szCs w:val="16"/>
                <w:b w:val="1"/>
                <w:bCs w:val="1"/>
                <w:color w:val="auto"/>
              </w:rPr>
              <w:t>212,333</w:t>
            </w: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b w:val="1"/>
                <w:bCs w:val="1"/>
                <w:color w:val="auto"/>
              </w:rPr>
              <w:t>13,211,137</w:t>
            </w:r>
          </w:p>
        </w:tc>
        <w:tc>
          <w:tcPr>
            <w:tcW w:w="80" w:type="dxa"/>
            <w:vAlign w:val="bottom"/>
            <w:shd w:val="clear" w:color="auto" w:fill="D5DCE4"/>
          </w:tcPr>
          <w:p>
            <w:pPr>
              <w:spacing w:after="0"/>
              <w:rPr>
                <w:sz w:val="15"/>
                <w:szCs w:val="15"/>
                <w:color w:val="auto"/>
              </w:rPr>
            </w:pPr>
          </w:p>
        </w:tc>
        <w:tc>
          <w:tcPr>
            <w:tcW w:w="1600" w:type="dxa"/>
            <w:vAlign w:val="bottom"/>
            <w:vMerge w:val="restart"/>
            <w:shd w:val="clear" w:color="auto" w:fill="D5DCE4"/>
          </w:tcPr>
          <w:p>
            <w:pPr>
              <w:jc w:val="right"/>
              <w:spacing w:after="0"/>
              <w:rPr>
                <w:sz w:val="20"/>
                <w:szCs w:val="20"/>
                <w:color w:val="auto"/>
              </w:rPr>
            </w:pPr>
            <w:r>
              <w:rPr>
                <w:rFonts w:ascii="Arial" w:cs="Arial" w:eastAsia="Arial" w:hAnsi="Arial"/>
                <w:sz w:val="16"/>
                <w:szCs w:val="16"/>
                <w:b w:val="1"/>
                <w:bCs w:val="1"/>
                <w:color w:val="auto"/>
              </w:rPr>
              <w:t>55.56 %</w:t>
            </w:r>
          </w:p>
        </w:tc>
        <w:tc>
          <w:tcPr>
            <w:tcW w:w="0" w:type="dxa"/>
            <w:vAlign w:val="bottom"/>
          </w:tcPr>
          <w:p>
            <w:pPr>
              <w:spacing w:after="0"/>
              <w:rPr>
                <w:sz w:val="1"/>
                <w:szCs w:val="1"/>
                <w:color w:val="auto"/>
              </w:rPr>
            </w:pPr>
          </w:p>
        </w:tc>
      </w:tr>
      <w:tr>
        <w:trPr>
          <w:trHeight w:val="134"/>
        </w:trPr>
        <w:tc>
          <w:tcPr>
            <w:tcW w:w="1080" w:type="dxa"/>
            <w:vAlign w:val="bottom"/>
            <w:vMerge w:val="restart"/>
            <w:shd w:val="clear" w:color="auto" w:fill="D5DCE4"/>
          </w:tcPr>
          <w:p>
            <w:pPr>
              <w:ind w:left="20"/>
              <w:spacing w:after="0"/>
              <w:rPr>
                <w:sz w:val="20"/>
                <w:szCs w:val="20"/>
                <w:color w:val="auto"/>
              </w:rPr>
            </w:pPr>
            <w:r>
              <w:rPr>
                <w:rFonts w:ascii="Arial" w:cs="Arial" w:eastAsia="Arial" w:hAnsi="Arial"/>
                <w:sz w:val="16"/>
                <w:szCs w:val="16"/>
                <w:b w:val="1"/>
                <w:bCs w:val="1"/>
                <w:color w:val="auto"/>
              </w:rPr>
              <w:t>Markets</w:t>
            </w:r>
          </w:p>
        </w:tc>
        <w:tc>
          <w:tcPr>
            <w:tcW w:w="2460" w:type="dxa"/>
            <w:vAlign w:val="bottom"/>
            <w:gridSpan w:val="2"/>
            <w:vMerge w:val="continue"/>
            <w:shd w:val="clear" w:color="auto" w:fill="D5DCE4"/>
          </w:tcPr>
          <w:p>
            <w:pPr>
              <w:spacing w:after="0"/>
              <w:rPr>
                <w:sz w:val="11"/>
                <w:szCs w:val="11"/>
                <w:color w:val="auto"/>
              </w:rPr>
            </w:pPr>
          </w:p>
        </w:tc>
        <w:tc>
          <w:tcPr>
            <w:tcW w:w="1460" w:type="dxa"/>
            <w:vAlign w:val="bottom"/>
            <w:vMerge w:val="continue"/>
            <w:shd w:val="clear" w:color="auto" w:fill="D5DCE4"/>
          </w:tcPr>
          <w:p>
            <w:pPr>
              <w:spacing w:after="0"/>
              <w:rPr>
                <w:sz w:val="11"/>
                <w:szCs w:val="11"/>
                <w:color w:val="auto"/>
              </w:rPr>
            </w:pPr>
          </w:p>
        </w:tc>
        <w:tc>
          <w:tcPr>
            <w:tcW w:w="1500" w:type="dxa"/>
            <w:vAlign w:val="bottom"/>
            <w:vMerge w:val="continue"/>
            <w:shd w:val="clear" w:color="auto" w:fill="D5DCE4"/>
          </w:tcPr>
          <w:p>
            <w:pPr>
              <w:spacing w:after="0"/>
              <w:rPr>
                <w:sz w:val="11"/>
                <w:szCs w:val="11"/>
                <w:color w:val="auto"/>
              </w:rPr>
            </w:pPr>
          </w:p>
        </w:tc>
        <w:tc>
          <w:tcPr>
            <w:tcW w:w="80" w:type="dxa"/>
            <w:vAlign w:val="bottom"/>
            <w:shd w:val="clear" w:color="auto" w:fill="D5DCE4"/>
          </w:tcPr>
          <w:p>
            <w:pPr>
              <w:spacing w:after="0"/>
              <w:rPr>
                <w:sz w:val="11"/>
                <w:szCs w:val="11"/>
                <w:color w:val="auto"/>
              </w:rPr>
            </w:pPr>
          </w:p>
        </w:tc>
        <w:tc>
          <w:tcPr>
            <w:tcW w:w="1940" w:type="dxa"/>
            <w:vAlign w:val="bottom"/>
            <w:vMerge w:val="continue"/>
            <w:shd w:val="clear" w:color="auto" w:fill="D5DCE4"/>
          </w:tcPr>
          <w:p>
            <w:pPr>
              <w:spacing w:after="0"/>
              <w:rPr>
                <w:sz w:val="11"/>
                <w:szCs w:val="11"/>
                <w:color w:val="auto"/>
              </w:rPr>
            </w:pPr>
          </w:p>
        </w:tc>
        <w:tc>
          <w:tcPr>
            <w:tcW w:w="1040" w:type="dxa"/>
            <w:vAlign w:val="bottom"/>
            <w:vMerge w:val="continue"/>
            <w:shd w:val="clear" w:color="auto" w:fill="D5DCE4"/>
          </w:tcPr>
          <w:p>
            <w:pPr>
              <w:spacing w:after="0"/>
              <w:rPr>
                <w:sz w:val="11"/>
                <w:szCs w:val="11"/>
                <w:color w:val="auto"/>
              </w:rPr>
            </w:pPr>
          </w:p>
        </w:tc>
        <w:tc>
          <w:tcPr>
            <w:tcW w:w="80" w:type="dxa"/>
            <w:vAlign w:val="bottom"/>
            <w:shd w:val="clear" w:color="auto" w:fill="D5DCE4"/>
          </w:tcPr>
          <w:p>
            <w:pPr>
              <w:spacing w:after="0"/>
              <w:rPr>
                <w:sz w:val="11"/>
                <w:szCs w:val="11"/>
                <w:color w:val="auto"/>
              </w:rPr>
            </w:pPr>
          </w:p>
        </w:tc>
        <w:tc>
          <w:tcPr>
            <w:tcW w:w="1600" w:type="dxa"/>
            <w:vAlign w:val="bottom"/>
            <w:vMerge w:val="continue"/>
            <w:shd w:val="clear" w:color="auto" w:fill="D5DCE4"/>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080" w:type="dxa"/>
            <w:vAlign w:val="bottom"/>
            <w:vMerge w:val="continue"/>
            <w:shd w:val="clear" w:color="auto" w:fill="D5DCE4"/>
          </w:tcPr>
          <w:p>
            <w:pPr>
              <w:spacing w:after="0"/>
              <w:rPr>
                <w:sz w:val="8"/>
                <w:szCs w:val="8"/>
                <w:color w:val="auto"/>
              </w:rPr>
            </w:pPr>
          </w:p>
        </w:tc>
        <w:tc>
          <w:tcPr>
            <w:tcW w:w="2380" w:type="dxa"/>
            <w:vAlign w:val="bottom"/>
            <w:shd w:val="clear" w:color="auto" w:fill="D5DCE4"/>
          </w:tcPr>
          <w:p>
            <w:pPr>
              <w:spacing w:after="0"/>
              <w:rPr>
                <w:sz w:val="8"/>
                <w:szCs w:val="8"/>
                <w:color w:val="auto"/>
              </w:rPr>
            </w:pPr>
          </w:p>
        </w:tc>
        <w:tc>
          <w:tcPr>
            <w:tcW w:w="80" w:type="dxa"/>
            <w:vAlign w:val="bottom"/>
            <w:shd w:val="clear" w:color="auto" w:fill="D5DCE4"/>
          </w:tcPr>
          <w:p>
            <w:pPr>
              <w:spacing w:after="0"/>
              <w:rPr>
                <w:sz w:val="8"/>
                <w:szCs w:val="8"/>
                <w:color w:val="auto"/>
              </w:rPr>
            </w:pPr>
          </w:p>
        </w:tc>
        <w:tc>
          <w:tcPr>
            <w:tcW w:w="1460" w:type="dxa"/>
            <w:vAlign w:val="bottom"/>
            <w:shd w:val="clear" w:color="auto" w:fill="D5DCE4"/>
          </w:tcPr>
          <w:p>
            <w:pPr>
              <w:spacing w:after="0"/>
              <w:rPr>
                <w:sz w:val="8"/>
                <w:szCs w:val="8"/>
                <w:color w:val="auto"/>
              </w:rPr>
            </w:pPr>
          </w:p>
        </w:tc>
        <w:tc>
          <w:tcPr>
            <w:tcW w:w="1500" w:type="dxa"/>
            <w:vAlign w:val="bottom"/>
            <w:shd w:val="clear" w:color="auto" w:fill="D5DCE4"/>
          </w:tcPr>
          <w:p>
            <w:pPr>
              <w:spacing w:after="0"/>
              <w:rPr>
                <w:sz w:val="8"/>
                <w:szCs w:val="8"/>
                <w:color w:val="auto"/>
              </w:rPr>
            </w:pPr>
          </w:p>
        </w:tc>
        <w:tc>
          <w:tcPr>
            <w:tcW w:w="80" w:type="dxa"/>
            <w:vAlign w:val="bottom"/>
            <w:shd w:val="clear" w:color="auto" w:fill="D5DCE4"/>
          </w:tcPr>
          <w:p>
            <w:pPr>
              <w:spacing w:after="0"/>
              <w:rPr>
                <w:sz w:val="8"/>
                <w:szCs w:val="8"/>
                <w:color w:val="auto"/>
              </w:rPr>
            </w:pPr>
          </w:p>
        </w:tc>
        <w:tc>
          <w:tcPr>
            <w:tcW w:w="1940" w:type="dxa"/>
            <w:vAlign w:val="bottom"/>
            <w:shd w:val="clear" w:color="auto" w:fill="D5DCE4"/>
          </w:tcPr>
          <w:p>
            <w:pPr>
              <w:spacing w:after="0"/>
              <w:rPr>
                <w:sz w:val="8"/>
                <w:szCs w:val="8"/>
                <w:color w:val="auto"/>
              </w:rPr>
            </w:pPr>
          </w:p>
        </w:tc>
        <w:tc>
          <w:tcPr>
            <w:tcW w:w="1040" w:type="dxa"/>
            <w:vAlign w:val="bottom"/>
            <w:shd w:val="clear" w:color="auto" w:fill="D5DCE4"/>
          </w:tcPr>
          <w:p>
            <w:pPr>
              <w:spacing w:after="0"/>
              <w:rPr>
                <w:sz w:val="8"/>
                <w:szCs w:val="8"/>
                <w:color w:val="auto"/>
              </w:rPr>
            </w:pPr>
          </w:p>
        </w:tc>
        <w:tc>
          <w:tcPr>
            <w:tcW w:w="80" w:type="dxa"/>
            <w:vAlign w:val="bottom"/>
            <w:shd w:val="clear" w:color="auto" w:fill="D5DCE4"/>
          </w:tcPr>
          <w:p>
            <w:pPr>
              <w:spacing w:after="0"/>
              <w:rPr>
                <w:sz w:val="8"/>
                <w:szCs w:val="8"/>
                <w:color w:val="auto"/>
              </w:rPr>
            </w:pPr>
          </w:p>
        </w:tc>
        <w:tc>
          <w:tcPr>
            <w:tcW w:w="1600" w:type="dxa"/>
            <w:vAlign w:val="bottom"/>
            <w:shd w:val="clear" w:color="auto" w:fill="D5DCE4"/>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080" w:type="dxa"/>
            <w:vAlign w:val="bottom"/>
          </w:tcPr>
          <w:p>
            <w:pPr>
              <w:spacing w:after="0"/>
              <w:rPr>
                <w:sz w:val="17"/>
                <w:szCs w:val="17"/>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Repurchase Agreements</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319,216</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19,927,191</w:t>
            </w:r>
          </w:p>
        </w:tc>
        <w:tc>
          <w:tcPr>
            <w:tcW w:w="80" w:type="dxa"/>
            <w:vAlign w:val="bottom"/>
          </w:tcPr>
          <w:p>
            <w:pPr>
              <w:spacing w:after="0"/>
              <w:rPr>
                <w:sz w:val="17"/>
                <w:szCs w:val="17"/>
                <w:color w:val="auto"/>
              </w:rPr>
            </w:pPr>
          </w:p>
        </w:tc>
        <w:tc>
          <w:tcPr>
            <w:tcW w:w="1940" w:type="dxa"/>
            <w:vAlign w:val="bottom"/>
            <w:vMerge w:val="restart"/>
          </w:tcPr>
          <w:p>
            <w:pPr>
              <w:jc w:val="right"/>
              <w:ind w:right="459"/>
              <w:spacing w:after="0"/>
              <w:rPr>
                <w:sz w:val="20"/>
                <w:szCs w:val="20"/>
                <w:color w:val="auto"/>
              </w:rPr>
            </w:pPr>
            <w:r>
              <w:rPr>
                <w:rFonts w:ascii="Arial" w:cs="Arial" w:eastAsia="Arial" w:hAnsi="Arial"/>
                <w:sz w:val="16"/>
                <w:szCs w:val="16"/>
                <w:color w:val="auto"/>
              </w:rPr>
              <w:t>194,193</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12,084,004</w:t>
            </w:r>
          </w:p>
        </w:tc>
        <w:tc>
          <w:tcPr>
            <w:tcW w:w="8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64.38 %</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60" w:type="dxa"/>
            <w:vAlign w:val="bottom"/>
            <w:gridSpan w:val="2"/>
            <w:vMerge w:val="restart"/>
          </w:tcPr>
          <w:p>
            <w:pPr>
              <w:jc w:val="right"/>
              <w:ind w:right="100"/>
              <w:spacing w:after="0"/>
              <w:rPr>
                <w:sz w:val="20"/>
                <w:szCs w:val="20"/>
                <w:color w:val="auto"/>
              </w:rPr>
            </w:pPr>
            <w:r>
              <w:rPr>
                <w:rFonts w:ascii="Arial" w:cs="Arial" w:eastAsia="Arial" w:hAnsi="Arial"/>
                <w:sz w:val="16"/>
                <w:szCs w:val="16"/>
                <w:i w:val="1"/>
                <w:iCs w:val="1"/>
                <w:color w:val="auto"/>
              </w:rPr>
              <w:t>(Repo)</w:t>
            </w:r>
          </w:p>
        </w:tc>
        <w:tc>
          <w:tcPr>
            <w:tcW w:w="14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1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Other Money Markets</w:t>
            </w:r>
          </w:p>
        </w:tc>
        <w:tc>
          <w:tcPr>
            <w:tcW w:w="14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11,080</w:t>
            </w:r>
          </w:p>
        </w:tc>
        <w:tc>
          <w:tcPr>
            <w:tcW w:w="15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688,075</w:t>
            </w:r>
          </w:p>
        </w:tc>
        <w:tc>
          <w:tcPr>
            <w:tcW w:w="80" w:type="dxa"/>
            <w:vAlign w:val="bottom"/>
            <w:tcBorders>
              <w:bottom w:val="single" w:sz="8" w:color="auto"/>
            </w:tcBorders>
            <w:shd w:val="clear" w:color="auto" w:fill="D5DCE4"/>
          </w:tcPr>
          <w:p>
            <w:pPr>
              <w:spacing w:after="0"/>
              <w:rPr>
                <w:sz w:val="21"/>
                <w:szCs w:val="21"/>
                <w:color w:val="auto"/>
              </w:rPr>
            </w:pPr>
          </w:p>
        </w:tc>
        <w:tc>
          <w:tcPr>
            <w:tcW w:w="1940" w:type="dxa"/>
            <w:vAlign w:val="bottom"/>
            <w:tcBorders>
              <w:bottom w:val="single" w:sz="8" w:color="auto"/>
            </w:tcBorders>
            <w:shd w:val="clear" w:color="auto" w:fill="D5DCE4"/>
          </w:tcPr>
          <w:p>
            <w:pPr>
              <w:jc w:val="right"/>
              <w:ind w:right="459"/>
              <w:spacing w:after="0"/>
              <w:rPr>
                <w:sz w:val="20"/>
                <w:szCs w:val="20"/>
                <w:color w:val="auto"/>
              </w:rPr>
            </w:pPr>
            <w:r>
              <w:rPr>
                <w:rFonts w:ascii="Arial" w:cs="Arial" w:eastAsia="Arial" w:hAnsi="Arial"/>
                <w:sz w:val="16"/>
                <w:szCs w:val="16"/>
                <w:color w:val="auto"/>
              </w:rPr>
              <w:t>18,140</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1,127,132</w:t>
            </w:r>
          </w:p>
        </w:tc>
        <w:tc>
          <w:tcPr>
            <w:tcW w:w="8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(38.92)%</w:t>
            </w:r>
          </w:p>
        </w:tc>
        <w:tc>
          <w:tcPr>
            <w:tcW w:w="0" w:type="dxa"/>
            <w:vAlign w:val="bottom"/>
          </w:tcPr>
          <w:p>
            <w:pPr>
              <w:spacing w:after="0"/>
              <w:rPr>
                <w:sz w:val="1"/>
                <w:szCs w:val="1"/>
                <w:color w:val="auto"/>
              </w:rPr>
            </w:pPr>
          </w:p>
        </w:tc>
      </w:tr>
      <w:tr>
        <w:trPr>
          <w:trHeight w:val="233"/>
        </w:trPr>
        <w:tc>
          <w:tcPr>
            <w:tcW w:w="1080" w:type="dxa"/>
            <w:vAlign w:val="bottom"/>
            <w:tcBorders>
              <w:bottom w:val="single" w:sz="8" w:color="D5DCE4"/>
            </w:tcBorders>
          </w:tcPr>
          <w:p>
            <w:pPr>
              <w:spacing w:after="0"/>
              <w:rPr>
                <w:sz w:val="20"/>
                <w:szCs w:val="20"/>
                <w:color w:val="auto"/>
              </w:rPr>
            </w:pPr>
          </w:p>
        </w:tc>
        <w:tc>
          <w:tcPr>
            <w:tcW w:w="2460" w:type="dxa"/>
            <w:vAlign w:val="bottom"/>
            <w:tcBorders>
              <w:bottom w:val="single" w:sz="8" w:color="D5DCE4"/>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330,296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20,615,266</w:t>
            </w:r>
          </w:p>
        </w:tc>
        <w:tc>
          <w:tcPr>
            <w:tcW w:w="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212,333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13,211,137</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55.56 %</w:t>
            </w:r>
          </w:p>
        </w:tc>
        <w:tc>
          <w:tcPr>
            <w:tcW w:w="0" w:type="dxa"/>
            <w:vAlign w:val="bottom"/>
          </w:tcPr>
          <w:p>
            <w:pPr>
              <w:spacing w:after="0"/>
              <w:rPr>
                <w:sz w:val="1"/>
                <w:szCs w:val="1"/>
                <w:color w:val="auto"/>
              </w:rPr>
            </w:pPr>
          </w:p>
        </w:tc>
      </w:tr>
      <w:tr>
        <w:trPr>
          <w:trHeight w:val="240"/>
        </w:trPr>
        <w:tc>
          <w:tcPr>
            <w:tcW w:w="10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60" w:type="dxa"/>
            <w:vAlign w:val="bottom"/>
            <w:gridSpan w:val="2"/>
            <w:shd w:val="clear" w:color="auto" w:fill="D5DCE4"/>
          </w:tcPr>
          <w:p>
            <w:pPr>
              <w:ind w:left="120"/>
              <w:spacing w:after="0"/>
              <w:rPr>
                <w:sz w:val="20"/>
                <w:szCs w:val="20"/>
                <w:color w:val="auto"/>
              </w:rPr>
            </w:pPr>
            <w:r>
              <w:rPr>
                <w:rFonts w:ascii="Arial" w:cs="Arial" w:eastAsia="Arial" w:hAnsi="Arial"/>
                <w:sz w:val="16"/>
                <w:szCs w:val="16"/>
                <w:b w:val="1"/>
                <w:bCs w:val="1"/>
                <w:color w:val="auto"/>
              </w:rPr>
              <w:t>Cash</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6,826</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436,848</w:t>
            </w:r>
          </w:p>
        </w:tc>
        <w:tc>
          <w:tcPr>
            <w:tcW w:w="80" w:type="dxa"/>
            <w:vAlign w:val="bottom"/>
            <w:shd w:val="clear" w:color="auto" w:fill="D5DCE4"/>
          </w:tcPr>
          <w:p>
            <w:pPr>
              <w:spacing w:after="0"/>
              <w:rPr>
                <w:sz w:val="20"/>
                <w:szCs w:val="20"/>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b w:val="1"/>
                <w:bCs w:val="1"/>
                <w:color w:val="auto"/>
              </w:rPr>
              <w:t>4,547</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291,036</w:t>
            </w:r>
          </w:p>
        </w:tc>
        <w:tc>
          <w:tcPr>
            <w:tcW w:w="80" w:type="dxa"/>
            <w:vAlign w:val="bottom"/>
            <w:shd w:val="clear" w:color="auto" w:fill="D5DCE4"/>
          </w:tcPr>
          <w:p>
            <w:pPr>
              <w:spacing w:after="0"/>
              <w:rPr>
                <w:sz w:val="20"/>
                <w:szCs w:val="20"/>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50.10 %</w:t>
            </w: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ETFs</w:t>
            </w:r>
          </w:p>
        </w:tc>
        <w:tc>
          <w:tcPr>
            <w:tcW w:w="1460" w:type="dxa"/>
            <w:vAlign w:val="bottom"/>
          </w:tcPr>
          <w:p>
            <w:pPr>
              <w:jc w:val="right"/>
              <w:spacing w:after="0"/>
              <w:rPr>
                <w:sz w:val="20"/>
                <w:szCs w:val="20"/>
                <w:color w:val="auto"/>
              </w:rPr>
            </w:pPr>
            <w:r>
              <w:rPr>
                <w:rFonts w:ascii="Arial" w:cs="Arial" w:eastAsia="Arial" w:hAnsi="Arial"/>
                <w:sz w:val="16"/>
                <w:szCs w:val="16"/>
                <w:color w:val="auto"/>
              </w:rPr>
              <w:t>4,656</w:t>
            </w:r>
          </w:p>
        </w:tc>
        <w:tc>
          <w:tcPr>
            <w:tcW w:w="1500" w:type="dxa"/>
            <w:vAlign w:val="bottom"/>
          </w:tcPr>
          <w:p>
            <w:pPr>
              <w:jc w:val="right"/>
              <w:spacing w:after="0"/>
              <w:rPr>
                <w:sz w:val="20"/>
                <w:szCs w:val="20"/>
                <w:color w:val="auto"/>
              </w:rPr>
            </w:pPr>
            <w:r>
              <w:rPr>
                <w:rFonts w:ascii="Arial" w:cs="Arial" w:eastAsia="Arial" w:hAnsi="Arial"/>
                <w:sz w:val="16"/>
                <w:szCs w:val="16"/>
                <w:color w:val="auto"/>
              </w:rPr>
              <w:t>297,966</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color w:val="auto"/>
              </w:rPr>
              <w:t>2,974</w:t>
            </w:r>
          </w:p>
        </w:tc>
        <w:tc>
          <w:tcPr>
            <w:tcW w:w="1040" w:type="dxa"/>
            <w:vAlign w:val="bottom"/>
          </w:tcPr>
          <w:p>
            <w:pPr>
              <w:jc w:val="right"/>
              <w:spacing w:after="0"/>
              <w:rPr>
                <w:sz w:val="20"/>
                <w:szCs w:val="20"/>
                <w:color w:val="auto"/>
              </w:rPr>
            </w:pPr>
            <w:r>
              <w:rPr>
                <w:rFonts w:ascii="Arial" w:cs="Arial" w:eastAsia="Arial" w:hAnsi="Arial"/>
                <w:sz w:val="16"/>
                <w:szCs w:val="16"/>
                <w:color w:val="auto"/>
              </w:rPr>
              <w:t>190,351</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56.53 %</w:t>
            </w:r>
          </w:p>
        </w:tc>
        <w:tc>
          <w:tcPr>
            <w:tcW w:w="0" w:type="dxa"/>
            <w:vAlign w:val="bottom"/>
          </w:tcPr>
          <w:p>
            <w:pPr>
              <w:spacing w:after="0"/>
              <w:rPr>
                <w:sz w:val="1"/>
                <w:szCs w:val="1"/>
                <w:color w:val="auto"/>
              </w:rPr>
            </w:pPr>
          </w:p>
        </w:tc>
      </w:tr>
      <w:tr>
        <w:trPr>
          <w:trHeight w:val="251"/>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Europe ETFs</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2,170</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138,882</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1,573</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100,685</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37.94 %</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4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5,568</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356,342</w:t>
            </w:r>
          </w:p>
        </w:tc>
        <w:tc>
          <w:tcPr>
            <w:tcW w:w="80" w:type="dxa"/>
            <w:vAlign w:val="bottom"/>
          </w:tcPr>
          <w:p>
            <w:pPr>
              <w:spacing w:after="0"/>
              <w:rPr>
                <w:sz w:val="20"/>
                <w:szCs w:val="20"/>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4,440</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284,188</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25.39 %</w:t>
            </w:r>
          </w:p>
        </w:tc>
        <w:tc>
          <w:tcPr>
            <w:tcW w:w="0" w:type="dxa"/>
            <w:vAlign w:val="bottom"/>
          </w:tcPr>
          <w:p>
            <w:pPr>
              <w:spacing w:after="0"/>
              <w:rPr>
                <w:sz w:val="1"/>
                <w:szCs w:val="1"/>
                <w:color w:val="auto"/>
              </w:rPr>
            </w:pPr>
          </w:p>
        </w:tc>
      </w:tr>
      <w:tr>
        <w:trPr>
          <w:trHeight w:val="247"/>
        </w:trPr>
        <w:tc>
          <w:tcPr>
            <w:tcW w:w="1080" w:type="dxa"/>
            <w:vAlign w:val="bottom"/>
            <w:shd w:val="clear" w:color="auto" w:fill="D5DCE4"/>
          </w:tcPr>
          <w:p>
            <w:pPr>
              <w:spacing w:after="0"/>
              <w:rPr>
                <w:sz w:val="21"/>
                <w:szCs w:val="21"/>
                <w:color w:val="auto"/>
              </w:rPr>
            </w:pPr>
          </w:p>
        </w:tc>
        <w:tc>
          <w:tcPr>
            <w:tcW w:w="2460" w:type="dxa"/>
            <w:vAlign w:val="bottom"/>
            <w:gridSpan w:val="2"/>
            <w:shd w:val="clear" w:color="auto" w:fill="D5DCE4"/>
          </w:tcPr>
          <w:p>
            <w:pPr>
              <w:jc w:val="right"/>
              <w:ind w:right="100"/>
              <w:spacing w:after="0"/>
              <w:rPr>
                <w:sz w:val="20"/>
                <w:szCs w:val="20"/>
                <w:color w:val="auto"/>
              </w:rPr>
            </w:pPr>
            <w:r>
              <w:rPr>
                <w:rFonts w:ascii="Arial" w:cs="Arial" w:eastAsia="Arial" w:hAnsi="Arial"/>
                <w:sz w:val="16"/>
                <w:szCs w:val="16"/>
                <w:i w:val="1"/>
                <w:iCs w:val="1"/>
                <w:color w:val="auto"/>
              </w:rPr>
              <w:t>Options/Convertibles/Swaps</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2,639</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168,879</w:t>
            </w:r>
          </w:p>
        </w:tc>
        <w:tc>
          <w:tcPr>
            <w:tcW w:w="80" w:type="dxa"/>
            <w:vAlign w:val="bottom"/>
            <w:shd w:val="clear" w:color="auto" w:fill="D5DCE4"/>
          </w:tcPr>
          <w:p>
            <w:pPr>
              <w:spacing w:after="0"/>
              <w:rPr>
                <w:sz w:val="21"/>
                <w:szCs w:val="21"/>
                <w:color w:val="auto"/>
              </w:rPr>
            </w:pPr>
          </w:p>
        </w:tc>
        <w:tc>
          <w:tcPr>
            <w:tcW w:w="19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2,628</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168,192</w:t>
            </w:r>
          </w:p>
        </w:tc>
        <w:tc>
          <w:tcPr>
            <w:tcW w:w="8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0.41 %</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D5DCE4"/>
            </w:tcBorders>
          </w:tcPr>
          <w:p>
            <w:pPr>
              <w:spacing w:after="0"/>
              <w:rPr>
                <w:sz w:val="20"/>
                <w:szCs w:val="20"/>
                <w:color w:val="auto"/>
              </w:rPr>
            </w:pPr>
          </w:p>
        </w:tc>
        <w:tc>
          <w:tcPr>
            <w:tcW w:w="2460" w:type="dxa"/>
            <w:vAlign w:val="bottom"/>
            <w:tcBorders>
              <w:bottom w:val="single" w:sz="8" w:color="D5DCE4"/>
            </w:tcBorders>
            <w:gridSpan w:val="2"/>
          </w:tcPr>
          <w:p>
            <w:pPr>
              <w:jc w:val="right"/>
              <w:ind w:right="100"/>
              <w:spacing w:after="0"/>
              <w:rPr>
                <w:sz w:val="20"/>
                <w:szCs w:val="20"/>
                <w:color w:val="auto"/>
              </w:rPr>
            </w:pPr>
            <w:r>
              <w:rPr>
                <w:rFonts w:ascii="Arial" w:cs="Arial" w:eastAsia="Arial" w:hAnsi="Arial"/>
                <w:sz w:val="16"/>
                <w:szCs w:val="16"/>
                <w:i w:val="1"/>
                <w:iCs w:val="1"/>
                <w:color w:val="auto"/>
              </w:rPr>
              <w:t>Futures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187,463</w:t>
            </w:r>
          </w:p>
        </w:tc>
        <w:tc>
          <w:tcPr>
            <w:tcW w:w="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1,812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115,995</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61.61 %</w:t>
            </w:r>
          </w:p>
        </w:tc>
        <w:tc>
          <w:tcPr>
            <w:tcW w:w="0" w:type="dxa"/>
            <w:vAlign w:val="bottom"/>
          </w:tcPr>
          <w:p>
            <w:pPr>
              <w:spacing w:after="0"/>
              <w:rPr>
                <w:sz w:val="1"/>
                <w:szCs w:val="1"/>
                <w:color w:val="auto"/>
              </w:rPr>
            </w:pPr>
          </w:p>
        </w:tc>
      </w:tr>
      <w:tr>
        <w:trPr>
          <w:trHeight w:val="239"/>
        </w:trPr>
        <w:tc>
          <w:tcPr>
            <w:tcW w:w="1080" w:type="dxa"/>
            <w:vAlign w:val="bottom"/>
            <w:shd w:val="clear" w:color="auto" w:fill="D5DCE4"/>
          </w:tcPr>
          <w:p>
            <w:pPr>
              <w:spacing w:after="0"/>
              <w:rPr>
                <w:sz w:val="20"/>
                <w:szCs w:val="20"/>
                <w:color w:val="auto"/>
              </w:rPr>
            </w:pPr>
          </w:p>
        </w:tc>
        <w:tc>
          <w:tcPr>
            <w:tcW w:w="2460" w:type="dxa"/>
            <w:vAlign w:val="bottom"/>
            <w:gridSpan w:val="2"/>
            <w:shd w:val="clear" w:color="auto" w:fill="D5DCE4"/>
          </w:tcPr>
          <w:p>
            <w:pPr>
              <w:ind w:left="120"/>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12,394</w:t>
            </w:r>
          </w:p>
        </w:tc>
        <w:tc>
          <w:tcPr>
            <w:tcW w:w="15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793,190</w:t>
            </w:r>
          </w:p>
        </w:tc>
        <w:tc>
          <w:tcPr>
            <w:tcW w:w="80" w:type="dxa"/>
            <w:vAlign w:val="bottom"/>
            <w:tcBorders>
              <w:bottom w:val="single" w:sz="8" w:color="auto"/>
            </w:tcBorders>
            <w:shd w:val="clear" w:color="auto" w:fill="D5DCE4"/>
          </w:tcPr>
          <w:p>
            <w:pPr>
              <w:spacing w:after="0"/>
              <w:rPr>
                <w:sz w:val="20"/>
                <w:szCs w:val="20"/>
                <w:color w:val="auto"/>
              </w:rPr>
            </w:pPr>
          </w:p>
        </w:tc>
        <w:tc>
          <w:tcPr>
            <w:tcW w:w="1940" w:type="dxa"/>
            <w:vAlign w:val="bottom"/>
            <w:tcBorders>
              <w:bottom w:val="single" w:sz="8" w:color="auto"/>
            </w:tcBorders>
            <w:shd w:val="clear" w:color="auto" w:fill="D5DCE4"/>
          </w:tcPr>
          <w:p>
            <w:pPr>
              <w:jc w:val="right"/>
              <w:ind w:right="459"/>
              <w:spacing w:after="0"/>
              <w:rPr>
                <w:sz w:val="20"/>
                <w:szCs w:val="20"/>
                <w:color w:val="auto"/>
              </w:rPr>
            </w:pPr>
            <w:r>
              <w:rPr>
                <w:rFonts w:ascii="Arial" w:cs="Arial" w:eastAsia="Arial" w:hAnsi="Arial"/>
                <w:sz w:val="16"/>
                <w:szCs w:val="16"/>
                <w:b w:val="1"/>
                <w:bCs w:val="1"/>
                <w:color w:val="auto"/>
              </w:rPr>
              <w:t>8,988</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575,224</w:t>
            </w:r>
          </w:p>
        </w:tc>
        <w:tc>
          <w:tcPr>
            <w:tcW w:w="80" w:type="dxa"/>
            <w:vAlign w:val="bottom"/>
            <w:tcBorders>
              <w:bottom w:val="single" w:sz="8" w:color="auto"/>
            </w:tcBorders>
            <w:shd w:val="clear" w:color="auto" w:fill="D5DCE4"/>
          </w:tcPr>
          <w:p>
            <w:pPr>
              <w:spacing w:after="0"/>
              <w:rPr>
                <w:sz w:val="20"/>
                <w:szCs w:val="20"/>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37.89 %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60"/>
          </w:cols>
          <w:pgMar w:left="320" w:top="767" w:right="3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9"/>
        </w:trPr>
        <w:tc>
          <w:tcPr>
            <w:tcW w:w="1500" w:type="dxa"/>
            <w:vAlign w:val="bottom"/>
            <w:tcBorders>
              <w:top w:val="single" w:sz="8" w:color="auto"/>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Volume (USD mm)</w:t>
            </w:r>
          </w:p>
        </w:tc>
        <w:tc>
          <w:tcPr>
            <w:tcW w:w="148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58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Volume (USD mm)</w:t>
            </w:r>
          </w:p>
        </w:tc>
        <w:tc>
          <w:tcPr>
            <w:tcW w:w="1600" w:type="dxa"/>
            <w:vAlign w:val="bottom"/>
            <w:tcBorders>
              <w:top w:val="single" w:sz="8" w:color="auto"/>
              <w:right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56"/>
        </w:trPr>
        <w:tc>
          <w:tcPr>
            <w:tcW w:w="150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897,913</w:t>
            </w:r>
          </w:p>
        </w:tc>
        <w:tc>
          <w:tcPr>
            <w:tcW w:w="156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56,130,497</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685,818</w:t>
            </w:r>
          </w:p>
        </w:tc>
        <w:tc>
          <w:tcPr>
            <w:tcW w:w="15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42,805,589</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30.93 %</w:t>
            </w:r>
          </w:p>
        </w:tc>
      </w:tr>
      <w:tr>
        <w:trPr>
          <w:trHeight w:val="21"/>
        </w:trPr>
        <w:tc>
          <w:tcPr>
            <w:tcW w:w="1500" w:type="dxa"/>
            <w:vAlign w:val="bottom"/>
            <w:tcBorders>
              <w:left w:val="single" w:sz="8" w:color="auto"/>
              <w:right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-170815</wp:posOffset>
            </wp:positionV>
            <wp:extent cx="63950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950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20"/>
          </w:cols>
          <w:pgMar w:left="320" w:top="767" w:right="31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18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67" w:right="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1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2021 guidance,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17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PRESENTATION</w:t>
      </w:r>
    </w:p>
    <w:p>
      <w:pPr>
        <w:spacing w:after="0" w:line="11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historical financial information and other disclosures contained in this press release relate to periods that ended both prior to and after the completion of the Reorganization Transactions and the IPO of Tradeweb Markets Inc. (unless the context otherwise requires, together with its subsidiaries, referred to as “we,” “our,” “Tradeweb,” “Tradeweb Markets” or the “Company”). The IPO closed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in this press release relating to periods prior to and including March 31, 2019, which we refer to as the “pre-IPO period,” pertain to TWM LLC, the predecessor of Tradeweb Markets Inc. for financial reporting purposes. The historical financial information contained in this press release relating to periods beginning on April 1, 2019, and through and including December 31, 2020, which we refer to as the “post-IPO period,” pertain to Tradeweb Markets Inc. The pre-IPO period excludes, and the post-IPO period includes, our financial results from April 1, 2019 through April 3, 2019, which are not material.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0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99"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9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175" w:lineRule="exact"/>
        <w:rPr>
          <w:sz w:val="20"/>
          <w:szCs w:val="20"/>
          <w:color w:val="auto"/>
        </w:rPr>
      </w:pPr>
    </w:p>
    <w:p>
      <w:pPr>
        <w:ind w:right="620"/>
        <w:spacing w:after="0" w:line="291"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expenditures for capitalized software development costs and furniture, equipment and leasehold improvements.</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200" w:lineRule="exact"/>
        <w:rPr>
          <w:sz w:val="20"/>
          <w:szCs w:val="20"/>
          <w:color w:val="auto"/>
        </w:rPr>
      </w:pPr>
    </w:p>
    <w:p>
      <w:pPr>
        <w:spacing w:after="0" w:line="35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2021-02-04T06:08:48Z</dcterms:created>
  <dcterms:modified xsi:type="dcterms:W3CDTF">2021-02-04T06:08:48Z</dcterms:modified>
</cp:coreProperties>
</file>