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98" w:lineRule="exact"/>
        <w:rPr>
          <w:sz w:val="24"/>
          <w:szCs w:val="24"/>
          <w:color w:val="auto"/>
        </w:rPr>
      </w:pPr>
    </w:p>
    <w:p>
      <w:pPr>
        <w:ind w:left="3040"/>
        <w:spacing w:after="0"/>
        <w:rPr>
          <w:sz w:val="20"/>
          <w:szCs w:val="20"/>
          <w:color w:val="auto"/>
        </w:rPr>
      </w:pPr>
      <w:r>
        <w:rPr>
          <w:rFonts w:ascii="Arial" w:cs="Arial" w:eastAsia="Arial" w:hAnsi="Arial"/>
          <w:sz w:val="14"/>
          <w:szCs w:val="14"/>
          <w:b w:val="1"/>
          <w:bCs w:val="1"/>
          <w:color w:val="auto"/>
        </w:rPr>
        <w:t>As filed with the Securities and Exchange Commission on April 20, 2020</w:t>
      </w:r>
    </w:p>
    <w:p>
      <w:pPr>
        <w:spacing w:after="0" w:line="42" w:lineRule="exact"/>
        <w:rPr>
          <w:sz w:val="24"/>
          <w:szCs w:val="24"/>
          <w:color w:val="auto"/>
        </w:rPr>
      </w:pPr>
    </w:p>
    <w:p>
      <w:pPr>
        <w:ind w:left="834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40640</wp:posOffset>
            </wp:positionV>
            <wp:extent cx="61804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0455" cy="2540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100965</wp:posOffset>
            </wp:positionV>
            <wp:extent cx="61804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19"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UNITED STATES</w:t>
      </w:r>
    </w:p>
    <w:p>
      <w:pPr>
        <w:jc w:val="center"/>
        <w:ind w:right="-439"/>
        <w:spacing w:after="0" w:line="238" w:lineRule="auto"/>
        <w:rPr>
          <w:sz w:val="20"/>
          <w:szCs w:val="20"/>
          <w:color w:val="auto"/>
        </w:rPr>
      </w:pPr>
      <w:r>
        <w:rPr>
          <w:rFonts w:ascii="Arial" w:cs="Arial" w:eastAsia="Arial" w:hAnsi="Arial"/>
          <w:sz w:val="22"/>
          <w:szCs w:val="22"/>
          <w:b w:val="1"/>
          <w:bCs w:val="1"/>
          <w:color w:val="auto"/>
        </w:rPr>
        <w:t>SECURITIES AND EXCHANGE COMMISSION</w:t>
      </w:r>
    </w:p>
    <w:p>
      <w:pPr>
        <w:jc w:val="center"/>
        <w:ind w:right="-499"/>
        <w:spacing w:after="0"/>
        <w:rPr>
          <w:sz w:val="20"/>
          <w:szCs w:val="20"/>
          <w:color w:val="auto"/>
        </w:rPr>
      </w:pPr>
      <w:r>
        <w:rPr>
          <w:rFonts w:ascii="Arial" w:cs="Arial" w:eastAsia="Arial" w:hAnsi="Arial"/>
          <w:sz w:val="16"/>
          <w:szCs w:val="16"/>
          <w:b w:val="1"/>
          <w:bCs w:val="1"/>
          <w:color w:val="auto"/>
        </w:rPr>
        <w:t>WASHINGTON, D.C. 20549</w:t>
      </w:r>
    </w:p>
    <w:p>
      <w:pPr>
        <w:spacing w:after="0" w:line="135"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FORM S-1</w:t>
      </w:r>
    </w:p>
    <w:p>
      <w:pPr>
        <w:spacing w:after="0" w:line="8" w:lineRule="exact"/>
        <w:rPr>
          <w:sz w:val="24"/>
          <w:szCs w:val="24"/>
          <w:color w:val="auto"/>
        </w:rPr>
      </w:pPr>
    </w:p>
    <w:p>
      <w:pPr>
        <w:jc w:val="center"/>
        <w:ind w:right="-459"/>
        <w:spacing w:after="0"/>
        <w:rPr>
          <w:sz w:val="20"/>
          <w:szCs w:val="20"/>
          <w:color w:val="auto"/>
        </w:rPr>
      </w:pPr>
      <w:r>
        <w:rPr>
          <w:rFonts w:ascii="Arial" w:cs="Arial" w:eastAsia="Arial" w:hAnsi="Arial"/>
          <w:sz w:val="16"/>
          <w:szCs w:val="16"/>
          <w:b w:val="1"/>
          <w:bCs w:val="1"/>
          <w:color w:val="auto"/>
        </w:rPr>
        <w:t>REGISTRATION STATEMENT</w:t>
      </w:r>
    </w:p>
    <w:p>
      <w:pPr>
        <w:spacing w:after="0" w:line="5" w:lineRule="exact"/>
        <w:rPr>
          <w:sz w:val="24"/>
          <w:szCs w:val="24"/>
          <w:color w:val="auto"/>
        </w:rPr>
      </w:pPr>
    </w:p>
    <w:p>
      <w:pPr>
        <w:jc w:val="center"/>
        <w:ind w:right="-459"/>
        <w:spacing w:after="0"/>
        <w:rPr>
          <w:sz w:val="20"/>
          <w:szCs w:val="20"/>
          <w:color w:val="auto"/>
        </w:rPr>
      </w:pPr>
      <w:r>
        <w:rPr>
          <w:rFonts w:ascii="Arial" w:cs="Arial" w:eastAsia="Arial" w:hAnsi="Arial"/>
          <w:sz w:val="16"/>
          <w:szCs w:val="16"/>
          <w:b w:val="1"/>
          <w:bCs w:val="1"/>
          <w:color w:val="auto"/>
        </w:rPr>
        <w:t>UNDER</w:t>
      </w:r>
    </w:p>
    <w:p>
      <w:pPr>
        <w:spacing w:after="0" w:line="8" w:lineRule="exact"/>
        <w:rPr>
          <w:sz w:val="24"/>
          <w:szCs w:val="24"/>
          <w:color w:val="auto"/>
        </w:rPr>
      </w:pPr>
    </w:p>
    <w:p>
      <w:pPr>
        <w:jc w:val="center"/>
        <w:ind w:right="-499"/>
        <w:spacing w:after="0"/>
        <w:rPr>
          <w:sz w:val="20"/>
          <w:szCs w:val="20"/>
          <w:color w:val="auto"/>
        </w:rPr>
      </w:pPr>
      <w:r>
        <w:rPr>
          <w:rFonts w:ascii="Arial" w:cs="Arial" w:eastAsia="Arial" w:hAnsi="Arial"/>
          <w:sz w:val="16"/>
          <w:szCs w:val="16"/>
          <w:b w:val="1"/>
          <w:bCs w:val="1"/>
          <w:color w:val="auto"/>
        </w:rPr>
        <w:t>THE SECURITIES ACT OF 1933</w:t>
      </w:r>
    </w:p>
    <w:p>
      <w:pPr>
        <w:spacing w:after="0" w:line="117" w:lineRule="exact"/>
        <w:rPr>
          <w:sz w:val="24"/>
          <w:szCs w:val="24"/>
          <w:color w:val="auto"/>
        </w:rPr>
      </w:pPr>
    </w:p>
    <w:p>
      <w:pPr>
        <w:jc w:val="center"/>
        <w:ind w:right="-499"/>
        <w:spacing w:after="0"/>
        <w:rPr>
          <w:sz w:val="20"/>
          <w:szCs w:val="20"/>
          <w:color w:val="auto"/>
        </w:rPr>
      </w:pPr>
      <w:r>
        <w:rPr>
          <w:rFonts w:ascii="Arial" w:cs="Arial" w:eastAsia="Arial" w:hAnsi="Arial"/>
          <w:sz w:val="36"/>
          <w:szCs w:val="36"/>
          <w:b w:val="1"/>
          <w:bCs w:val="1"/>
          <w:color w:val="auto"/>
        </w:rPr>
        <w:t>Tradeweb Markets Inc.</w:t>
      </w:r>
    </w:p>
    <w:p>
      <w:pPr>
        <w:ind w:left="3800"/>
        <w:spacing w:after="0"/>
        <w:rPr>
          <w:sz w:val="20"/>
          <w:szCs w:val="20"/>
          <w:color w:val="auto"/>
        </w:rPr>
      </w:pPr>
      <w:r>
        <w:rPr>
          <w:rFonts w:ascii="Arial" w:cs="Arial" w:eastAsia="Arial" w:hAnsi="Arial"/>
          <w:sz w:val="14"/>
          <w:szCs w:val="14"/>
          <w:color w:val="auto"/>
        </w:rPr>
        <w:t>(Exact name of registrant as specified in its charter)</w:t>
      </w:r>
    </w:p>
    <w:p>
      <w:pPr>
        <w:spacing w:after="0" w:line="134" w:lineRule="exact"/>
        <w:rPr>
          <w:sz w:val="24"/>
          <w:szCs w:val="24"/>
          <w:color w:val="auto"/>
        </w:rPr>
      </w:pPr>
    </w:p>
    <w:tbl>
      <w:tblPr>
        <w:tblLayout w:type="fixed"/>
        <w:tblInd w:w="680" w:type="dxa"/>
        <w:tblCellMar>
          <w:top w:w="0" w:type="dxa"/>
          <w:left w:w="0" w:type="dxa"/>
          <w:bottom w:w="0" w:type="dxa"/>
          <w:right w:w="0" w:type="dxa"/>
        </w:tblCellMar>
      </w:tblPr>
      <w:tr>
        <w:trPr>
          <w:trHeight w:val="166"/>
        </w:trPr>
        <w:tc>
          <w:tcPr>
            <w:tcW w:w="3120" w:type="dxa"/>
            <w:vAlign w:val="bottom"/>
          </w:tcPr>
          <w:p>
            <w:pPr>
              <w:jc w:val="center"/>
              <w:ind w:right="328"/>
              <w:spacing w:after="0"/>
              <w:rPr>
                <w:sz w:val="20"/>
                <w:szCs w:val="20"/>
                <w:color w:val="auto"/>
              </w:rPr>
            </w:pPr>
            <w:r>
              <w:rPr>
                <w:rFonts w:ascii="Arial" w:cs="Arial" w:eastAsia="Arial" w:hAnsi="Arial"/>
                <w:sz w:val="14"/>
                <w:szCs w:val="14"/>
                <w:b w:val="1"/>
                <w:bCs w:val="1"/>
                <w:color w:val="auto"/>
                <w:w w:val="97"/>
              </w:rPr>
              <w:t>Delaware</w:t>
            </w: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w w:val="96"/>
              </w:rPr>
              <w:t>6200</w:t>
            </w:r>
          </w:p>
        </w:tc>
        <w:tc>
          <w:tcPr>
            <w:tcW w:w="2860" w:type="dxa"/>
            <w:vAlign w:val="bottom"/>
          </w:tcPr>
          <w:p>
            <w:pPr>
              <w:jc w:val="right"/>
              <w:ind w:right="688"/>
              <w:spacing w:after="0"/>
              <w:rPr>
                <w:sz w:val="20"/>
                <w:szCs w:val="20"/>
                <w:color w:val="auto"/>
              </w:rPr>
            </w:pPr>
            <w:r>
              <w:rPr>
                <w:rFonts w:ascii="Arial" w:cs="Arial" w:eastAsia="Arial" w:hAnsi="Arial"/>
                <w:sz w:val="14"/>
                <w:szCs w:val="14"/>
                <w:b w:val="1"/>
                <w:bCs w:val="1"/>
                <w:color w:val="auto"/>
              </w:rPr>
              <w:t>83-2456358</w:t>
            </w: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(State or other jurisdiction of incorporation or</w:t>
            </w:r>
          </w:p>
        </w:tc>
        <w:tc>
          <w:tcPr>
            <w:tcW w:w="3080" w:type="dxa"/>
            <w:vAlign w:val="bottom"/>
          </w:tcPr>
          <w:p>
            <w:pPr>
              <w:jc w:val="center"/>
              <w:spacing w:after="0"/>
              <w:rPr>
                <w:sz w:val="20"/>
                <w:szCs w:val="20"/>
                <w:color w:val="auto"/>
              </w:rPr>
            </w:pPr>
            <w:r>
              <w:rPr>
                <w:rFonts w:ascii="Arial" w:cs="Arial" w:eastAsia="Arial" w:hAnsi="Arial"/>
                <w:sz w:val="14"/>
                <w:szCs w:val="14"/>
                <w:color w:val="auto"/>
                <w:w w:val="98"/>
              </w:rPr>
              <w:t>(Primary Standard Industrial Classification Code</w:t>
            </w:r>
          </w:p>
        </w:tc>
        <w:tc>
          <w:tcPr>
            <w:tcW w:w="2860" w:type="dxa"/>
            <w:vAlign w:val="bottom"/>
          </w:tcPr>
          <w:p>
            <w:pPr>
              <w:jc w:val="center"/>
              <w:ind w:left="608"/>
              <w:spacing w:after="0"/>
              <w:rPr>
                <w:sz w:val="20"/>
                <w:szCs w:val="20"/>
                <w:color w:val="auto"/>
              </w:rPr>
            </w:pPr>
            <w:r>
              <w:rPr>
                <w:rFonts w:ascii="Arial" w:cs="Arial" w:eastAsia="Arial" w:hAnsi="Arial"/>
                <w:sz w:val="14"/>
                <w:szCs w:val="14"/>
                <w:color w:val="auto"/>
              </w:rPr>
              <w:t>(I.R.S. Employer Identification No.)</w:t>
            </w:r>
          </w:p>
        </w:tc>
      </w:tr>
      <w:tr>
        <w:trPr>
          <w:trHeight w:val="182"/>
        </w:trPr>
        <w:tc>
          <w:tcPr>
            <w:tcW w:w="3120" w:type="dxa"/>
            <w:vAlign w:val="bottom"/>
          </w:tcPr>
          <w:p>
            <w:pPr>
              <w:jc w:val="center"/>
              <w:ind w:right="288"/>
              <w:spacing w:after="0"/>
              <w:rPr>
                <w:sz w:val="20"/>
                <w:szCs w:val="20"/>
                <w:color w:val="auto"/>
              </w:rPr>
            </w:pPr>
            <w:r>
              <w:rPr>
                <w:rFonts w:ascii="Arial" w:cs="Arial" w:eastAsia="Arial" w:hAnsi="Arial"/>
                <w:sz w:val="14"/>
                <w:szCs w:val="14"/>
                <w:color w:val="auto"/>
                <w:w w:val="98"/>
              </w:rPr>
              <w:t>organization)</w:t>
            </w:r>
          </w:p>
        </w:tc>
        <w:tc>
          <w:tcPr>
            <w:tcW w:w="3080" w:type="dxa"/>
            <w:vAlign w:val="bottom"/>
          </w:tcPr>
          <w:p>
            <w:pPr>
              <w:jc w:val="center"/>
              <w:spacing w:after="0"/>
              <w:rPr>
                <w:sz w:val="20"/>
                <w:szCs w:val="20"/>
                <w:color w:val="auto"/>
              </w:rPr>
            </w:pPr>
            <w:r>
              <w:rPr>
                <w:rFonts w:ascii="Arial" w:cs="Arial" w:eastAsia="Arial" w:hAnsi="Arial"/>
                <w:sz w:val="14"/>
                <w:szCs w:val="14"/>
                <w:color w:val="auto"/>
                <w:w w:val="99"/>
              </w:rPr>
              <w:t>Number)</w:t>
            </w:r>
          </w:p>
        </w:tc>
        <w:tc>
          <w:tcPr>
            <w:tcW w:w="2860" w:type="dxa"/>
            <w:vAlign w:val="bottom"/>
          </w:tcPr>
          <w:p>
            <w:pPr>
              <w:spacing w:after="0"/>
              <w:rPr>
                <w:sz w:val="15"/>
                <w:szCs w:val="15"/>
                <w:color w:val="auto"/>
              </w:rPr>
            </w:pPr>
          </w:p>
        </w:tc>
      </w:tr>
      <w:tr>
        <w:trPr>
          <w:trHeight w:val="178"/>
        </w:trPr>
        <w:tc>
          <w:tcPr>
            <w:tcW w:w="3120" w:type="dxa"/>
            <w:vAlign w:val="bottom"/>
          </w:tcPr>
          <w:p>
            <w:pPr>
              <w:spacing w:after="0"/>
              <w:rPr>
                <w:sz w:val="15"/>
                <w:szCs w:val="15"/>
                <w:color w:val="auto"/>
              </w:rPr>
            </w:pP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w w:val="94"/>
              </w:rPr>
              <w:t>1177 Avenue of the Americas</w:t>
            </w:r>
          </w:p>
        </w:tc>
        <w:tc>
          <w:tcPr>
            <w:tcW w:w="2860" w:type="dxa"/>
            <w:vAlign w:val="bottom"/>
          </w:tcPr>
          <w:p>
            <w:pPr>
              <w:spacing w:after="0"/>
              <w:rPr>
                <w:sz w:val="15"/>
                <w:szCs w:val="15"/>
                <w:color w:val="auto"/>
              </w:rPr>
            </w:pPr>
          </w:p>
        </w:tc>
      </w:tr>
      <w:tr>
        <w:trPr>
          <w:trHeight w:val="162"/>
        </w:trPr>
        <w:tc>
          <w:tcPr>
            <w:tcW w:w="3120" w:type="dxa"/>
            <w:vAlign w:val="bottom"/>
          </w:tcPr>
          <w:p>
            <w:pPr>
              <w:spacing w:after="0"/>
              <w:rPr>
                <w:sz w:val="14"/>
                <w:szCs w:val="14"/>
                <w:color w:val="auto"/>
              </w:rPr>
            </w:pP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w w:val="98"/>
              </w:rPr>
              <w:t>New York, New York 10036</w:t>
            </w:r>
          </w:p>
        </w:tc>
        <w:tc>
          <w:tcPr>
            <w:tcW w:w="2860" w:type="dxa"/>
            <w:vAlign w:val="bottom"/>
          </w:tcPr>
          <w:p>
            <w:pPr>
              <w:spacing w:after="0"/>
              <w:rPr>
                <w:sz w:val="14"/>
                <w:szCs w:val="14"/>
                <w:color w:val="auto"/>
              </w:rPr>
            </w:pPr>
          </w:p>
        </w:tc>
      </w:tr>
      <w:tr>
        <w:trPr>
          <w:trHeight w:val="166"/>
        </w:trPr>
        <w:tc>
          <w:tcPr>
            <w:tcW w:w="3120" w:type="dxa"/>
            <w:vAlign w:val="bottom"/>
          </w:tcPr>
          <w:p>
            <w:pPr>
              <w:spacing w:after="0"/>
              <w:rPr>
                <w:sz w:val="14"/>
                <w:szCs w:val="14"/>
                <w:color w:val="auto"/>
              </w:rPr>
            </w:pP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w w:val="98"/>
              </w:rPr>
              <w:t>(646) 430-6000</w:t>
            </w:r>
          </w:p>
        </w:tc>
        <w:tc>
          <w:tcPr>
            <w:tcW w:w="2860" w:type="dxa"/>
            <w:vAlign w:val="bottom"/>
          </w:tcPr>
          <w:p>
            <w:pPr>
              <w:spacing w:after="0"/>
              <w:rPr>
                <w:sz w:val="14"/>
                <w:szCs w:val="14"/>
                <w:color w:val="auto"/>
              </w:rPr>
            </w:pPr>
          </w:p>
        </w:tc>
      </w:tr>
      <w:tr>
        <w:trPr>
          <w:trHeight w:val="182"/>
        </w:trPr>
        <w:tc>
          <w:tcPr>
            <w:tcW w:w="9060" w:type="dxa"/>
            <w:vAlign w:val="bottom"/>
            <w:gridSpan w:val="3"/>
          </w:tcPr>
          <w:p>
            <w:pPr>
              <w:jc w:val="center"/>
              <w:ind w:left="228"/>
              <w:spacing w:after="0"/>
              <w:rPr>
                <w:sz w:val="20"/>
                <w:szCs w:val="20"/>
                <w:color w:val="auto"/>
              </w:rPr>
            </w:pPr>
            <w:r>
              <w:rPr>
                <w:rFonts w:ascii="Arial" w:cs="Arial" w:eastAsia="Arial" w:hAnsi="Arial"/>
                <w:sz w:val="14"/>
                <w:szCs w:val="14"/>
                <w:color w:val="auto"/>
                <w:w w:val="98"/>
              </w:rPr>
              <w:t>(Address, including zip code, and telephone number, including area code, of registrant’s principal executive offices)</w:t>
            </w:r>
          </w:p>
        </w:tc>
      </w:tr>
      <w:tr>
        <w:trPr>
          <w:trHeight w:val="192"/>
        </w:trPr>
        <w:tc>
          <w:tcPr>
            <w:tcW w:w="3120" w:type="dxa"/>
            <w:vAlign w:val="bottom"/>
          </w:tcPr>
          <w:p>
            <w:pPr>
              <w:spacing w:after="0"/>
              <w:rPr>
                <w:sz w:val="16"/>
                <w:szCs w:val="16"/>
                <w:color w:val="auto"/>
              </w:rPr>
            </w:pP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w w:val="97"/>
              </w:rPr>
              <w:t>Lee Olesky</w:t>
            </w:r>
          </w:p>
        </w:tc>
        <w:tc>
          <w:tcPr>
            <w:tcW w:w="2860" w:type="dxa"/>
            <w:vAlign w:val="bottom"/>
          </w:tcPr>
          <w:p>
            <w:pPr>
              <w:spacing w:after="0"/>
              <w:rPr>
                <w:sz w:val="16"/>
                <w:szCs w:val="16"/>
                <w:color w:val="auto"/>
              </w:rPr>
            </w:pPr>
          </w:p>
        </w:tc>
      </w:tr>
      <w:tr>
        <w:trPr>
          <w:trHeight w:val="162"/>
        </w:trPr>
        <w:tc>
          <w:tcPr>
            <w:tcW w:w="3120" w:type="dxa"/>
            <w:vAlign w:val="bottom"/>
          </w:tcPr>
          <w:p>
            <w:pPr>
              <w:spacing w:after="0"/>
              <w:rPr>
                <w:sz w:val="14"/>
                <w:szCs w:val="14"/>
                <w:color w:val="auto"/>
              </w:rPr>
            </w:pP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w w:val="99"/>
              </w:rPr>
              <w:t>Chief Executive Officer</w:t>
            </w:r>
          </w:p>
        </w:tc>
        <w:tc>
          <w:tcPr>
            <w:tcW w:w="2860" w:type="dxa"/>
            <w:vAlign w:val="bottom"/>
          </w:tcPr>
          <w:p>
            <w:pPr>
              <w:spacing w:after="0"/>
              <w:rPr>
                <w:sz w:val="14"/>
                <w:szCs w:val="14"/>
                <w:color w:val="auto"/>
              </w:rPr>
            </w:pPr>
          </w:p>
        </w:tc>
      </w:tr>
      <w:tr>
        <w:trPr>
          <w:trHeight w:val="162"/>
        </w:trPr>
        <w:tc>
          <w:tcPr>
            <w:tcW w:w="3120" w:type="dxa"/>
            <w:vAlign w:val="bottom"/>
          </w:tcPr>
          <w:p>
            <w:pPr>
              <w:spacing w:after="0"/>
              <w:rPr>
                <w:sz w:val="14"/>
                <w:szCs w:val="14"/>
                <w:color w:val="auto"/>
              </w:rPr>
            </w:pP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w w:val="94"/>
              </w:rPr>
              <w:t>1177 Avenue of the Americas</w:t>
            </w:r>
          </w:p>
        </w:tc>
        <w:tc>
          <w:tcPr>
            <w:tcW w:w="2860" w:type="dxa"/>
            <w:vAlign w:val="bottom"/>
          </w:tcPr>
          <w:p>
            <w:pPr>
              <w:spacing w:after="0"/>
              <w:rPr>
                <w:sz w:val="14"/>
                <w:szCs w:val="14"/>
                <w:color w:val="auto"/>
              </w:rPr>
            </w:pPr>
          </w:p>
        </w:tc>
      </w:tr>
      <w:tr>
        <w:trPr>
          <w:trHeight w:val="162"/>
        </w:trPr>
        <w:tc>
          <w:tcPr>
            <w:tcW w:w="3120" w:type="dxa"/>
            <w:vAlign w:val="bottom"/>
          </w:tcPr>
          <w:p>
            <w:pPr>
              <w:spacing w:after="0"/>
              <w:rPr>
                <w:sz w:val="14"/>
                <w:szCs w:val="14"/>
                <w:color w:val="auto"/>
              </w:rPr>
            </w:pP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w w:val="98"/>
              </w:rPr>
              <w:t>New York, New York 10036</w:t>
            </w:r>
          </w:p>
        </w:tc>
        <w:tc>
          <w:tcPr>
            <w:tcW w:w="2860" w:type="dxa"/>
            <w:vAlign w:val="bottom"/>
          </w:tcPr>
          <w:p>
            <w:pPr>
              <w:spacing w:after="0"/>
              <w:rPr>
                <w:sz w:val="14"/>
                <w:szCs w:val="14"/>
                <w:color w:val="auto"/>
              </w:rPr>
            </w:pPr>
          </w:p>
        </w:tc>
      </w:tr>
      <w:tr>
        <w:trPr>
          <w:trHeight w:val="166"/>
        </w:trPr>
        <w:tc>
          <w:tcPr>
            <w:tcW w:w="3120" w:type="dxa"/>
            <w:vAlign w:val="bottom"/>
          </w:tcPr>
          <w:p>
            <w:pPr>
              <w:spacing w:after="0"/>
              <w:rPr>
                <w:sz w:val="14"/>
                <w:szCs w:val="14"/>
                <w:color w:val="auto"/>
              </w:rPr>
            </w:pP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w w:val="98"/>
              </w:rPr>
              <w:t>(646) 430-6000</w:t>
            </w:r>
          </w:p>
        </w:tc>
        <w:tc>
          <w:tcPr>
            <w:tcW w:w="2860" w:type="dxa"/>
            <w:vAlign w:val="bottom"/>
          </w:tcPr>
          <w:p>
            <w:pPr>
              <w:spacing w:after="0"/>
              <w:rPr>
                <w:sz w:val="14"/>
                <w:szCs w:val="14"/>
                <w:color w:val="auto"/>
              </w:rPr>
            </w:pPr>
          </w:p>
        </w:tc>
      </w:tr>
      <w:tr>
        <w:trPr>
          <w:trHeight w:val="182"/>
        </w:trPr>
        <w:tc>
          <w:tcPr>
            <w:tcW w:w="9060" w:type="dxa"/>
            <w:vAlign w:val="bottom"/>
            <w:gridSpan w:val="3"/>
          </w:tcPr>
          <w:p>
            <w:pPr>
              <w:jc w:val="center"/>
              <w:ind w:left="248"/>
              <w:spacing w:after="0"/>
              <w:rPr>
                <w:sz w:val="20"/>
                <w:szCs w:val="20"/>
                <w:color w:val="auto"/>
              </w:rPr>
            </w:pPr>
            <w:r>
              <w:rPr>
                <w:rFonts w:ascii="Arial" w:cs="Arial" w:eastAsia="Arial" w:hAnsi="Arial"/>
                <w:sz w:val="14"/>
                <w:szCs w:val="14"/>
                <w:color w:val="auto"/>
                <w:w w:val="97"/>
              </w:rPr>
              <w:t>(Name, address, including zip code, and telephone number including area code, of agent for service)</w:t>
            </w:r>
          </w:p>
        </w:tc>
      </w:tr>
      <w:tr>
        <w:trPr>
          <w:trHeight w:val="216"/>
        </w:trPr>
        <w:tc>
          <w:tcPr>
            <w:tcW w:w="312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w w:val="93"/>
              </w:rPr>
              <w:t>Copies to:</w:t>
            </w:r>
          </w:p>
        </w:tc>
        <w:tc>
          <w:tcPr>
            <w:tcW w:w="2860" w:type="dxa"/>
            <w:vAlign w:val="bottom"/>
          </w:tcPr>
          <w:p>
            <w:pPr>
              <w:spacing w:after="0"/>
              <w:rPr>
                <w:sz w:val="18"/>
                <w:szCs w:val="18"/>
                <w:color w:val="auto"/>
              </w:rPr>
            </w:pPr>
          </w:p>
        </w:tc>
      </w:tr>
      <w:tr>
        <w:trPr>
          <w:trHeight w:val="263"/>
        </w:trPr>
        <w:tc>
          <w:tcPr>
            <w:tcW w:w="3120" w:type="dxa"/>
            <w:vAlign w:val="bottom"/>
          </w:tcPr>
          <w:p>
            <w:pPr>
              <w:jc w:val="center"/>
              <w:ind w:left="1148"/>
              <w:spacing w:after="0"/>
              <w:rPr>
                <w:sz w:val="20"/>
                <w:szCs w:val="20"/>
                <w:color w:val="auto"/>
              </w:rPr>
            </w:pPr>
            <w:r>
              <w:rPr>
                <w:rFonts w:ascii="Arial" w:cs="Arial" w:eastAsia="Arial" w:hAnsi="Arial"/>
                <w:sz w:val="14"/>
                <w:szCs w:val="14"/>
                <w:color w:val="auto"/>
                <w:w w:val="96"/>
              </w:rPr>
              <w:t>Steven G. Scheinfeld, Esq.</w:t>
            </w:r>
          </w:p>
        </w:tc>
        <w:tc>
          <w:tcPr>
            <w:tcW w:w="3080" w:type="dxa"/>
            <w:vAlign w:val="bottom"/>
          </w:tcPr>
          <w:p>
            <w:pPr>
              <w:spacing w:after="0"/>
              <w:rPr>
                <w:sz w:val="22"/>
                <w:szCs w:val="22"/>
                <w:color w:val="auto"/>
              </w:rPr>
            </w:pPr>
          </w:p>
        </w:tc>
        <w:tc>
          <w:tcPr>
            <w:tcW w:w="2860" w:type="dxa"/>
            <w:vAlign w:val="bottom"/>
          </w:tcPr>
          <w:p>
            <w:pPr>
              <w:jc w:val="center"/>
              <w:ind w:right="928"/>
              <w:spacing w:after="0"/>
              <w:rPr>
                <w:sz w:val="20"/>
                <w:szCs w:val="20"/>
                <w:color w:val="auto"/>
              </w:rPr>
            </w:pPr>
            <w:r>
              <w:rPr>
                <w:rFonts w:ascii="Arial" w:cs="Arial" w:eastAsia="Arial" w:hAnsi="Arial"/>
                <w:sz w:val="14"/>
                <w:szCs w:val="14"/>
                <w:color w:val="auto"/>
                <w:w w:val="98"/>
              </w:rPr>
              <w:t>Michael Kaplan, Esq.</w:t>
            </w:r>
          </w:p>
        </w:tc>
      </w:tr>
      <w:tr>
        <w:trPr>
          <w:trHeight w:val="162"/>
        </w:trPr>
        <w:tc>
          <w:tcPr>
            <w:tcW w:w="3120" w:type="dxa"/>
            <w:vAlign w:val="bottom"/>
          </w:tcPr>
          <w:p>
            <w:pPr>
              <w:jc w:val="center"/>
              <w:ind w:left="1148"/>
              <w:spacing w:after="0"/>
              <w:rPr>
                <w:sz w:val="20"/>
                <w:szCs w:val="20"/>
                <w:color w:val="auto"/>
              </w:rPr>
            </w:pPr>
            <w:r>
              <w:rPr>
                <w:rFonts w:ascii="Arial" w:cs="Arial" w:eastAsia="Arial" w:hAnsi="Arial"/>
                <w:sz w:val="14"/>
                <w:szCs w:val="14"/>
                <w:color w:val="auto"/>
                <w:w w:val="98"/>
              </w:rPr>
              <w:t>Andrew B. Barkan, Esq.</w:t>
            </w:r>
          </w:p>
        </w:tc>
        <w:tc>
          <w:tcPr>
            <w:tcW w:w="3080" w:type="dxa"/>
            <w:vAlign w:val="bottom"/>
          </w:tcPr>
          <w:p>
            <w:pPr>
              <w:spacing w:after="0"/>
              <w:rPr>
                <w:sz w:val="14"/>
                <w:szCs w:val="14"/>
                <w:color w:val="auto"/>
              </w:rPr>
            </w:pPr>
          </w:p>
        </w:tc>
        <w:tc>
          <w:tcPr>
            <w:tcW w:w="2860" w:type="dxa"/>
            <w:vAlign w:val="bottom"/>
          </w:tcPr>
          <w:p>
            <w:pPr>
              <w:jc w:val="center"/>
              <w:ind w:right="928"/>
              <w:spacing w:after="0"/>
              <w:rPr>
                <w:sz w:val="20"/>
                <w:szCs w:val="20"/>
                <w:color w:val="auto"/>
              </w:rPr>
            </w:pPr>
            <w:r>
              <w:rPr>
                <w:rFonts w:ascii="Arial" w:cs="Arial" w:eastAsia="Arial" w:hAnsi="Arial"/>
                <w:sz w:val="14"/>
                <w:szCs w:val="14"/>
                <w:color w:val="auto"/>
                <w:w w:val="96"/>
              </w:rPr>
              <w:t>Shane Tintle, Esq.</w:t>
            </w:r>
          </w:p>
        </w:tc>
      </w:tr>
      <w:tr>
        <w:trPr>
          <w:trHeight w:val="162"/>
        </w:trPr>
        <w:tc>
          <w:tcPr>
            <w:tcW w:w="6200" w:type="dxa"/>
            <w:vAlign w:val="bottom"/>
            <w:gridSpan w:val="2"/>
          </w:tcPr>
          <w:p>
            <w:pPr>
              <w:jc w:val="center"/>
              <w:ind w:right="1788"/>
              <w:spacing w:after="0"/>
              <w:rPr>
                <w:sz w:val="20"/>
                <w:szCs w:val="20"/>
                <w:color w:val="auto"/>
              </w:rPr>
            </w:pPr>
            <w:r>
              <w:rPr>
                <w:rFonts w:ascii="Arial" w:cs="Arial" w:eastAsia="Arial" w:hAnsi="Arial"/>
                <w:sz w:val="14"/>
                <w:szCs w:val="14"/>
                <w:color w:val="auto"/>
                <w:w w:val="99"/>
              </w:rPr>
              <w:t>Fried, Frank, Harris, Shriver &amp; Jacobson LLP</w:t>
            </w:r>
          </w:p>
        </w:tc>
        <w:tc>
          <w:tcPr>
            <w:tcW w:w="2860" w:type="dxa"/>
            <w:vAlign w:val="bottom"/>
          </w:tcPr>
          <w:p>
            <w:pPr>
              <w:jc w:val="center"/>
              <w:ind w:right="908"/>
              <w:spacing w:after="0"/>
              <w:rPr>
                <w:sz w:val="20"/>
                <w:szCs w:val="20"/>
                <w:color w:val="auto"/>
              </w:rPr>
            </w:pPr>
            <w:r>
              <w:rPr>
                <w:rFonts w:ascii="Arial" w:cs="Arial" w:eastAsia="Arial" w:hAnsi="Arial"/>
                <w:sz w:val="14"/>
                <w:szCs w:val="14"/>
                <w:color w:val="auto"/>
              </w:rPr>
              <w:t>Davis Polk &amp; Wardwell LLP</w:t>
            </w:r>
          </w:p>
        </w:tc>
      </w:tr>
      <w:tr>
        <w:trPr>
          <w:trHeight w:val="162"/>
        </w:trPr>
        <w:tc>
          <w:tcPr>
            <w:tcW w:w="3120" w:type="dxa"/>
            <w:vAlign w:val="bottom"/>
          </w:tcPr>
          <w:p>
            <w:pPr>
              <w:jc w:val="center"/>
              <w:ind w:left="1148"/>
              <w:spacing w:after="0"/>
              <w:rPr>
                <w:sz w:val="20"/>
                <w:szCs w:val="20"/>
                <w:color w:val="auto"/>
              </w:rPr>
            </w:pPr>
            <w:r>
              <w:rPr>
                <w:rFonts w:ascii="Arial" w:cs="Arial" w:eastAsia="Arial" w:hAnsi="Arial"/>
                <w:sz w:val="14"/>
                <w:szCs w:val="14"/>
                <w:color w:val="auto"/>
                <w:w w:val="96"/>
              </w:rPr>
              <w:t>One New York Plaza</w:t>
            </w:r>
          </w:p>
        </w:tc>
        <w:tc>
          <w:tcPr>
            <w:tcW w:w="3080" w:type="dxa"/>
            <w:vAlign w:val="bottom"/>
          </w:tcPr>
          <w:p>
            <w:pPr>
              <w:spacing w:after="0"/>
              <w:rPr>
                <w:sz w:val="14"/>
                <w:szCs w:val="14"/>
                <w:color w:val="auto"/>
              </w:rPr>
            </w:pPr>
          </w:p>
        </w:tc>
        <w:tc>
          <w:tcPr>
            <w:tcW w:w="2860" w:type="dxa"/>
            <w:vAlign w:val="bottom"/>
          </w:tcPr>
          <w:p>
            <w:pPr>
              <w:jc w:val="center"/>
              <w:ind w:right="908"/>
              <w:spacing w:after="0"/>
              <w:rPr>
                <w:sz w:val="20"/>
                <w:szCs w:val="20"/>
                <w:color w:val="auto"/>
              </w:rPr>
            </w:pPr>
            <w:r>
              <w:rPr>
                <w:rFonts w:ascii="Arial" w:cs="Arial" w:eastAsia="Arial" w:hAnsi="Arial"/>
                <w:sz w:val="14"/>
                <w:szCs w:val="14"/>
                <w:color w:val="auto"/>
                <w:w w:val="97"/>
              </w:rPr>
              <w:t>450 Lexington Avenue</w:t>
            </w:r>
          </w:p>
        </w:tc>
      </w:tr>
      <w:tr>
        <w:trPr>
          <w:trHeight w:val="162"/>
        </w:trPr>
        <w:tc>
          <w:tcPr>
            <w:tcW w:w="3120" w:type="dxa"/>
            <w:vAlign w:val="bottom"/>
          </w:tcPr>
          <w:p>
            <w:pPr>
              <w:jc w:val="center"/>
              <w:ind w:left="1148"/>
              <w:spacing w:after="0"/>
              <w:rPr>
                <w:sz w:val="20"/>
                <w:szCs w:val="20"/>
                <w:color w:val="auto"/>
              </w:rPr>
            </w:pPr>
            <w:r>
              <w:rPr>
                <w:rFonts w:ascii="Arial" w:cs="Arial" w:eastAsia="Arial" w:hAnsi="Arial"/>
                <w:sz w:val="14"/>
                <w:szCs w:val="14"/>
                <w:color w:val="auto"/>
                <w:w w:val="98"/>
              </w:rPr>
              <w:t>New York, New York 10004</w:t>
            </w:r>
          </w:p>
        </w:tc>
        <w:tc>
          <w:tcPr>
            <w:tcW w:w="3080" w:type="dxa"/>
            <w:vAlign w:val="bottom"/>
          </w:tcPr>
          <w:p>
            <w:pPr>
              <w:spacing w:after="0"/>
              <w:rPr>
                <w:sz w:val="14"/>
                <w:szCs w:val="14"/>
                <w:color w:val="auto"/>
              </w:rPr>
            </w:pPr>
          </w:p>
        </w:tc>
        <w:tc>
          <w:tcPr>
            <w:tcW w:w="2860" w:type="dxa"/>
            <w:vAlign w:val="bottom"/>
          </w:tcPr>
          <w:p>
            <w:pPr>
              <w:jc w:val="center"/>
              <w:ind w:right="908"/>
              <w:spacing w:after="0"/>
              <w:rPr>
                <w:sz w:val="20"/>
                <w:szCs w:val="20"/>
                <w:color w:val="auto"/>
              </w:rPr>
            </w:pPr>
            <w:r>
              <w:rPr>
                <w:rFonts w:ascii="Arial" w:cs="Arial" w:eastAsia="Arial" w:hAnsi="Arial"/>
                <w:sz w:val="14"/>
                <w:szCs w:val="14"/>
                <w:color w:val="auto"/>
              </w:rPr>
              <w:t>New York, New York 10017</w:t>
            </w:r>
          </w:p>
        </w:tc>
      </w:tr>
      <w:tr>
        <w:trPr>
          <w:trHeight w:val="182"/>
        </w:trPr>
        <w:tc>
          <w:tcPr>
            <w:tcW w:w="3120" w:type="dxa"/>
            <w:vAlign w:val="bottom"/>
          </w:tcPr>
          <w:p>
            <w:pPr>
              <w:jc w:val="center"/>
              <w:ind w:left="1188"/>
              <w:spacing w:after="0"/>
              <w:rPr>
                <w:sz w:val="20"/>
                <w:szCs w:val="20"/>
                <w:color w:val="auto"/>
              </w:rPr>
            </w:pPr>
            <w:r>
              <w:rPr>
                <w:rFonts w:ascii="Arial" w:cs="Arial" w:eastAsia="Arial" w:hAnsi="Arial"/>
                <w:sz w:val="14"/>
                <w:szCs w:val="14"/>
                <w:color w:val="auto"/>
                <w:w w:val="98"/>
              </w:rPr>
              <w:t>(212) 859-8000</w:t>
            </w:r>
          </w:p>
        </w:tc>
        <w:tc>
          <w:tcPr>
            <w:tcW w:w="3080" w:type="dxa"/>
            <w:vAlign w:val="bottom"/>
          </w:tcPr>
          <w:p>
            <w:pPr>
              <w:spacing w:after="0"/>
              <w:rPr>
                <w:sz w:val="15"/>
                <w:szCs w:val="15"/>
                <w:color w:val="auto"/>
              </w:rPr>
            </w:pPr>
          </w:p>
        </w:tc>
        <w:tc>
          <w:tcPr>
            <w:tcW w:w="2860" w:type="dxa"/>
            <w:vAlign w:val="bottom"/>
          </w:tcPr>
          <w:p>
            <w:pPr>
              <w:jc w:val="center"/>
              <w:ind w:right="888"/>
              <w:spacing w:after="0"/>
              <w:rPr>
                <w:sz w:val="20"/>
                <w:szCs w:val="20"/>
                <w:color w:val="auto"/>
              </w:rPr>
            </w:pPr>
            <w:r>
              <w:rPr>
                <w:rFonts w:ascii="Arial" w:cs="Arial" w:eastAsia="Arial" w:hAnsi="Arial"/>
                <w:sz w:val="14"/>
                <w:szCs w:val="14"/>
                <w:color w:val="auto"/>
                <w:w w:val="98"/>
              </w:rPr>
              <w:t>(212) 450-4000</w:t>
            </w:r>
          </w:p>
        </w:tc>
      </w:tr>
    </w:tbl>
    <w:p>
      <w:pPr>
        <w:spacing w:after="0" w:line="101" w:lineRule="exact"/>
        <w:rPr>
          <w:sz w:val="24"/>
          <w:szCs w:val="24"/>
          <w:color w:val="auto"/>
        </w:rPr>
      </w:pPr>
    </w:p>
    <w:p>
      <w:pPr>
        <w:ind w:left="860"/>
        <w:spacing w:after="0"/>
        <w:rPr>
          <w:sz w:val="20"/>
          <w:szCs w:val="20"/>
          <w:color w:val="auto"/>
        </w:rPr>
      </w:pPr>
      <w:r>
        <w:rPr>
          <w:rFonts w:ascii="Arial" w:cs="Arial" w:eastAsia="Arial" w:hAnsi="Arial"/>
          <w:sz w:val="14"/>
          <w:szCs w:val="14"/>
          <w:color w:val="auto"/>
        </w:rPr>
        <w:t>Approximate date of commencement of proposed sale to the public: As soon as practicable after this Registration Statement becomes effective.</w:t>
      </w:r>
    </w:p>
    <w:p>
      <w:pPr>
        <w:spacing w:after="0" w:line="42" w:lineRule="exact"/>
        <w:rPr>
          <w:sz w:val="24"/>
          <w:szCs w:val="24"/>
          <w:color w:val="auto"/>
        </w:rPr>
      </w:pPr>
    </w:p>
    <w:p>
      <w:pPr>
        <w:ind w:left="500" w:right="200" w:firstLine="36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200" w:firstLine="36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500" w:right="380" w:firstLine="36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500" w:right="380" w:firstLine="36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20" w:firstLine="36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320" w:top="239" w:right="1359" w:bottom="1440" w:gutter="0" w:footer="0" w:header="0"/>
        </w:sectPr>
      </w:pPr>
    </w:p>
    <w:p>
      <w:pPr>
        <w:spacing w:after="0" w:line="9" w:lineRule="exact"/>
        <w:rPr>
          <w:sz w:val="24"/>
          <w:szCs w:val="24"/>
          <w:color w:val="auto"/>
        </w:rPr>
      </w:pPr>
    </w:p>
    <w:p>
      <w:pPr>
        <w:ind w:left="860"/>
        <w:spacing w:after="0" w:line="269" w:lineRule="auto"/>
        <w:rPr>
          <w:sz w:val="20"/>
          <w:szCs w:val="20"/>
          <w:color w:val="auto"/>
        </w:rPr>
      </w:pPr>
      <w:r>
        <w:rPr>
          <w:rFonts w:ascii="Arial" w:cs="Arial" w:eastAsia="Arial" w:hAnsi="Arial"/>
          <w:sz w:val="13"/>
          <w:szCs w:val="13"/>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69" w:lineRule="auto"/>
        <w:rPr>
          <w:sz w:val="20"/>
          <w:szCs w:val="20"/>
          <w:color w:val="auto"/>
        </w:rPr>
      </w:pPr>
      <w:r>
        <w:rPr>
          <w:rFonts w:ascii="Arial" w:cs="Arial" w:eastAsia="Arial" w:hAnsi="Arial"/>
          <w:sz w:val="13"/>
          <w:szCs w:val="13"/>
          <w:color w:val="auto"/>
        </w:rPr>
        <w:t>Accelerated filer Emerging growth company</w:t>
      </w:r>
    </w:p>
    <w:p>
      <w:pPr>
        <w:spacing w:after="0" w:line="20" w:lineRule="exact"/>
        <w:rPr>
          <w:sz w:val="24"/>
          <w:szCs w:val="24"/>
          <w:color w:val="auto"/>
        </w:rPr>
      </w:pPr>
      <w:r>
        <w:rPr>
          <w:sz w:val="24"/>
          <w:szCs w:val="24"/>
          <w:color w:val="auto"/>
        </w:rPr>
        <w:br w:type="column"/>
      </w:r>
    </w:p>
    <w:p>
      <w:pPr>
        <w:spacing w:after="0" w:line="103" w:lineRule="exact"/>
        <w:rPr>
          <w:sz w:val="20"/>
          <w:szCs w:val="20"/>
          <w:color w:val="auto"/>
        </w:rPr>
      </w:pPr>
      <w:r>
        <w:rPr>
          <w:rFonts w:ascii="MS PGothic" w:cs="MS PGothic" w:eastAsia="MS PGothic" w:hAnsi="MS PGothic"/>
          <w:sz w:val="12"/>
          <w:szCs w:val="12"/>
          <w:color w:val="auto"/>
        </w:rPr>
        <w:t>☐</w:t>
      </w:r>
    </w:p>
    <w:p>
      <w:pPr>
        <w:spacing w:after="0" w:line="2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257" w:lineRule="exact"/>
        <w:rPr>
          <w:sz w:val="24"/>
          <w:szCs w:val="24"/>
          <w:color w:val="auto"/>
        </w:rPr>
      </w:pPr>
    </w:p>
    <w:p>
      <w:pPr>
        <w:sectPr>
          <w:pgSz w:w="11900" w:h="16838" w:orient="portrait"/>
          <w:cols w:equalWidth="0" w:num="6">
            <w:col w:w="2520" w:space="140"/>
            <w:col w:w="600" w:space="720"/>
            <w:col w:w="1620" w:space="180"/>
            <w:col w:w="460" w:space="720"/>
            <w:col w:w="1280" w:space="520"/>
            <w:col w:w="1460"/>
          </w:cols>
          <w:pgMar w:left="320" w:top="239" w:right="1359" w:bottom="1440" w:gutter="0" w:footer="0" w:header="0"/>
          <w:type w:val="continuous"/>
        </w:sectPr>
      </w:pPr>
    </w:p>
    <w:p>
      <w:pPr>
        <w:ind w:left="500" w:right="80" w:firstLine="3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not elected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4" w:lineRule="exact"/>
        <w:rPr>
          <w:sz w:val="24"/>
          <w:szCs w:val="24"/>
          <w:color w:val="auto"/>
        </w:rPr>
      </w:pPr>
    </w:p>
    <w:p>
      <w:pPr>
        <w:ind w:left="3940"/>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32385</wp:posOffset>
            </wp:positionV>
            <wp:extent cx="6180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49530</wp:posOffset>
            </wp:positionV>
            <wp:extent cx="61804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76" w:lineRule="exact"/>
        <w:rPr>
          <w:sz w:val="24"/>
          <w:szCs w:val="24"/>
          <w:color w:val="auto"/>
        </w:rPr>
      </w:pPr>
    </w:p>
    <w:tbl>
      <w:tblPr>
        <w:tblLayout w:type="fixed"/>
        <w:tblInd w:w="50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Proposed</w:t>
            </w:r>
          </w:p>
        </w:tc>
        <w:tc>
          <w:tcPr>
            <w:tcW w:w="1160" w:type="dxa"/>
            <w:vAlign w:val="bottom"/>
          </w:tcPr>
          <w:p>
            <w:pPr>
              <w:spacing w:after="0"/>
              <w:rPr>
                <w:sz w:val="14"/>
                <w:szCs w:val="14"/>
                <w:color w:val="auto"/>
              </w:rPr>
            </w:pPr>
          </w:p>
        </w:tc>
      </w:tr>
      <w:tr>
        <w:trPr>
          <w:trHeight w:val="162"/>
        </w:trPr>
        <w:tc>
          <w:tcPr>
            <w:tcW w:w="4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Maximum</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Maximum</w:t>
            </w:r>
          </w:p>
        </w:tc>
        <w:tc>
          <w:tcPr>
            <w:tcW w:w="1160" w:type="dxa"/>
            <w:vAlign w:val="bottom"/>
          </w:tcPr>
          <w:p>
            <w:pPr>
              <w:spacing w:after="0"/>
              <w:rPr>
                <w:sz w:val="14"/>
                <w:szCs w:val="14"/>
                <w:color w:val="auto"/>
              </w:rPr>
            </w:pPr>
          </w:p>
        </w:tc>
      </w:tr>
      <w:tr>
        <w:trPr>
          <w:trHeight w:val="158"/>
        </w:trPr>
        <w:tc>
          <w:tcPr>
            <w:tcW w:w="4160" w:type="dxa"/>
            <w:vAlign w:val="bottom"/>
          </w:tcPr>
          <w:p>
            <w:pPr>
              <w:spacing w:after="0"/>
              <w:rPr>
                <w:sz w:val="13"/>
                <w:szCs w:val="13"/>
                <w:color w:val="auto"/>
              </w:rPr>
            </w:pPr>
          </w:p>
        </w:tc>
        <w:tc>
          <w:tcPr>
            <w:tcW w:w="1980" w:type="dxa"/>
            <w:vAlign w:val="bottom"/>
          </w:tcPr>
          <w:p>
            <w:pPr>
              <w:jc w:val="center"/>
              <w:ind w:left="788"/>
              <w:spacing w:after="0" w:line="158" w:lineRule="exact"/>
              <w:rPr>
                <w:sz w:val="20"/>
                <w:szCs w:val="20"/>
                <w:color w:val="auto"/>
              </w:rPr>
            </w:pPr>
            <w:r>
              <w:rPr>
                <w:rFonts w:ascii="Arial" w:cs="Arial" w:eastAsia="Arial" w:hAnsi="Arial"/>
                <w:sz w:val="14"/>
                <w:szCs w:val="14"/>
                <w:b w:val="1"/>
                <w:bCs w:val="1"/>
                <w:color w:val="auto"/>
                <w:w w:val="97"/>
              </w:rPr>
              <w:t>Amount to be</w:t>
            </w:r>
          </w:p>
        </w:tc>
        <w:tc>
          <w:tcPr>
            <w:tcW w:w="1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Offering Price</w:t>
            </w:r>
          </w:p>
        </w:tc>
        <w:tc>
          <w:tcPr>
            <w:tcW w:w="12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1160" w:type="dxa"/>
            <w:vAlign w:val="bottom"/>
          </w:tcPr>
          <w:p>
            <w:pPr>
              <w:jc w:val="center"/>
              <w:ind w:left="8"/>
              <w:spacing w:after="0" w:line="158" w:lineRule="exact"/>
              <w:rPr>
                <w:sz w:val="20"/>
                <w:szCs w:val="20"/>
                <w:color w:val="auto"/>
              </w:rPr>
            </w:pPr>
            <w:r>
              <w:rPr>
                <w:rFonts w:ascii="Arial" w:cs="Arial" w:eastAsia="Arial" w:hAnsi="Arial"/>
                <w:sz w:val="14"/>
                <w:szCs w:val="14"/>
                <w:b w:val="1"/>
                <w:bCs w:val="1"/>
                <w:color w:val="auto"/>
                <w:w w:val="97"/>
              </w:rPr>
              <w:t>Amount of</w:t>
            </w:r>
          </w:p>
        </w:tc>
      </w:tr>
      <w:tr>
        <w:trPr>
          <w:trHeight w:val="229"/>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980" w:type="dxa"/>
            <w:vAlign w:val="bottom"/>
            <w:tcBorders>
              <w:bottom w:val="single" w:sz="8" w:color="auto"/>
            </w:tcBorders>
          </w:tcPr>
          <w:p>
            <w:pPr>
              <w:jc w:val="center"/>
              <w:ind w:left="808"/>
              <w:spacing w:after="0" w:line="230" w:lineRule="exact"/>
              <w:rPr>
                <w:sz w:val="20"/>
                <w:szCs w:val="20"/>
                <w:color w:val="auto"/>
              </w:rPr>
            </w:pPr>
            <w:r>
              <w:rPr>
                <w:rFonts w:ascii="Arial" w:cs="Arial" w:eastAsia="Arial" w:hAnsi="Arial"/>
                <w:sz w:val="14"/>
                <w:szCs w:val="14"/>
                <w:b w:val="1"/>
                <w:bCs w:val="1"/>
                <w:color w:val="auto"/>
                <w:w w:val="91"/>
              </w:rPr>
              <w:t>Registered</w:t>
            </w:r>
            <w:r>
              <w:rPr>
                <w:rFonts w:ascii="Arial" w:cs="Arial" w:eastAsia="Arial" w:hAnsi="Arial"/>
                <w:sz w:val="21"/>
                <w:szCs w:val="21"/>
                <w:b w:val="1"/>
                <w:bCs w:val="1"/>
                <w:color w:val="auto"/>
                <w:w w:val="91"/>
                <w:vertAlign w:val="superscript"/>
              </w:rPr>
              <w:t>(1)</w:t>
            </w:r>
          </w:p>
        </w:tc>
        <w:tc>
          <w:tcPr>
            <w:tcW w:w="116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90"/>
              </w:rPr>
              <w:t>per Share</w:t>
            </w:r>
            <w:r>
              <w:rPr>
                <w:rFonts w:ascii="Arial" w:cs="Arial" w:eastAsia="Arial" w:hAnsi="Arial"/>
                <w:sz w:val="21"/>
                <w:szCs w:val="21"/>
                <w:b w:val="1"/>
                <w:bCs w:val="1"/>
                <w:color w:val="auto"/>
                <w:w w:val="90"/>
                <w:vertAlign w:val="superscript"/>
              </w:rPr>
              <w:t>(2)</w:t>
            </w:r>
          </w:p>
        </w:tc>
        <w:tc>
          <w:tcPr>
            <w:tcW w:w="126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94"/>
              </w:rPr>
              <w:t>Offering Price</w:t>
            </w:r>
            <w:r>
              <w:rPr>
                <w:rFonts w:ascii="Arial" w:cs="Arial" w:eastAsia="Arial" w:hAnsi="Arial"/>
                <w:sz w:val="21"/>
                <w:szCs w:val="21"/>
                <w:b w:val="1"/>
                <w:bCs w:val="1"/>
                <w:color w:val="auto"/>
                <w:w w:val="94"/>
                <w:vertAlign w:val="superscript"/>
              </w:rPr>
              <w:t>(2)</w:t>
            </w:r>
          </w:p>
        </w:tc>
        <w:tc>
          <w:tcPr>
            <w:tcW w:w="11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6"/>
              </w:rPr>
              <w:t>Registration Fee</w:t>
            </w:r>
          </w:p>
        </w:tc>
      </w:tr>
      <w:tr>
        <w:trPr>
          <w:trHeight w:val="196"/>
        </w:trPr>
        <w:tc>
          <w:tcPr>
            <w:tcW w:w="4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Class A common stock, par value $0.00001 per share</w:t>
            </w:r>
          </w:p>
        </w:tc>
        <w:tc>
          <w:tcPr>
            <w:tcW w:w="1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12,592,500</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$ 53.75</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$ 676,846,875</w:t>
            </w:r>
          </w:p>
        </w:tc>
        <w:tc>
          <w:tcPr>
            <w:tcW w:w="1160" w:type="dxa"/>
            <w:vAlign w:val="bottom"/>
            <w:tcBorders>
              <w:bottom w:val="single" w:sz="8" w:color="auto"/>
            </w:tcBorders>
            <w:shd w:val="clear" w:color="auto" w:fill="CCEEFF"/>
          </w:tcPr>
          <w:p>
            <w:pPr>
              <w:jc w:val="center"/>
              <w:ind w:left="28"/>
              <w:spacing w:after="0"/>
              <w:rPr>
                <w:sz w:val="20"/>
                <w:szCs w:val="20"/>
                <w:color w:val="auto"/>
              </w:rPr>
            </w:pPr>
            <w:r>
              <w:rPr>
                <w:rFonts w:ascii="Arial" w:cs="Arial" w:eastAsia="Arial" w:hAnsi="Arial"/>
                <w:sz w:val="14"/>
                <w:szCs w:val="14"/>
                <w:color w:val="auto"/>
                <w:w w:val="94"/>
              </w:rPr>
              <w:t>$ 87,854.73</w:t>
            </w:r>
          </w:p>
        </w:tc>
      </w:tr>
      <w:tr>
        <w:trPr>
          <w:trHeight w:val="20"/>
        </w:trPr>
        <w:tc>
          <w:tcPr>
            <w:tcW w:w="41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0" w:lineRule="exact"/>
        <w:rPr>
          <w:sz w:val="24"/>
          <w:szCs w:val="24"/>
          <w:color w:val="auto"/>
        </w:rPr>
      </w:pPr>
    </w:p>
    <w:p>
      <w:pPr>
        <w:ind w:left="860" w:hanging="366"/>
        <w:spacing w:after="0"/>
        <w:tabs>
          <w:tab w:leader="none" w:pos="8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1,642,500 shares of Class A common stock issuable upon exercise of the underwriters’ option to purchase additional shares.</w:t>
      </w:r>
    </w:p>
    <w:p>
      <w:pPr>
        <w:spacing w:after="0" w:line="68" w:lineRule="exact"/>
        <w:rPr>
          <w:rFonts w:ascii="Arial" w:cs="Arial" w:eastAsia="Arial" w:hAnsi="Arial"/>
          <w:sz w:val="14"/>
          <w:szCs w:val="14"/>
          <w:color w:val="auto"/>
        </w:rPr>
      </w:pPr>
    </w:p>
    <w:p>
      <w:pPr>
        <w:jc w:val="both"/>
        <w:ind w:left="860" w:right="300" w:hanging="366"/>
        <w:spacing w:after="0" w:line="311" w:lineRule="auto"/>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457(c) under the Securities Act of 1933, as amended, based on the average of the high and low sales prices of the Registrant’s Class A common stock as reported by the Nasdaq Global Select Market on April 16, 2020.</w:t>
      </w:r>
    </w:p>
    <w:p>
      <w:pPr>
        <w:ind w:left="500" w:right="20" w:firstLine="360"/>
        <w:spacing w:after="0" w:line="25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121920</wp:posOffset>
            </wp:positionV>
            <wp:extent cx="61804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164465</wp:posOffset>
            </wp:positionV>
            <wp:extent cx="61804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68065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239" w:right="135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ectPr>
          <w:pgSz w:w="11900" w:h="16838" w:orient="portrait"/>
          <w:cols w:equalWidth="0" w:num="1">
            <w:col w:w="10220"/>
          </w:cols>
          <w:pgMar w:left="320" w:top="131" w:right="1359" w:bottom="1440" w:gutter="0" w:footer="0" w:header="0"/>
        </w:sectPr>
      </w:pPr>
    </w:p>
    <w:p>
      <w:pPr>
        <w:spacing w:after="0" w:line="341" w:lineRule="exact"/>
        <w:rPr>
          <w:sz w:val="20"/>
          <w:szCs w:val="20"/>
          <w:color w:val="auto"/>
        </w:rPr>
      </w:pPr>
    </w:p>
    <w:tbl>
      <w:tblPr>
        <w:tblLayout w:type="fixed"/>
        <w:tblInd w:w="500" w:type="dxa"/>
        <w:tblCellMar>
          <w:top w:w="0" w:type="dxa"/>
          <w:left w:w="0" w:type="dxa"/>
          <w:bottom w:w="0" w:type="dxa"/>
          <w:right w:w="0" w:type="dxa"/>
        </w:tblCellMar>
      </w:tblPr>
      <w:tr>
        <w:trPr>
          <w:trHeight w:val="6185"/>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sell these securities until the registration statement filed with the Securities and Exchange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 offer to buy, these securities in any state where the offer or sale is not permitted.</w:t>
            </w:r>
          </w:p>
        </w:tc>
      </w:tr>
      <w:tr>
        <w:trPr>
          <w:trHeight w:val="1518"/>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changed. We may not</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it is not soliciting</w:t>
            </w:r>
          </w:p>
        </w:tc>
      </w:tr>
      <w:tr>
        <w:trPr>
          <w:trHeight w:val="833"/>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and may be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offer to sell,</w:t>
            </w:r>
          </w:p>
        </w:tc>
      </w:tr>
      <w:tr>
        <w:trPr>
          <w:trHeight w:val="4321"/>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is not complete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Commission is effective. This preliminary prospectus is not an</w:t>
            </w:r>
          </w:p>
        </w:tc>
      </w:tr>
    </w:tbl>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FC0014"/>
        </w:rPr>
        <w:t>Subject to completion, dated April 20,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1955800</wp:posOffset>
            </wp:positionH>
            <wp:positionV relativeFrom="paragraph">
              <wp:posOffset>51435</wp:posOffset>
            </wp:positionV>
            <wp:extent cx="1868805"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6880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10,950,000 Shares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Tradeweb Markets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Class A Common Stock</w:t>
      </w:r>
    </w:p>
    <w:p>
      <w:pPr>
        <w:spacing w:after="0" w:line="97" w:lineRule="exact"/>
        <w:rPr>
          <w:sz w:val="20"/>
          <w:szCs w:val="20"/>
          <w:color w:val="auto"/>
        </w:rPr>
      </w:pPr>
    </w:p>
    <w:p>
      <w:pPr>
        <w:ind w:right="40" w:firstLine="360"/>
        <w:spacing w:after="0" w:line="261" w:lineRule="auto"/>
        <w:rPr>
          <w:sz w:val="20"/>
          <w:szCs w:val="20"/>
          <w:color w:val="auto"/>
        </w:rPr>
      </w:pPr>
      <w:r>
        <w:rPr>
          <w:rFonts w:ascii="Arial" w:cs="Arial" w:eastAsia="Arial" w:hAnsi="Arial"/>
          <w:sz w:val="16"/>
          <w:szCs w:val="16"/>
          <w:color w:val="auto"/>
        </w:rPr>
        <w:t>Tradeweb Markets Inc. is selling 10,950,000 shares of Class A common stock. Our Class A common stock is listed on the Nasdaq Global Select Market (“Nasdaq”) under the symbol “TW.” The closing price of our Class A common stock on April 16, 2020 was $53.16 per share.</w:t>
      </w:r>
    </w:p>
    <w:p>
      <w:pPr>
        <w:spacing w:after="0" w:line="21" w:lineRule="exact"/>
        <w:rPr>
          <w:sz w:val="20"/>
          <w:szCs w:val="20"/>
          <w:color w:val="auto"/>
        </w:rPr>
      </w:pPr>
    </w:p>
    <w:p>
      <w:pPr>
        <w:ind w:right="500" w:firstLine="360"/>
        <w:spacing w:after="0" w:line="275" w:lineRule="auto"/>
        <w:rPr>
          <w:sz w:val="20"/>
          <w:szCs w:val="20"/>
          <w:color w:val="auto"/>
        </w:rPr>
      </w:pPr>
      <w:r>
        <w:rPr>
          <w:rFonts w:ascii="Arial" w:cs="Arial" w:eastAsia="Arial" w:hAnsi="Arial"/>
          <w:sz w:val="16"/>
          <w:szCs w:val="16"/>
          <w:color w:val="auto"/>
        </w:rPr>
        <w:t>The underwriters have an option for a period of 30 days from the date of this prospectus to purchase up to a maximum of 1,642,500 additional shares of Class A common stock.</w:t>
      </w:r>
    </w:p>
    <w:p>
      <w:pPr>
        <w:spacing w:after="0" w:line="1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use the net proceeds that we receive from this offering to purchase (i) issued and outstanding common</w:t>
      </w:r>
    </w:p>
    <w:p>
      <w:pPr>
        <w:spacing w:after="0" w:line="19"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membership units, which we refer to as “LLC Interests,” in Tradeweb Markets LLC, which we refer to as “TWM LLC,” from certain of the Bank Stockholders (as defined below) and (ii) issued and outstanding shares of Class A common stock from certain of our executive officers. There is no public market for the LLC Interests. The purchase price payable by us to the holders of these LLC Interests and shares of Class A common stock will be equal to the public offering price of our Class A common stock, less the underwriting discounts and commissions referred to below.</w:t>
      </w:r>
    </w:p>
    <w:p>
      <w:pPr>
        <w:spacing w:after="0" w:line="31" w:lineRule="exact"/>
        <w:rPr>
          <w:sz w:val="20"/>
          <w:szCs w:val="20"/>
          <w:color w:val="auto"/>
        </w:rPr>
      </w:pPr>
    </w:p>
    <w:p>
      <w:pPr>
        <w:ind w:firstLine="360"/>
        <w:spacing w:after="0" w:line="252" w:lineRule="auto"/>
        <w:rPr>
          <w:sz w:val="20"/>
          <w:szCs w:val="20"/>
          <w:color w:val="auto"/>
        </w:rPr>
      </w:pPr>
      <w:r>
        <w:rPr>
          <w:rFonts w:ascii="Arial" w:cs="Arial" w:eastAsia="Arial" w:hAnsi="Arial"/>
          <w:sz w:val="16"/>
          <w:szCs w:val="16"/>
          <w:color w:val="auto"/>
        </w:rPr>
        <w:t>We have four classes of authorized common stock: Class A common stock, Class B common stock, Class C common stock and Class D common stock. Each share of Class A common stock and Class C common stock entitles its holder to one vote on all matters presented to our stockholders generally. Each share of Class B common stock and Class D common stock entitles its holder to ten votes on all matters presented to our stockholders generally. The holders of Class C common stock and Class D common stock do not have any of the economic rights (including the rights to dividends) provided to holders of Class A common stock and Class B common stock.</w:t>
      </w:r>
    </w:p>
    <w:p>
      <w:pPr>
        <w:spacing w:after="0" w:line="29" w:lineRule="exact"/>
        <w:rPr>
          <w:sz w:val="20"/>
          <w:szCs w:val="20"/>
          <w:color w:val="auto"/>
        </w:rPr>
      </w:pPr>
    </w:p>
    <w:p>
      <w:pPr>
        <w:ind w:right="140" w:firstLine="360"/>
        <w:spacing w:after="0" w:line="268" w:lineRule="auto"/>
        <w:rPr>
          <w:sz w:val="20"/>
          <w:szCs w:val="20"/>
          <w:color w:val="auto"/>
        </w:rPr>
      </w:pPr>
      <w:r>
        <w:rPr>
          <w:rFonts w:ascii="Arial" w:cs="Arial" w:eastAsia="Arial" w:hAnsi="Arial"/>
          <w:sz w:val="15"/>
          <w:szCs w:val="15"/>
          <w:color w:val="auto"/>
        </w:rPr>
        <w:t>Immediately following this offering, the holders of our Class A common stock collectively will hold 5.6% of the combined voting power in us and will indirectly hold 36.3% of the economic interest in TWM LLC, the Refinitiv Owners (as defined below), through their ownership of Class B common stock and Class D common stock, collectively will hold 83.0% of the combined voting power in us and will indirectly and directly hold 53.2% of the economic interest in TWM LLC, and the Other LLC Owners (as defined below), through their ownership of Class C common stock and/or Class D common stock, as the case may be, collectively will hold the remaining 11.4% of the combined voting power in us and will directly hold the remaining 10.5% of the economic interest in TWM LLC. We are a holding company, and upon completion of this offering and the application of the net proceeds therefrom, we will hold LLC Interests representing an aggregate 79.3% economic interest in TWM LLC. The remaining 20.7% economic interest in TWM LLC will be owned by the Continuing LLC Owners through their ownership of LLC Interests.</w:t>
      </w:r>
    </w:p>
    <w:p>
      <w:pPr>
        <w:spacing w:after="0" w:line="22" w:lineRule="exact"/>
        <w:rPr>
          <w:sz w:val="20"/>
          <w:szCs w:val="20"/>
          <w:color w:val="auto"/>
        </w:rPr>
      </w:pPr>
    </w:p>
    <w:p>
      <w:pPr>
        <w:ind w:right="220" w:firstLine="360"/>
        <w:spacing w:after="0" w:line="275" w:lineRule="auto"/>
        <w:rPr>
          <w:sz w:val="20"/>
          <w:szCs w:val="20"/>
          <w:color w:val="auto"/>
        </w:rPr>
      </w:pPr>
      <w:r>
        <w:rPr>
          <w:rFonts w:ascii="Arial" w:cs="Arial" w:eastAsia="Arial" w:hAnsi="Arial"/>
          <w:sz w:val="16"/>
          <w:szCs w:val="16"/>
          <w:color w:val="auto"/>
        </w:rPr>
        <w:t>The Refinitiv Owners own a majority of the combined voting power in us. As a result, we are a “controlled company” within the meaning of the corporate governance standards of Nasdaq.</w:t>
      </w:r>
    </w:p>
    <w:p>
      <w:pPr>
        <w:spacing w:after="0" w:line="10" w:lineRule="exact"/>
        <w:rPr>
          <w:sz w:val="20"/>
          <w:szCs w:val="20"/>
          <w:color w:val="auto"/>
        </w:rPr>
      </w:pPr>
    </w:p>
    <w:p>
      <w:pPr>
        <w:ind w:right="80" w:firstLine="360"/>
        <w:spacing w:after="0" w:line="261" w:lineRule="auto"/>
        <w:rPr>
          <w:sz w:val="20"/>
          <w:szCs w:val="20"/>
          <w:color w:val="auto"/>
        </w:rPr>
      </w:pPr>
      <w:r>
        <w:rPr>
          <w:rFonts w:ascii="Arial" w:cs="Arial" w:eastAsia="Arial" w:hAnsi="Arial"/>
          <w:sz w:val="16"/>
          <w:szCs w:val="16"/>
          <w:color w:val="auto"/>
        </w:rPr>
        <w:t>We are an “emerging growth company,” as defined in Section 2(a) of the Securities Act of 1933, as amended (the “Securities Act”), and are subject to reduced reporting requirements. This prospectus complies with the requirements that apply to an issuer that is an emerging growth company.</w:t>
      </w:r>
    </w:p>
    <w:p>
      <w:pPr>
        <w:spacing w:after="0" w:line="17" w:lineRule="exact"/>
        <w:rPr>
          <w:sz w:val="20"/>
          <w:szCs w:val="20"/>
          <w:color w:val="auto"/>
        </w:rPr>
      </w:pPr>
    </w:p>
    <w:p>
      <w:pPr>
        <w:ind w:firstLine="360"/>
        <w:spacing w:after="0" w:line="280"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Investing in our Class A common stock involves risks. See “Risk Factors” beginning on page </w:t>
      </w:r>
      <w:hyperlink w:anchor="page47">
        <w:r>
          <w:rPr>
            <w:rFonts w:ascii="Arial" w:cs="Arial" w:eastAsia="Arial" w:hAnsi="Arial"/>
            <w:sz w:val="16"/>
            <w:szCs w:val="16"/>
            <w:b w:val="1"/>
            <w:bCs w:val="1"/>
            <w:u w:val="single" w:color="auto"/>
            <w:color w:val="0000EE"/>
          </w:rPr>
          <w:t>38</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b w:val="1"/>
          <w:bCs w:val="1"/>
          <w:color w:val="auto"/>
        </w:rPr>
        <w:t>to read about factors you should consider before buying shares of our Class A common stock.</w:t>
      </w:r>
    </w:p>
    <w:p>
      <w:pPr>
        <w:spacing w:after="0" w:line="61" w:lineRule="exact"/>
        <w:rPr>
          <w:sz w:val="20"/>
          <w:szCs w:val="20"/>
          <w:color w:val="auto"/>
        </w:rPr>
      </w:pPr>
    </w:p>
    <w:tbl>
      <w:tblPr>
        <w:tblLayout w:type="fixed"/>
        <w:tblInd w:w="36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Per Share</w:t>
            </w:r>
          </w:p>
        </w:tc>
        <w:tc>
          <w:tcPr>
            <w:tcW w:w="1220" w:type="dxa"/>
            <w:vAlign w:val="bottom"/>
          </w:tcPr>
          <w:p>
            <w:pPr>
              <w:jc w:val="right"/>
              <w:ind w:right="385"/>
              <w:spacing w:after="0"/>
              <w:rPr>
                <w:sz w:val="20"/>
                <w:szCs w:val="20"/>
                <w:color w:val="auto"/>
              </w:rPr>
            </w:pPr>
            <w:r>
              <w:rPr>
                <w:rFonts w:ascii="Arial" w:cs="Arial" w:eastAsia="Arial" w:hAnsi="Arial"/>
                <w:sz w:val="14"/>
                <w:szCs w:val="14"/>
                <w:b w:val="1"/>
                <w:bCs w:val="1"/>
                <w:color w:val="auto"/>
              </w:rPr>
              <w:t>Total</w:t>
            </w:r>
          </w:p>
        </w:tc>
      </w:tr>
      <w:tr>
        <w:trPr>
          <w:trHeight w:val="196"/>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Price to public</w:t>
            </w:r>
          </w:p>
        </w:tc>
        <w:tc>
          <w:tcPr>
            <w:tcW w:w="11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765"/>
              <w:spacing w:after="0"/>
              <w:rPr>
                <w:sz w:val="20"/>
                <w:szCs w:val="20"/>
                <w:color w:val="auto"/>
              </w:rPr>
            </w:pPr>
            <w:r>
              <w:rPr>
                <w:rFonts w:ascii="Arial" w:cs="Arial" w:eastAsia="Arial" w:hAnsi="Arial"/>
                <w:sz w:val="15"/>
                <w:szCs w:val="15"/>
                <w:color w:val="auto"/>
              </w:rPr>
              <w:t>$</w:t>
            </w:r>
          </w:p>
        </w:tc>
      </w:tr>
      <w:tr>
        <w:trPr>
          <w:trHeight w:val="216"/>
        </w:trPr>
        <w:tc>
          <w:tcPr>
            <w:tcW w:w="5840" w:type="dxa"/>
            <w:vAlign w:val="bottom"/>
          </w:tcPr>
          <w:p>
            <w:pPr>
              <w:spacing w:after="0" w:line="216" w:lineRule="exact"/>
              <w:rPr>
                <w:sz w:val="20"/>
                <w:szCs w:val="20"/>
                <w:color w:val="auto"/>
              </w:rPr>
            </w:pPr>
            <w:r>
              <w:rPr>
                <w:rFonts w:ascii="Arial" w:cs="Arial" w:eastAsia="Arial" w:hAnsi="Arial"/>
                <w:sz w:val="15"/>
                <w:szCs w:val="15"/>
                <w:color w:val="auto"/>
              </w:rPr>
              <w:t>Underwriting discounts and commissions</w:t>
            </w:r>
            <w:r>
              <w:rPr>
                <w:rFonts w:ascii="Arial" w:cs="Arial" w:eastAsia="Arial" w:hAnsi="Arial"/>
                <w:sz w:val="23"/>
                <w:szCs w:val="23"/>
                <w:color w:val="auto"/>
                <w:vertAlign w:val="superscript"/>
              </w:rPr>
              <w:t>(1)</w:t>
            </w:r>
          </w:p>
        </w:tc>
        <w:tc>
          <w:tcPr>
            <w:tcW w:w="1100" w:type="dxa"/>
            <w:vAlign w:val="bottom"/>
          </w:tcPr>
          <w:p>
            <w:pPr>
              <w:ind w:lef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220" w:type="dxa"/>
            <w:vAlign w:val="bottom"/>
          </w:tcPr>
          <w:p>
            <w:pPr>
              <w:jc w:val="right"/>
              <w:ind w:right="765"/>
              <w:spacing w:after="0"/>
              <w:rPr>
                <w:sz w:val="20"/>
                <w:szCs w:val="20"/>
                <w:color w:val="auto"/>
              </w:rPr>
            </w:pPr>
            <w:r>
              <w:rPr>
                <w:rFonts w:ascii="Arial" w:cs="Arial" w:eastAsia="Arial" w:hAnsi="Arial"/>
                <w:sz w:val="15"/>
                <w:szCs w:val="15"/>
                <w:color w:val="auto"/>
              </w:rPr>
              <w:t>$</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5"/>
                <w:szCs w:val="15"/>
                <w:color w:val="auto"/>
              </w:rPr>
              <w:t>Proceeds, before expenses, to Tradeweb Markets Inc.</w:t>
            </w:r>
          </w:p>
        </w:tc>
        <w:tc>
          <w:tcPr>
            <w:tcW w:w="11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65"/>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-410845</wp:posOffset>
            </wp:positionV>
            <wp:extent cx="45434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4342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163195</wp:posOffset>
            </wp:positionV>
            <wp:extent cx="1234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3" w:lineRule="exact"/>
        <w:rPr>
          <w:sz w:val="20"/>
          <w:szCs w:val="20"/>
          <w:color w:val="auto"/>
        </w:rPr>
      </w:pPr>
    </w:p>
    <w:p>
      <w:pPr>
        <w:ind w:left="360" w:hanging="358"/>
        <w:spacing w:after="0"/>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“Underwriting (Conflicts of Interest)” for additional information regarding underwriting compensation.</w:t>
      </w:r>
    </w:p>
    <w:p>
      <w:pPr>
        <w:spacing w:after="0" w:line="64" w:lineRule="exact"/>
        <w:rPr>
          <w:sz w:val="20"/>
          <w:szCs w:val="20"/>
          <w:color w:val="auto"/>
        </w:rPr>
      </w:pPr>
    </w:p>
    <w:tbl>
      <w:tblPr>
        <w:tblLayout w:type="fixed"/>
        <w:tblInd w:w="360" w:type="dxa"/>
        <w:tblCellMar>
          <w:top w:w="0" w:type="dxa"/>
          <w:left w:w="0" w:type="dxa"/>
          <w:bottom w:w="0" w:type="dxa"/>
          <w:right w:w="0" w:type="dxa"/>
        </w:tblCellMar>
      </w:tblPr>
      <w:tr>
        <w:trPr>
          <w:trHeight w:val="206"/>
        </w:trPr>
        <w:tc>
          <w:tcPr>
            <w:tcW w:w="5460" w:type="dxa"/>
            <w:vAlign w:val="bottom"/>
          </w:tcPr>
          <w:p>
            <w:pPr>
              <w:spacing w:after="0"/>
              <w:rPr>
                <w:sz w:val="20"/>
                <w:szCs w:val="20"/>
                <w:color w:val="auto"/>
              </w:rPr>
            </w:pPr>
            <w:r>
              <w:rPr>
                <w:rFonts w:ascii="Arial" w:cs="Arial" w:eastAsia="Arial" w:hAnsi="Arial"/>
                <w:sz w:val="16"/>
                <w:szCs w:val="16"/>
                <w:color w:val="auto"/>
              </w:rPr>
              <w:t>Delivery of the shares of Class A common stock will be made on or about</w:t>
            </w:r>
          </w:p>
        </w:tc>
        <w:tc>
          <w:tcPr>
            <w:tcW w:w="920" w:type="dxa"/>
            <w:vAlign w:val="bottom"/>
          </w:tcPr>
          <w:p>
            <w:pPr>
              <w:jc w:val="right"/>
              <w:spacing w:after="0"/>
              <w:rPr>
                <w:sz w:val="20"/>
                <w:szCs w:val="20"/>
                <w:color w:val="auto"/>
              </w:rPr>
            </w:pPr>
            <w:r>
              <w:rPr>
                <w:rFonts w:ascii="Arial" w:cs="Arial" w:eastAsia="Arial" w:hAnsi="Arial"/>
                <w:sz w:val="16"/>
                <w:szCs w:val="16"/>
                <w:color w:val="auto"/>
              </w:rPr>
              <w:t>, 2020.</w:t>
            </w:r>
          </w:p>
        </w:tc>
      </w:tr>
    </w:tbl>
    <w:p>
      <w:pPr>
        <w:spacing w:after="0" w:line="33" w:lineRule="exact"/>
        <w:rPr>
          <w:sz w:val="20"/>
          <w:szCs w:val="20"/>
          <w:color w:val="auto"/>
        </w:rPr>
      </w:pPr>
    </w:p>
    <w:p>
      <w:pPr>
        <w:jc w:val="both"/>
        <w:ind w:right="200" w:firstLine="360"/>
        <w:spacing w:after="0" w:line="315" w:lineRule="auto"/>
        <w:rPr>
          <w:sz w:val="20"/>
          <w:szCs w:val="20"/>
          <w:color w:val="auto"/>
        </w:rPr>
      </w:pPr>
      <w:r>
        <w:rPr>
          <w:rFonts w:ascii="Arial" w:cs="Arial" w:eastAsia="Arial" w:hAnsi="Arial"/>
          <w:sz w:val="15"/>
          <w:szCs w:val="15"/>
          <w:b w:val="1"/>
          <w:bCs w:val="1"/>
          <w:color w:val="auto"/>
        </w:rPr>
        <w:t>Neither the Securities and Exchange Commission nor any other regulatory body has approved or disapproved of these securities or determined if this prospectus is truthful or complete. Any representation to the contrary is a criminal offense.</w:t>
      </w:r>
    </w:p>
    <w:p>
      <w:pPr>
        <w:spacing w:after="0" w:line="33" w:lineRule="exact"/>
        <w:rPr>
          <w:sz w:val="20"/>
          <w:szCs w:val="20"/>
          <w:color w:val="auto"/>
        </w:rPr>
      </w:pPr>
    </w:p>
    <w:p>
      <w:pPr>
        <w:spacing w:after="0"/>
        <w:tabs>
          <w:tab w:leader="none" w:pos="1620" w:val="left"/>
          <w:tab w:leader="none" w:pos="2940" w:val="left"/>
          <w:tab w:leader="none" w:pos="4360" w:val="left"/>
          <w:tab w:leader="none" w:pos="7520" w:val="left"/>
        </w:tabs>
        <w:rPr>
          <w:sz w:val="20"/>
          <w:szCs w:val="20"/>
          <w:color w:val="auto"/>
        </w:rPr>
      </w:pPr>
      <w:r>
        <w:rPr>
          <w:rFonts w:ascii="Arial" w:cs="Arial" w:eastAsia="Arial" w:hAnsi="Arial"/>
          <w:sz w:val="22"/>
          <w:szCs w:val="22"/>
          <w:b w:val="1"/>
          <w:bCs w:val="1"/>
          <w:color w:val="auto"/>
        </w:rPr>
        <w:t>J.P. Morgan</w:t>
      </w:r>
      <w:r>
        <w:rPr>
          <w:sz w:val="20"/>
          <w:szCs w:val="20"/>
          <w:color w:val="auto"/>
        </w:rPr>
        <w:tab/>
      </w:r>
      <w:r>
        <w:rPr>
          <w:rFonts w:ascii="Arial" w:cs="Arial" w:eastAsia="Arial" w:hAnsi="Arial"/>
          <w:sz w:val="22"/>
          <w:szCs w:val="22"/>
          <w:b w:val="1"/>
          <w:bCs w:val="1"/>
          <w:color w:val="auto"/>
        </w:rPr>
        <w:t>Barclays</w:t>
      </w:r>
      <w:r>
        <w:rPr>
          <w:sz w:val="20"/>
          <w:szCs w:val="20"/>
          <w:color w:val="auto"/>
        </w:rPr>
        <w:tab/>
      </w:r>
      <w:r>
        <w:rPr>
          <w:rFonts w:ascii="Arial" w:cs="Arial" w:eastAsia="Arial" w:hAnsi="Arial"/>
          <w:sz w:val="22"/>
          <w:szCs w:val="22"/>
          <w:b w:val="1"/>
          <w:bCs w:val="1"/>
          <w:color w:val="auto"/>
        </w:rPr>
        <w:t>Citigroup</w:t>
      </w:r>
      <w:r>
        <w:rPr>
          <w:sz w:val="20"/>
          <w:szCs w:val="20"/>
          <w:color w:val="auto"/>
        </w:rPr>
        <w:tab/>
      </w:r>
      <w:r>
        <w:rPr>
          <w:rFonts w:ascii="Arial" w:cs="Arial" w:eastAsia="Arial" w:hAnsi="Arial"/>
          <w:sz w:val="22"/>
          <w:szCs w:val="22"/>
          <w:b w:val="1"/>
          <w:bCs w:val="1"/>
          <w:color w:val="auto"/>
        </w:rPr>
        <w:t>Goldman Sachs &amp; Co. LLC</w:t>
      </w:r>
      <w:r>
        <w:rPr>
          <w:sz w:val="20"/>
          <w:szCs w:val="20"/>
          <w:color w:val="auto"/>
        </w:rPr>
        <w:tab/>
      </w:r>
      <w:r>
        <w:rPr>
          <w:rFonts w:ascii="Arial" w:cs="Arial" w:eastAsia="Arial" w:hAnsi="Arial"/>
          <w:sz w:val="19"/>
          <w:szCs w:val="19"/>
          <w:b w:val="1"/>
          <w:bCs w:val="1"/>
          <w:color w:val="auto"/>
        </w:rPr>
        <w:t>Morgan Stanley</w:t>
      </w:r>
    </w:p>
    <w:p>
      <w:pPr>
        <w:spacing w:after="0" w:line="62" w:lineRule="exact"/>
        <w:rPr>
          <w:sz w:val="20"/>
          <w:szCs w:val="20"/>
          <w:color w:val="auto"/>
        </w:rPr>
      </w:pPr>
    </w:p>
    <w:p>
      <w:pPr>
        <w:ind w:left="2660"/>
        <w:spacing w:after="0"/>
        <w:tabs>
          <w:tab w:leader="none" w:pos="5940" w:val="left"/>
        </w:tabs>
        <w:rPr>
          <w:sz w:val="20"/>
          <w:szCs w:val="20"/>
          <w:color w:val="auto"/>
        </w:rPr>
      </w:pPr>
      <w:r>
        <w:rPr>
          <w:rFonts w:ascii="Arial" w:cs="Arial" w:eastAsia="Arial" w:hAnsi="Arial"/>
          <w:sz w:val="16"/>
          <w:szCs w:val="16"/>
          <w:color w:val="auto"/>
        </w:rPr>
        <w:t>The date of this prospectus is</w:t>
      </w:r>
      <w:r>
        <w:rPr>
          <w:sz w:val="20"/>
          <w:szCs w:val="20"/>
          <w:color w:val="auto"/>
        </w:rPr>
        <w:tab/>
      </w:r>
      <w:r>
        <w:rPr>
          <w:rFonts w:ascii="Arial" w:cs="Arial" w:eastAsia="Arial" w:hAnsi="Arial"/>
          <w:sz w:val="15"/>
          <w:szCs w:val="15"/>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549275</wp:posOffset>
            </wp:positionV>
            <wp:extent cx="68065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2">
            <w:col w:w="800" w:space="340"/>
            <w:col w:w="9080"/>
          </w:cols>
          <w:pgMar w:left="320" w:top="131" w:right="1359"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6806565" cy="893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893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460" w:type="dxa"/>
            <w:vAlign w:val="bottom"/>
          </w:tcPr>
          <w:p>
            <w:pPr>
              <w:ind w:left="1420"/>
              <w:spacing w:after="0"/>
              <w:rPr>
                <w:sz w:val="20"/>
                <w:szCs w:val="20"/>
                <w:color w:val="auto"/>
              </w:rPr>
            </w:pPr>
            <w:r>
              <w:rPr>
                <w:rFonts w:ascii="Arial" w:cs="Arial" w:eastAsia="Arial" w:hAnsi="Arial"/>
                <w:sz w:val="18"/>
                <w:szCs w:val="18"/>
                <w:b w:val="1"/>
                <w:bCs w:val="1"/>
                <w:color w:val="auto"/>
              </w:rPr>
              <w:t>TABLE OF CONTENTS</w:t>
            </w: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160" w:type="dxa"/>
            <w:vAlign w:val="bottom"/>
            <w:gridSpan w:val="3"/>
            <w:shd w:val="clear" w:color="auto" w:fill="CCEEFF"/>
          </w:tcPr>
          <w:p>
            <w:pPr>
              <w:spacing w:after="0" w:line="202"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MARKET AND INDUSTRY DATA</w:t>
              </w:r>
            </w:hyperlink>
          </w:p>
        </w:tc>
        <w:tc>
          <w:tcPr>
            <w:tcW w:w="1060" w:type="dxa"/>
            <w:vAlign w:val="bottom"/>
            <w:shd w:val="clear" w:color="auto" w:fill="CCEEFF"/>
          </w:tcPr>
          <w:p>
            <w:pPr>
              <w:jc w:val="right"/>
              <w:spacing w:after="0" w:line="202"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ii</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7160" w:type="dxa"/>
            <w:vAlign w:val="bottom"/>
            <w:gridSpan w:val="3"/>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CERTAIN TRADEMARKS, TRADE NAMES AND SERVICE MARKS</w:t>
              </w:r>
            </w:hyperlink>
          </w:p>
        </w:tc>
        <w:tc>
          <w:tcPr>
            <w:tcW w:w="1080" w:type="dxa"/>
            <w:vAlign w:val="bottom"/>
            <w:gridSpan w:val="2"/>
          </w:tcPr>
          <w:p>
            <w:pPr>
              <w:jc w:val="right"/>
              <w:ind w:righ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ii</w:t>
              </w:r>
            </w:hyperlink>
          </w:p>
        </w:tc>
        <w:tc>
          <w:tcPr>
            <w:tcW w:w="0" w:type="dxa"/>
            <w:vAlign w:val="bottom"/>
          </w:tcPr>
          <w:p>
            <w:pPr>
              <w:spacing w:after="0"/>
              <w:rPr>
                <w:sz w:val="1"/>
                <w:szCs w:val="1"/>
                <w:color w:val="auto"/>
              </w:rPr>
            </w:pPr>
          </w:p>
        </w:tc>
      </w:tr>
      <w:tr>
        <w:trPr>
          <w:trHeight w:val="304"/>
        </w:trPr>
        <w:tc>
          <w:tcPr>
            <w:tcW w:w="7160" w:type="dxa"/>
            <w:vAlign w:val="bottom"/>
            <w:gridSpan w:val="3"/>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BASIS OF PRESENTATION</w:t>
              </w:r>
            </w:hyperlink>
          </w:p>
        </w:tc>
        <w:tc>
          <w:tcPr>
            <w:tcW w:w="1060" w:type="dxa"/>
            <w:vAlign w:val="bottom"/>
            <w:shd w:val="clear" w:color="auto" w:fill="CCEEFF"/>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ii</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160" w:type="dxa"/>
            <w:vAlign w:val="bottom"/>
            <w:gridSpan w:val="3"/>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USE OF NON-GAAP FINANCIAL MEASURES</w:t>
              </w:r>
            </w:hyperlink>
          </w:p>
        </w:tc>
        <w:tc>
          <w:tcPr>
            <w:tcW w:w="1080" w:type="dxa"/>
            <w:vAlign w:val="bottom"/>
            <w:gridSpan w:val="2"/>
          </w:tcPr>
          <w:p>
            <w:pPr>
              <w:jc w:val="right"/>
              <w:ind w:right="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vi</w:t>
              </w:r>
            </w:hyperlink>
          </w:p>
        </w:tc>
        <w:tc>
          <w:tcPr>
            <w:tcW w:w="0" w:type="dxa"/>
            <w:vAlign w:val="bottom"/>
          </w:tcPr>
          <w:p>
            <w:pPr>
              <w:spacing w:after="0"/>
              <w:rPr>
                <w:sz w:val="1"/>
                <w:szCs w:val="1"/>
                <w:color w:val="auto"/>
              </w:rPr>
            </w:pPr>
          </w:p>
        </w:tc>
      </w:tr>
      <w:tr>
        <w:trPr>
          <w:trHeight w:val="304"/>
        </w:trPr>
        <w:tc>
          <w:tcPr>
            <w:tcW w:w="7160" w:type="dxa"/>
            <w:vAlign w:val="bottom"/>
            <w:gridSpan w:val="3"/>
            <w:shd w:val="clear" w:color="auto" w:fill="CCEEFF"/>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PROSPECTUS SUMMARY</w:t>
              </w:r>
            </w:hyperlink>
          </w:p>
        </w:tc>
        <w:tc>
          <w:tcPr>
            <w:tcW w:w="1060" w:type="dxa"/>
            <w:vAlign w:val="bottom"/>
            <w:shd w:val="clear" w:color="auto" w:fill="CCEEFF"/>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160" w:type="dxa"/>
            <w:vAlign w:val="bottom"/>
            <w:gridSpan w:val="3"/>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RISK FACTORS</w:t>
              </w:r>
            </w:hyperlink>
          </w:p>
        </w:tc>
        <w:tc>
          <w:tcPr>
            <w:tcW w:w="1080" w:type="dxa"/>
            <w:vAlign w:val="bottom"/>
            <w:gridSpan w:val="2"/>
          </w:tcPr>
          <w:p>
            <w:pPr>
              <w:jc w:val="right"/>
              <w:ind w:right="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38</w:t>
              </w:r>
            </w:hyperlink>
          </w:p>
        </w:tc>
        <w:tc>
          <w:tcPr>
            <w:tcW w:w="0" w:type="dxa"/>
            <w:vAlign w:val="bottom"/>
          </w:tcPr>
          <w:p>
            <w:pPr>
              <w:spacing w:after="0"/>
              <w:rPr>
                <w:sz w:val="1"/>
                <w:szCs w:val="1"/>
                <w:color w:val="auto"/>
              </w:rPr>
            </w:pPr>
          </w:p>
        </w:tc>
      </w:tr>
      <w:tr>
        <w:trPr>
          <w:trHeight w:val="304"/>
        </w:trPr>
        <w:tc>
          <w:tcPr>
            <w:tcW w:w="7160" w:type="dxa"/>
            <w:vAlign w:val="bottom"/>
            <w:gridSpan w:val="3"/>
            <w:shd w:val="clear" w:color="auto" w:fill="CCEEFF"/>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CAUTIONARY NOTE REGARDING FORWARD-LOOKING STATEMENTS</w:t>
              </w:r>
            </w:hyperlink>
          </w:p>
        </w:tc>
        <w:tc>
          <w:tcPr>
            <w:tcW w:w="1060" w:type="dxa"/>
            <w:vAlign w:val="bottom"/>
            <w:shd w:val="clear" w:color="auto" w:fill="CCEEFF"/>
          </w:tcPr>
          <w:p>
            <w:pPr>
              <w:jc w:val="right"/>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74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160" w:type="dxa"/>
            <w:vAlign w:val="bottom"/>
            <w:gridSpan w:val="3"/>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THE IPO AND REORGANIZATION TRANSACTIONS</w:t>
              </w:r>
            </w:hyperlink>
          </w:p>
        </w:tc>
        <w:tc>
          <w:tcPr>
            <w:tcW w:w="1080" w:type="dxa"/>
            <w:vAlign w:val="bottom"/>
            <w:gridSpan w:val="2"/>
          </w:tcPr>
          <w:p>
            <w:pPr>
              <w:jc w:val="right"/>
              <w:ind w:right="2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76</w:t>
              </w:r>
            </w:hyperlink>
          </w:p>
        </w:tc>
        <w:tc>
          <w:tcPr>
            <w:tcW w:w="0" w:type="dxa"/>
            <w:vAlign w:val="bottom"/>
          </w:tcPr>
          <w:p>
            <w:pPr>
              <w:spacing w:after="0"/>
              <w:rPr>
                <w:sz w:val="1"/>
                <w:szCs w:val="1"/>
                <w:color w:val="auto"/>
              </w:rPr>
            </w:pPr>
          </w:p>
        </w:tc>
      </w:tr>
      <w:tr>
        <w:trPr>
          <w:trHeight w:val="304"/>
        </w:trPr>
        <w:tc>
          <w:tcPr>
            <w:tcW w:w="7160" w:type="dxa"/>
            <w:vAlign w:val="bottom"/>
            <w:gridSpan w:val="3"/>
            <w:shd w:val="clear" w:color="auto" w:fill="CCEEFF"/>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USE OF PROCEEDS</w:t>
              </w:r>
            </w:hyperlink>
          </w:p>
        </w:tc>
        <w:tc>
          <w:tcPr>
            <w:tcW w:w="1060" w:type="dxa"/>
            <w:vAlign w:val="bottom"/>
            <w:shd w:val="clear" w:color="auto" w:fill="CCEEFF"/>
          </w:tcPr>
          <w:p>
            <w:pPr>
              <w:jc w:val="right"/>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79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160" w:type="dxa"/>
            <w:vAlign w:val="bottom"/>
            <w:gridSpan w:val="3"/>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DIVIDEND POLICY</w:t>
              </w:r>
            </w:hyperlink>
          </w:p>
        </w:tc>
        <w:tc>
          <w:tcPr>
            <w:tcW w:w="1080" w:type="dxa"/>
            <w:vAlign w:val="bottom"/>
            <w:gridSpan w:val="2"/>
          </w:tcPr>
          <w:p>
            <w:pPr>
              <w:jc w:val="right"/>
              <w:ind w:right="2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80</w:t>
              </w:r>
            </w:hyperlink>
          </w:p>
        </w:tc>
        <w:tc>
          <w:tcPr>
            <w:tcW w:w="0" w:type="dxa"/>
            <w:vAlign w:val="bottom"/>
          </w:tcPr>
          <w:p>
            <w:pPr>
              <w:spacing w:after="0"/>
              <w:rPr>
                <w:sz w:val="1"/>
                <w:szCs w:val="1"/>
                <w:color w:val="auto"/>
              </w:rPr>
            </w:pPr>
          </w:p>
        </w:tc>
      </w:tr>
      <w:tr>
        <w:trPr>
          <w:trHeight w:val="304"/>
        </w:trPr>
        <w:tc>
          <w:tcPr>
            <w:tcW w:w="7160" w:type="dxa"/>
            <w:vAlign w:val="bottom"/>
            <w:gridSpan w:val="3"/>
            <w:shd w:val="clear" w:color="auto" w:fill="CCEEFF"/>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CAPITALIZATION</w:t>
              </w:r>
            </w:hyperlink>
          </w:p>
        </w:tc>
        <w:tc>
          <w:tcPr>
            <w:tcW w:w="1060" w:type="dxa"/>
            <w:vAlign w:val="bottom"/>
            <w:shd w:val="clear" w:color="auto" w:fill="CCEEFF"/>
          </w:tcPr>
          <w:p>
            <w:pPr>
              <w:jc w:val="right"/>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81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160" w:type="dxa"/>
            <w:vAlign w:val="bottom"/>
            <w:gridSpan w:val="3"/>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UNAUDITED PRO FORMA CONSOLIDATED FINANCIAL INFORMATION</w:t>
              </w:r>
            </w:hyperlink>
          </w:p>
        </w:tc>
        <w:tc>
          <w:tcPr>
            <w:tcW w:w="1080" w:type="dxa"/>
            <w:vAlign w:val="bottom"/>
            <w:gridSpan w:val="2"/>
          </w:tcPr>
          <w:p>
            <w:pPr>
              <w:jc w:val="right"/>
              <w:ind w:right="2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82</w:t>
              </w:r>
            </w:hyperlink>
          </w:p>
        </w:tc>
        <w:tc>
          <w:tcPr>
            <w:tcW w:w="0" w:type="dxa"/>
            <w:vAlign w:val="bottom"/>
          </w:tcPr>
          <w:p>
            <w:pPr>
              <w:spacing w:after="0"/>
              <w:rPr>
                <w:sz w:val="1"/>
                <w:szCs w:val="1"/>
                <w:color w:val="auto"/>
              </w:rPr>
            </w:pPr>
          </w:p>
        </w:tc>
      </w:tr>
      <w:tr>
        <w:trPr>
          <w:trHeight w:val="317"/>
        </w:trPr>
        <w:tc>
          <w:tcPr>
            <w:tcW w:w="7160" w:type="dxa"/>
            <w:vAlign w:val="bottom"/>
            <w:gridSpan w:val="3"/>
            <w:shd w:val="clear" w:color="auto" w:fill="CCEEFF"/>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MANAGEMENT</w:t>
              </w:r>
            </w:hyperlink>
          </w:p>
        </w:tc>
        <w:tc>
          <w:tcPr>
            <w:tcW w:w="1060" w:type="dxa"/>
            <w:vAlign w:val="bottom"/>
            <w:shd w:val="clear" w:color="auto" w:fill="CCEEFF"/>
          </w:tcPr>
          <w:p>
            <w:pPr>
              <w:jc w:val="right"/>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92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160" w:type="dxa"/>
            <w:vAlign w:val="bottom"/>
            <w:gridSpan w:val="3"/>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PRINCIPAL STOCKHOLDERS</w:t>
              </w:r>
            </w:hyperlink>
          </w:p>
        </w:tc>
        <w:tc>
          <w:tcPr>
            <w:tcW w:w="1080" w:type="dxa"/>
            <w:vAlign w:val="bottom"/>
            <w:gridSpan w:val="2"/>
          </w:tcPr>
          <w:p>
            <w:pPr>
              <w:jc w:val="right"/>
              <w:ind w:right="2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99</w:t>
              </w:r>
            </w:hyperlink>
          </w:p>
        </w:tc>
        <w:tc>
          <w:tcPr>
            <w:tcW w:w="0" w:type="dxa"/>
            <w:vAlign w:val="bottom"/>
          </w:tcPr>
          <w:p>
            <w:pPr>
              <w:spacing w:after="0"/>
              <w:rPr>
                <w:sz w:val="1"/>
                <w:szCs w:val="1"/>
                <w:color w:val="auto"/>
              </w:rPr>
            </w:pPr>
          </w:p>
        </w:tc>
      </w:tr>
      <w:tr>
        <w:trPr>
          <w:trHeight w:val="317"/>
        </w:trPr>
        <w:tc>
          <w:tcPr>
            <w:tcW w:w="7160" w:type="dxa"/>
            <w:vAlign w:val="bottom"/>
            <w:gridSpan w:val="3"/>
            <w:shd w:val="clear" w:color="auto" w:fill="CCEEFF"/>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CERTAIN RELATIONSHIPS AND RELATED PARTY TRANSACTIONS</w:t>
              </w:r>
            </w:hyperlink>
          </w:p>
        </w:tc>
        <w:tc>
          <w:tcPr>
            <w:tcW w:w="1060" w:type="dxa"/>
            <w:vAlign w:val="bottom"/>
            <w:shd w:val="clear" w:color="auto" w:fill="CCEEFF"/>
          </w:tcPr>
          <w:p>
            <w:pPr>
              <w:jc w:val="right"/>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102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160" w:type="dxa"/>
            <w:vAlign w:val="bottom"/>
            <w:gridSpan w:val="3"/>
          </w:tcPr>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DESCRIPTION OF CAPITAL STOCK</w:t>
              </w:r>
            </w:hyperlink>
          </w:p>
        </w:tc>
        <w:tc>
          <w:tcPr>
            <w:tcW w:w="1080" w:type="dxa"/>
            <w:vAlign w:val="bottom"/>
            <w:gridSpan w:val="2"/>
          </w:tcPr>
          <w:p>
            <w:pPr>
              <w:jc w:val="right"/>
              <w:ind w:right="20"/>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113</w:t>
              </w:r>
            </w:hyperlink>
          </w:p>
        </w:tc>
        <w:tc>
          <w:tcPr>
            <w:tcW w:w="0" w:type="dxa"/>
            <w:vAlign w:val="bottom"/>
          </w:tcPr>
          <w:p>
            <w:pPr>
              <w:spacing w:after="0"/>
              <w:rPr>
                <w:sz w:val="1"/>
                <w:szCs w:val="1"/>
                <w:color w:val="auto"/>
              </w:rPr>
            </w:pPr>
          </w:p>
        </w:tc>
      </w:tr>
      <w:tr>
        <w:trPr>
          <w:trHeight w:val="317"/>
        </w:trPr>
        <w:tc>
          <w:tcPr>
            <w:tcW w:w="7160" w:type="dxa"/>
            <w:vAlign w:val="bottom"/>
            <w:gridSpan w:val="3"/>
            <w:shd w:val="clear" w:color="auto" w:fill="CCEEFF"/>
          </w:tcPr>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SHARES ELIGIBLE FOR FUTURE SALE</w:t>
              </w:r>
            </w:hyperlink>
          </w:p>
        </w:tc>
        <w:tc>
          <w:tcPr>
            <w:tcW w:w="1060" w:type="dxa"/>
            <w:vAlign w:val="bottom"/>
            <w:shd w:val="clear" w:color="auto" w:fill="CCEEFF"/>
          </w:tcPr>
          <w:p>
            <w:pPr>
              <w:jc w:val="right"/>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124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16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136">
              <w:r>
                <w:rPr>
                  <w:rFonts w:ascii="Arial" w:cs="Arial" w:eastAsia="Arial" w:hAnsi="Arial"/>
                  <w:sz w:val="18"/>
                  <w:szCs w:val="18"/>
                  <w:color w:val="0000EE"/>
                  <w:w w:val="99"/>
                </w:rPr>
                <w:t>MATERIAL U.S. FEDERAL TAX CONSIDERATIONS FOR NON-U.S. HOLDERS OF OUR</w:t>
              </w:r>
            </w:hyperlink>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160" w:type="dxa"/>
            <w:vAlign w:val="bottom"/>
            <w:gridSpan w:val="3"/>
          </w:tcPr>
          <w:p>
            <w:pPr>
              <w:ind w:left="180"/>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COMMON STOCK</w:t>
              </w:r>
            </w:hyperlink>
          </w:p>
        </w:tc>
        <w:tc>
          <w:tcPr>
            <w:tcW w:w="1080" w:type="dxa"/>
            <w:vAlign w:val="bottom"/>
            <w:gridSpan w:val="2"/>
          </w:tcPr>
          <w:p>
            <w:pPr>
              <w:jc w:val="right"/>
              <w:ind w:right="20"/>
              <w:spacing w:after="0" w:line="196" w:lineRule="exact"/>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127</w:t>
              </w:r>
            </w:hyperlink>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1520" w:type="dxa"/>
            <w:vAlign w:val="bottom"/>
            <w:tcBorders>
              <w:top w:val="single" w:sz="8" w:color="0000EE"/>
            </w:tcBorders>
          </w:tcPr>
          <w:p>
            <w:pPr>
              <w:spacing w:after="0"/>
              <w:rPr>
                <w:sz w:val="4"/>
                <w:szCs w:val="4"/>
                <w:color w:val="auto"/>
              </w:rPr>
            </w:pPr>
          </w:p>
        </w:tc>
        <w:tc>
          <w:tcPr>
            <w:tcW w:w="54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7160" w:type="dxa"/>
            <w:vAlign w:val="bottom"/>
            <w:gridSpan w:val="3"/>
            <w:shd w:val="clear" w:color="auto" w:fill="CCEEFF"/>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UNDERWRITING (CONFLICTS OF INTEREST)</w:t>
              </w:r>
            </w:hyperlink>
          </w:p>
        </w:tc>
        <w:tc>
          <w:tcPr>
            <w:tcW w:w="1060" w:type="dxa"/>
            <w:vAlign w:val="bottom"/>
            <w:shd w:val="clear" w:color="auto" w:fill="CCEEFF"/>
          </w:tcPr>
          <w:p>
            <w:pPr>
              <w:jc w:val="right"/>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131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160" w:type="dxa"/>
            <w:vAlign w:val="bottom"/>
            <w:gridSpan w:val="3"/>
          </w:tcPr>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LEGAL MATTERS</w:t>
              </w:r>
            </w:hyperlink>
          </w:p>
        </w:tc>
        <w:tc>
          <w:tcPr>
            <w:tcW w:w="1080" w:type="dxa"/>
            <w:vAlign w:val="bottom"/>
            <w:gridSpan w:val="2"/>
          </w:tcPr>
          <w:p>
            <w:pPr>
              <w:jc w:val="right"/>
              <w:ind w:right="20"/>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138</w:t>
              </w:r>
            </w:hyperlink>
          </w:p>
        </w:tc>
        <w:tc>
          <w:tcPr>
            <w:tcW w:w="0" w:type="dxa"/>
            <w:vAlign w:val="bottom"/>
          </w:tcPr>
          <w:p>
            <w:pPr>
              <w:spacing w:after="0"/>
              <w:rPr>
                <w:sz w:val="1"/>
                <w:szCs w:val="1"/>
                <w:color w:val="auto"/>
              </w:rPr>
            </w:pPr>
          </w:p>
        </w:tc>
      </w:tr>
      <w:tr>
        <w:trPr>
          <w:trHeight w:val="317"/>
        </w:trPr>
        <w:tc>
          <w:tcPr>
            <w:tcW w:w="7160" w:type="dxa"/>
            <w:vAlign w:val="bottom"/>
            <w:gridSpan w:val="3"/>
            <w:shd w:val="clear" w:color="auto" w:fill="CCEEFF"/>
          </w:tcPr>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CHANGE IN INDEPENDENT REGISTERED PUBLIC ACCOUNTING FIRM</w:t>
              </w:r>
            </w:hyperlink>
          </w:p>
        </w:tc>
        <w:tc>
          <w:tcPr>
            <w:tcW w:w="1060" w:type="dxa"/>
            <w:vAlign w:val="bottom"/>
            <w:shd w:val="clear" w:color="auto" w:fill="CCEEFF"/>
          </w:tcPr>
          <w:p>
            <w:pPr>
              <w:jc w:val="right"/>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138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160" w:type="dxa"/>
            <w:vAlign w:val="bottom"/>
            <w:gridSpan w:val="3"/>
          </w:tcPr>
          <w:p>
            <w:pPr>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EXPERTS</w:t>
              </w:r>
            </w:hyperlink>
          </w:p>
        </w:tc>
        <w:tc>
          <w:tcPr>
            <w:tcW w:w="1080" w:type="dxa"/>
            <w:vAlign w:val="bottom"/>
            <w:gridSpan w:val="2"/>
          </w:tcPr>
          <w:p>
            <w:pPr>
              <w:jc w:val="right"/>
              <w:ind w:right="20"/>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139</w:t>
              </w:r>
            </w:hyperlink>
          </w:p>
        </w:tc>
        <w:tc>
          <w:tcPr>
            <w:tcW w:w="0" w:type="dxa"/>
            <w:vAlign w:val="bottom"/>
          </w:tcPr>
          <w:p>
            <w:pPr>
              <w:spacing w:after="0"/>
              <w:rPr>
                <w:sz w:val="1"/>
                <w:szCs w:val="1"/>
                <w:color w:val="auto"/>
              </w:rPr>
            </w:pPr>
          </w:p>
        </w:tc>
      </w:tr>
      <w:tr>
        <w:trPr>
          <w:trHeight w:val="317"/>
        </w:trPr>
        <w:tc>
          <w:tcPr>
            <w:tcW w:w="7160" w:type="dxa"/>
            <w:vAlign w:val="bottom"/>
            <w:gridSpan w:val="3"/>
            <w:shd w:val="clear" w:color="auto" w:fill="CCEEFF"/>
          </w:tcPr>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INCORPORATION BY REFERENCE</w:t>
              </w:r>
            </w:hyperlink>
          </w:p>
        </w:tc>
        <w:tc>
          <w:tcPr>
            <w:tcW w:w="1060" w:type="dxa"/>
            <w:vAlign w:val="bottom"/>
            <w:shd w:val="clear" w:color="auto" w:fill="CCEEFF"/>
          </w:tcPr>
          <w:p>
            <w:pPr>
              <w:jc w:val="right"/>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141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160" w:type="dxa"/>
            <w:vAlign w:val="bottom"/>
            <w:gridSpan w:val="3"/>
          </w:tcPr>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WHERE YOU CAN FIND MORE INFORMATION</w:t>
              </w:r>
            </w:hyperlink>
          </w:p>
        </w:tc>
        <w:tc>
          <w:tcPr>
            <w:tcW w:w="1080" w:type="dxa"/>
            <w:vAlign w:val="bottom"/>
            <w:gridSpan w:val="2"/>
          </w:tcPr>
          <w:p>
            <w:pPr>
              <w:jc w:val="right"/>
              <w:ind w:right="2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141</w:t>
              </w:r>
            </w:hyperlink>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Neither we nor the underwriters have authorized anyone to provide you with any information other than that included or incorporated by reference in this prospectus or in any free writing prospectus prepared by or on behalf of us. We do not take any responsibility for, and can provide no assurance as to the reliability of, any information that others may give you. Offers to sell, and solicitations of offers to buy, shares of our Class A common stock are being made only in jurisdictions where offers and sales are permitted. The information contained or incorporated by reference in this prospectus is accurate only as of the date of this prospectus, regardless of the time of delivery of this prospectus or of any sale of our Class A common stock. Our business, financial condition, operating results and prospects may have changed since such date.</w:t>
      </w:r>
    </w:p>
    <w:p>
      <w:pPr>
        <w:spacing w:after="0" w:line="70"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No action is being taken in any jurisdiction outside the United States to permit a public offering of Class A common stock. Persons who come into possession of this prospectus in jurisdictions outside the United States are required to inform themselves about and to observe any restriction as to this offering and the distribution of this prospectus applicable to those jurisdictions.</w:t>
      </w:r>
    </w:p>
    <w:p>
      <w:pPr>
        <w:spacing w:after="0" w:line="308"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MARKET AND INDUSTRY DATA</w:t>
      </w:r>
    </w:p>
    <w:p>
      <w:pPr>
        <w:spacing w:after="0" w:line="10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This prospectus includes or incorporates by reference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clients, trade and business organizations and other contacts in the markets in which we operate. Certain information is based on management estimates, which have been derived from third-party sources, as well as data from our internal research, and are based on certain assumptions that we believe to be reasonable. In particular, to calculate our market position, market opportunity and market size we derived the size of the applicable market from a combination of management estimates and public industry sources, including FINRA’s Trade Reporting and Compliance Engine (“TRACE”), the Securities Industry and Financial Markets Association (“SIFMA”), the International Swaps and Derivatives Association (“ISDA”), Clarus Financial Technology, Trax, the Chicago Board Options Exchange (“CBOE”) and the Federal Reserve Bank of New York. In calculating the size of certain markets, we omitted products for which there is no publicly available data, and, as a result, the actual markets for certain of our asset classes may be larger than those presented herein.</w:t>
      </w:r>
    </w:p>
    <w:p>
      <w:pPr>
        <w:spacing w:after="0" w:line="72"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or incorporated by reference in this prospectus are generally reliable, such information, which is derived in part from management’s estimates and beliefs, is inherently uncertain and imprecise. Market and industry data are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third parties and by us. Accordingly, you are cautioned not to place undue reliance on such market and industry data or any other such estimates. Neither we nor the underwriters can guarantee the accuracy or completeness of this information, and neither we nor the underwriters have independently verified any third-party information and data from our internal research has not been verified by any independent source.</w:t>
      </w:r>
    </w:p>
    <w:p>
      <w:pPr>
        <w:spacing w:after="0" w:line="164"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CERTAIN TRADEMARKS, TRADE NAMES AND SERVICE MARKS</w:t>
      </w:r>
    </w:p>
    <w:p>
      <w:pPr>
        <w:spacing w:after="0" w:line="108" w:lineRule="exact"/>
        <w:rPr>
          <w:sz w:val="20"/>
          <w:szCs w:val="20"/>
          <w:color w:val="auto"/>
        </w:rPr>
      </w:pPr>
    </w:p>
    <w:p>
      <w:pPr>
        <w:ind w:left="1260" w:right="679" w:firstLine="360"/>
        <w:spacing w:after="0" w:line="256" w:lineRule="auto"/>
        <w:rPr>
          <w:sz w:val="20"/>
          <w:szCs w:val="20"/>
          <w:color w:val="auto"/>
        </w:rPr>
      </w:pPr>
      <w:r>
        <w:rPr>
          <w:rFonts w:ascii="Arial" w:cs="Arial" w:eastAsia="Arial" w:hAnsi="Arial"/>
          <w:sz w:val="17"/>
          <w:szCs w:val="17"/>
          <w:color w:val="auto"/>
        </w:rPr>
        <w:t xml:space="preserve">This prospectus includes or incorporates by reference trademarks and service marks owned by us. This prospectus also contains or incorporates by reference trademarks, trade names and service marks of other companies, which are the property of their respective owners. Solely for convenience, trademarks, trade names and service marks referred to in this prospectus may appear without the ®,™ or </w:t>
      </w:r>
      <w:r>
        <w:rPr>
          <w:rFonts w:ascii="Arial" w:cs="Arial" w:eastAsia="Arial" w:hAnsi="Arial"/>
          <w:sz w:val="25"/>
          <w:szCs w:val="25"/>
          <w:color w:val="auto"/>
          <w:vertAlign w:val="superscript"/>
        </w:rPr>
        <w:t>SM</w:t>
      </w:r>
      <w:r>
        <w:rPr>
          <w:rFonts w:ascii="Arial" w:cs="Arial" w:eastAsia="Arial" w:hAnsi="Arial"/>
          <w:sz w:val="17"/>
          <w:szCs w:val="17"/>
          <w:color w:val="auto"/>
        </w:rPr>
        <w:t xml:space="preserve"> symbols, but such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BASIS OF PRESENTATION</w:t>
      </w:r>
    </w:p>
    <w:p>
      <w:pPr>
        <w:spacing w:after="0" w:line="108"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The financial statements and other disclosures included or incorporated by reference in this prospectus include those of Tradeweb Markets Inc., which is the issuer of the Class A common stock,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 See “The IPO and Reorganization Transactions.”</w:t>
      </w:r>
    </w:p>
    <w:p>
      <w:pPr>
        <w:spacing w:after="0" w:line="26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used in this prospectus, unless the context otherwise requires, references to:</w:t>
      </w:r>
    </w:p>
    <w:p>
      <w:pPr>
        <w:spacing w:after="0" w:line="171" w:lineRule="exact"/>
        <w:rPr>
          <w:sz w:val="20"/>
          <w:szCs w:val="20"/>
          <w:color w:val="auto"/>
        </w:rPr>
      </w:pPr>
    </w:p>
    <w:p>
      <w:pPr>
        <w:ind w:left="1980" w:right="799" w:hanging="352"/>
        <w:spacing w:after="0" w:line="273" w:lineRule="auto"/>
        <w:tabs>
          <w:tab w:leader="none" w:pos="1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“We,” “us,” “our,” the “Company,” “Tradeweb” </w:t>
      </w:r>
      <w:r>
        <w:rPr>
          <w:rFonts w:ascii="Arial" w:cs="Arial" w:eastAsia="Arial" w:hAnsi="Arial"/>
          <w:sz w:val="17"/>
          <w:szCs w:val="17"/>
          <w:color w:val="auto"/>
        </w:rPr>
        <w:t>and similar references refer: (i) on or prior to</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TWM LLC and all of its subsidiaries and any predecessor entities.</w:t>
      </w:r>
    </w:p>
    <w:p>
      <w:pPr>
        <w:spacing w:after="0" w:line="123" w:lineRule="exact"/>
        <w:rPr>
          <w:rFonts w:ascii="Arial" w:cs="Arial" w:eastAsia="Arial" w:hAnsi="Arial"/>
          <w:sz w:val="17"/>
          <w:szCs w:val="17"/>
          <w:color w:val="auto"/>
        </w:rPr>
      </w:pPr>
    </w:p>
    <w:p>
      <w:pPr>
        <w:ind w:left="1980" w:right="679" w:hanging="352"/>
        <w:spacing w:after="0" w:line="253"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“Bank Stockholders” </w:t>
      </w:r>
      <w:r>
        <w:rPr>
          <w:rFonts w:ascii="Arial" w:cs="Arial" w:eastAsia="Arial" w:hAnsi="Arial"/>
          <w:sz w:val="18"/>
          <w:szCs w:val="18"/>
          <w:color w:val="auto"/>
        </w:rPr>
        <w:t>refer collectively to entities affiliated with the following clients: Barclays</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which, prior to the completion of the IPO, collectively held a 46% ownership interest in Tradeweb. Following the IPO and the application of the net proceeds therefrom, entities affiliated with BofA Securities, Inc., RBS Securities Inc. and UBS Securities LLC no longer hold LLC Interests and, except as otherwise indicated, are not considered Bank Stockholders for post-IPO periods.</w:t>
      </w:r>
    </w:p>
    <w:p>
      <w:pPr>
        <w:spacing w:after="0" w:line="128" w:lineRule="exact"/>
        <w:rPr>
          <w:rFonts w:ascii="Arial" w:cs="Arial" w:eastAsia="Arial" w:hAnsi="Arial"/>
          <w:sz w:val="18"/>
          <w:szCs w:val="18"/>
          <w:color w:val="auto"/>
        </w:rPr>
      </w:pPr>
    </w:p>
    <w:p>
      <w:pPr>
        <w:ind w:left="1980" w:right="1059" w:hanging="352"/>
        <w:spacing w:after="0" w:line="277"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“Continuing LLC Owners” </w:t>
      </w:r>
      <w:r>
        <w:rPr>
          <w:rFonts w:ascii="Arial" w:cs="Arial" w:eastAsia="Arial" w:hAnsi="Arial"/>
          <w:sz w:val="18"/>
          <w:szCs w:val="18"/>
          <w:color w:val="auto"/>
        </w:rPr>
        <w:t>refer collectively to the Other LLC Owners and the Refinitiv LLC</w:t>
      </w:r>
      <w:r>
        <w:rPr>
          <w:rFonts w:ascii="Arial" w:cs="Arial" w:eastAsia="Arial" w:hAnsi="Arial"/>
          <w:sz w:val="18"/>
          <w:szCs w:val="18"/>
          <w:i w:val="1"/>
          <w:iCs w:val="1"/>
          <w:color w:val="auto"/>
        </w:rPr>
        <w:t xml:space="preserve"> </w:t>
      </w:r>
      <w:r>
        <w:rPr>
          <w:rFonts w:ascii="Arial" w:cs="Arial" w:eastAsia="Arial" w:hAnsi="Arial"/>
          <w:sz w:val="18"/>
          <w:szCs w:val="18"/>
          <w:color w:val="auto"/>
        </w:rPr>
        <w:t>Owner.</w:t>
      </w:r>
    </w:p>
    <w:p>
      <w:pPr>
        <w:spacing w:after="0" w:line="116" w:lineRule="exact"/>
        <w:rPr>
          <w:rFonts w:ascii="Arial" w:cs="Arial" w:eastAsia="Arial" w:hAnsi="Arial"/>
          <w:sz w:val="18"/>
          <w:szCs w:val="18"/>
          <w:color w:val="auto"/>
        </w:rPr>
      </w:pPr>
    </w:p>
    <w:p>
      <w:pPr>
        <w:ind w:left="1980" w:right="779" w:hanging="352"/>
        <w:spacing w:after="0" w:line="259"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“Investor Group” </w:t>
      </w:r>
      <w:r>
        <w:rPr>
          <w:rFonts w:ascii="Arial" w:cs="Arial" w:eastAsia="Arial" w:hAnsi="Arial"/>
          <w:sz w:val="18"/>
          <w:szCs w:val="18"/>
          <w:color w:val="auto"/>
        </w:rPr>
        <w:t>refer to certain investment funds affiliated with The Blackstone Group Inc.</w:t>
      </w:r>
      <w:r>
        <w:rPr>
          <w:rFonts w:ascii="Arial" w:cs="Arial" w:eastAsia="Arial" w:hAnsi="Arial"/>
          <w:sz w:val="18"/>
          <w:szCs w:val="18"/>
          <w:i w:val="1"/>
          <w:iCs w:val="1"/>
          <w:color w:val="auto"/>
        </w:rPr>
        <w:t xml:space="preserve"> </w:t>
      </w:r>
      <w:r>
        <w:rPr>
          <w:rFonts w:ascii="Arial" w:cs="Arial" w:eastAsia="Arial" w:hAnsi="Arial"/>
          <w:sz w:val="18"/>
          <w:szCs w:val="18"/>
          <w:color w:val="auto"/>
        </w:rPr>
        <w:t>(f/k/a The Blackstone Group L.P.) (“Blackstone”), an affiliate of Canada Pension Plan Investment Board, an affiliate of GIC Special Investments Pte. Ltd. and certain co-investors, which collectively hold indirectly a 55% ownership interest in Refinitiv (as defined below).</w:t>
      </w:r>
    </w:p>
    <w:p>
      <w:pPr>
        <w:spacing w:after="0" w:line="132" w:lineRule="exact"/>
        <w:rPr>
          <w:rFonts w:ascii="Arial" w:cs="Arial" w:eastAsia="Arial" w:hAnsi="Arial"/>
          <w:sz w:val="18"/>
          <w:szCs w:val="18"/>
          <w:color w:val="auto"/>
        </w:rPr>
      </w:pPr>
    </w:p>
    <w:p>
      <w:pPr>
        <w:jc w:val="both"/>
        <w:ind w:left="1980" w:right="819" w:hanging="352"/>
        <w:spacing w:after="0" w:line="259"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“Net Exercise” </w:t>
      </w:r>
      <w:r>
        <w:rPr>
          <w:rFonts w:ascii="Arial" w:cs="Arial" w:eastAsia="Arial" w:hAnsi="Arial"/>
          <w:sz w:val="18"/>
          <w:szCs w:val="18"/>
          <w:color w:val="auto"/>
        </w:rPr>
        <w:t>refer to the net exercise by certain of our executive officers immediately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pricing of this offering of vested options and the issuance of shares of Class A common stock upon such net exercise, a portion of which shares of Class A common stock will be purchased by us with a portion of the net proceeds of this offering.</w:t>
      </w:r>
    </w:p>
    <w:p>
      <w:pPr>
        <w:spacing w:after="0" w:line="132" w:lineRule="exact"/>
        <w:rPr>
          <w:rFonts w:ascii="Arial" w:cs="Arial" w:eastAsia="Arial" w:hAnsi="Arial"/>
          <w:sz w:val="18"/>
          <w:szCs w:val="18"/>
          <w:color w:val="auto"/>
        </w:rPr>
      </w:pPr>
    </w:p>
    <w:p>
      <w:pPr>
        <w:ind w:left="1980" w:right="739" w:hanging="352"/>
        <w:spacing w:after="0" w:line="277"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“LLC Interests” </w:t>
      </w:r>
      <w:r>
        <w:rPr>
          <w:rFonts w:ascii="Arial" w:cs="Arial" w:eastAsia="Arial" w:hAnsi="Arial"/>
          <w:sz w:val="18"/>
          <w:szCs w:val="18"/>
          <w:color w:val="auto"/>
        </w:rPr>
        <w:t>refer to the single class of common membership interests of TWM LLC issued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Reorganization Transactions.</w:t>
      </w:r>
    </w:p>
    <w:p>
      <w:pPr>
        <w:spacing w:after="0" w:line="116" w:lineRule="exact"/>
        <w:rPr>
          <w:rFonts w:ascii="Arial" w:cs="Arial" w:eastAsia="Arial" w:hAnsi="Arial"/>
          <w:sz w:val="18"/>
          <w:szCs w:val="18"/>
          <w:color w:val="auto"/>
        </w:rPr>
      </w:pPr>
    </w:p>
    <w:p>
      <w:pPr>
        <w:ind w:left="1980" w:right="779" w:hanging="352"/>
        <w:spacing w:after="0" w:line="263"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“LSEG Transaction” </w:t>
      </w:r>
      <w:r>
        <w:rPr>
          <w:rFonts w:ascii="Arial" w:cs="Arial" w:eastAsia="Arial" w:hAnsi="Arial"/>
          <w:sz w:val="18"/>
          <w:szCs w:val="18"/>
          <w:color w:val="auto"/>
        </w:rPr>
        <w:t>refer to the pending acquisition of the Refinitiv business by the London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Exchange Group plc in an all share transaction for a total enterprise value of approximately $27 billion.</w:t>
      </w:r>
    </w:p>
    <w:p>
      <w:pPr>
        <w:spacing w:after="0" w:line="129" w:lineRule="exact"/>
        <w:rPr>
          <w:rFonts w:ascii="Arial" w:cs="Arial" w:eastAsia="Arial" w:hAnsi="Arial"/>
          <w:sz w:val="18"/>
          <w:szCs w:val="18"/>
          <w:color w:val="auto"/>
        </w:rPr>
      </w:pPr>
    </w:p>
    <w:p>
      <w:pPr>
        <w:jc w:val="both"/>
        <w:ind w:left="1980" w:right="1619" w:hanging="352"/>
        <w:spacing w:after="0" w:line="263"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“Original LLC Owners” </w:t>
      </w:r>
      <w:r>
        <w:rPr>
          <w:rFonts w:ascii="Arial" w:cs="Arial" w:eastAsia="Arial" w:hAnsi="Arial"/>
          <w:sz w:val="18"/>
          <w:szCs w:val="18"/>
          <w:color w:val="auto"/>
        </w:rPr>
        <w:t>refer to the owners of TWM LLC prior to the Reorganization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(including the Refinitiv Owners, the Bank Stockholders and members of management).</w:t>
      </w:r>
    </w:p>
    <w:p>
      <w:pPr>
        <w:spacing w:after="0" w:line="129" w:lineRule="exact"/>
        <w:rPr>
          <w:rFonts w:ascii="Arial" w:cs="Arial" w:eastAsia="Arial" w:hAnsi="Arial"/>
          <w:sz w:val="18"/>
          <w:szCs w:val="18"/>
          <w:color w:val="auto"/>
        </w:rPr>
      </w:pPr>
    </w:p>
    <w:p>
      <w:pPr>
        <w:ind w:left="1980" w:right="679" w:hanging="352"/>
        <w:spacing w:after="0" w:line="269" w:lineRule="auto"/>
        <w:tabs>
          <w:tab w:leader="none" w:pos="1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“Other LLC Owners” </w:t>
      </w:r>
      <w:r>
        <w:rPr>
          <w:rFonts w:ascii="Arial" w:cs="Arial" w:eastAsia="Arial" w:hAnsi="Arial"/>
          <w:sz w:val="17"/>
          <w:szCs w:val="17"/>
          <w:color w:val="auto"/>
        </w:rPr>
        <w:t>refer collectively to: (i) those Original LLC Owners (including certain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Bank Stockholders and members of management and excluding the Refinitiv LLC Owner) that continued to own LLC Interests after the completion of the IPO and Reorganization Transactions, that received shares of our Class C common stock, shares of our Class D common stock or a combination of both, as the case may be, in connection with the completion of the Reorganization Transactions, and that may redeem or exchange their LLC Interests for shares of our Class A common stock or Class B common stock as described in “Certain Relationships and Related Party Transactions — Related Party Transactions Entered Into in Connection With the IPO — TWM LLC Agreement” and (ii) solely with respect to the Tax Receivable Agreement (as defined in “Prospectus Summary — Summary of the IPO and Reorganization Transactions”), also includes those Original LLC Owners, including certain Bank Stockholders, that disposed of all of their LLC Interests for cash in connection with the IPO.</w:t>
      </w:r>
    </w:p>
    <w:p>
      <w:pPr>
        <w:spacing w:after="0" w:line="124" w:lineRule="exact"/>
        <w:rPr>
          <w:rFonts w:ascii="Arial" w:cs="Arial" w:eastAsia="Arial" w:hAnsi="Arial"/>
          <w:sz w:val="17"/>
          <w:szCs w:val="17"/>
          <w:color w:val="auto"/>
        </w:rPr>
      </w:pPr>
    </w:p>
    <w:p>
      <w:pPr>
        <w:ind w:left="1980" w:right="779" w:hanging="352"/>
        <w:spacing w:after="0" w:line="308" w:lineRule="auto"/>
        <w:tabs>
          <w:tab w:leader="none" w:pos="1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“Refinitiv” </w:t>
      </w:r>
      <w:r>
        <w:rPr>
          <w:rFonts w:ascii="Arial" w:cs="Arial" w:eastAsia="Arial" w:hAnsi="Arial"/>
          <w:sz w:val="17"/>
          <w:szCs w:val="17"/>
          <w:color w:val="auto"/>
        </w:rPr>
        <w:t>refer to Refinitiv Holdings Limited, and unless otherwise stated or the context</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requires, all of its subsidiaries, which owns substantially all of the former financial and</w:t>
      </w:r>
    </w:p>
    <w:p>
      <w:pPr>
        <w:spacing w:after="0" w:line="20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1299"/>
        <w:spacing w:after="0" w:line="263" w:lineRule="auto"/>
        <w:rPr>
          <w:sz w:val="20"/>
          <w:szCs w:val="20"/>
          <w:color w:val="auto"/>
        </w:rPr>
      </w:pPr>
      <w:r>
        <w:rPr>
          <w:rFonts w:ascii="Arial" w:cs="Arial" w:eastAsia="Arial" w:hAnsi="Arial"/>
          <w:sz w:val="18"/>
          <w:szCs w:val="18"/>
          <w:color w:val="auto"/>
        </w:rPr>
        <w:t>risk business of Thomson Reuters (as defined below), including, prior to and following the completion of the Reorganization Transactions, an indirect majority ownership interest in Tradeweb, and is controlled by the Investor Group.</w:t>
      </w:r>
    </w:p>
    <w:p>
      <w:pPr>
        <w:spacing w:after="0" w:line="157" w:lineRule="exact"/>
        <w:rPr>
          <w:sz w:val="20"/>
          <w:szCs w:val="20"/>
          <w:color w:val="auto"/>
        </w:rPr>
      </w:pPr>
    </w:p>
    <w:p>
      <w:pPr>
        <w:ind w:left="1980" w:right="879" w:hanging="352"/>
        <w:spacing w:after="0" w:line="272" w:lineRule="auto"/>
        <w:tabs>
          <w:tab w:leader="none" w:pos="19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“Refinitiv Direct Owner” </w:t>
      </w:r>
      <w:r>
        <w:rPr>
          <w:rFonts w:ascii="Arial" w:cs="Arial" w:eastAsia="Arial" w:hAnsi="Arial"/>
          <w:sz w:val="17"/>
          <w:szCs w:val="17"/>
          <w:color w:val="auto"/>
        </w:rPr>
        <w:t>refer (i) prior to June 28, 2019, to a direct subsidiary of Refinitiv that</w:t>
      </w:r>
      <w:r>
        <w:rPr>
          <w:rFonts w:ascii="Arial" w:cs="Arial" w:eastAsia="Arial" w:hAnsi="Arial"/>
          <w:sz w:val="17"/>
          <w:szCs w:val="17"/>
          <w:i w:val="1"/>
          <w:iCs w:val="1"/>
          <w:color w:val="auto"/>
        </w:rPr>
        <w:t xml:space="preserve"> </w:t>
      </w:r>
      <w:r>
        <w:rPr>
          <w:rFonts w:ascii="Arial" w:cs="Arial" w:eastAsia="Arial" w:hAnsi="Arial"/>
          <w:sz w:val="17"/>
          <w:szCs w:val="17"/>
          <w:color w:val="auto"/>
        </w:rPr>
        <w:t>owned interests in an entity that held membership interests of TWM LLC and received shares of our Class B common stock in exchange for the contribution of such entity to Tradeweb Markets Inc., which we refer to as the “Refinitiv Contribution,” in connection with the completion of the Reorganization Transactions and (ii) on and after June 28, 2019, to an indirect subsidiary of Refinitiv that owns shares of our Class B common stock, which shares were contributed by the direct subsidiary of Refinitiv referred to in the foregoing clause (i).</w:t>
      </w:r>
    </w:p>
    <w:p>
      <w:pPr>
        <w:spacing w:after="0" w:line="136" w:lineRule="exact"/>
        <w:rPr>
          <w:rFonts w:ascii="Arial" w:cs="Arial" w:eastAsia="Arial" w:hAnsi="Arial"/>
          <w:sz w:val="17"/>
          <w:szCs w:val="17"/>
          <w:color w:val="auto"/>
        </w:rPr>
      </w:pPr>
    </w:p>
    <w:p>
      <w:pPr>
        <w:ind w:left="1980" w:right="699" w:hanging="352"/>
        <w:spacing w:after="0" w:line="272" w:lineRule="auto"/>
        <w:tabs>
          <w:tab w:leader="none" w:pos="19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“Refinitiv LLC Owner” </w:t>
      </w:r>
      <w:r>
        <w:rPr>
          <w:rFonts w:ascii="Arial" w:cs="Arial" w:eastAsia="Arial" w:hAnsi="Arial"/>
          <w:sz w:val="17"/>
          <w:szCs w:val="17"/>
          <w:color w:val="auto"/>
        </w:rPr>
        <w:t>refer to an indirect subsidiary of Refinitiv that, prior to the Reorganization</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owned membership interests of TWM LLC and that continues to own LLC Interests after the completion of the IPO and Reorganization Transactions, that received shares of our Class D common stock in connection with the completion of the Reorganization Transactions, and that may redeem or exchange its LLC Interests for shares of our Class A common stock or Class B common stock as described in “Certain Relationships and Related Party Transactions — Related Party Transactions Entered Into in Connection With the IPO — TWM LLC Agreement.”</w:t>
      </w:r>
    </w:p>
    <w:p>
      <w:pPr>
        <w:spacing w:after="0" w:line="136" w:lineRule="exact"/>
        <w:rPr>
          <w:rFonts w:ascii="Arial" w:cs="Arial" w:eastAsia="Arial" w:hAnsi="Arial"/>
          <w:sz w:val="17"/>
          <w:szCs w:val="17"/>
          <w:color w:val="auto"/>
        </w:rPr>
      </w:pPr>
    </w:p>
    <w:p>
      <w:pPr>
        <w:ind w:left="1980" w:hanging="352"/>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“Refinitiv Owners” </w:t>
      </w:r>
      <w:r>
        <w:rPr>
          <w:rFonts w:ascii="Arial" w:cs="Arial" w:eastAsia="Arial" w:hAnsi="Arial"/>
          <w:sz w:val="18"/>
          <w:szCs w:val="18"/>
          <w:color w:val="auto"/>
        </w:rPr>
        <w:t>refer collectively to the Refinitiv Direct Owner and the Refinitiv LLC Owner.</w:t>
      </w:r>
    </w:p>
    <w:p>
      <w:pPr>
        <w:spacing w:after="0" w:line="198" w:lineRule="exact"/>
        <w:rPr>
          <w:rFonts w:ascii="Arial" w:cs="Arial" w:eastAsia="Arial" w:hAnsi="Arial"/>
          <w:sz w:val="18"/>
          <w:szCs w:val="18"/>
          <w:color w:val="auto"/>
        </w:rPr>
      </w:pPr>
    </w:p>
    <w:p>
      <w:pPr>
        <w:ind w:left="1980" w:right="779" w:hanging="352"/>
        <w:spacing w:after="0" w:line="263"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“Refinitiv Transaction” </w:t>
      </w:r>
      <w:r>
        <w:rPr>
          <w:rFonts w:ascii="Arial" w:cs="Arial" w:eastAsia="Arial" w:hAnsi="Arial"/>
          <w:sz w:val="18"/>
          <w:szCs w:val="18"/>
          <w:color w:val="auto"/>
        </w:rPr>
        <w:t>refer to the transaction pursuant to which Refinitiv indirectly acquired on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1, 2018 substantially all of the financial and risk business of Thomson Reuters and Thomson Reuters indirectly acquired a 45% ownership interest in Refinitiv.</w:t>
      </w:r>
    </w:p>
    <w:p>
      <w:pPr>
        <w:spacing w:after="0" w:line="143" w:lineRule="exact"/>
        <w:rPr>
          <w:rFonts w:ascii="Arial" w:cs="Arial" w:eastAsia="Arial" w:hAnsi="Arial"/>
          <w:sz w:val="18"/>
          <w:szCs w:val="18"/>
          <w:color w:val="auto"/>
        </w:rPr>
      </w:pPr>
    </w:p>
    <w:p>
      <w:pPr>
        <w:ind w:left="1980" w:right="1399" w:hanging="352"/>
        <w:spacing w:after="0" w:line="27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“Thomson Reuters” </w:t>
      </w:r>
      <w:r>
        <w:rPr>
          <w:rFonts w:ascii="Arial" w:cs="Arial" w:eastAsia="Arial" w:hAnsi="Arial"/>
          <w:sz w:val="18"/>
          <w:szCs w:val="18"/>
          <w:color w:val="auto"/>
        </w:rPr>
        <w:t>refer to Thomson Reuters Corporation, which indirectly holds a 45%</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interest in Refinitiv.</w:t>
      </w:r>
    </w:p>
    <w:p>
      <w:pPr>
        <w:spacing w:after="0" w:line="129" w:lineRule="exact"/>
        <w:rPr>
          <w:rFonts w:ascii="Arial" w:cs="Arial" w:eastAsia="Arial" w:hAnsi="Arial"/>
          <w:sz w:val="18"/>
          <w:szCs w:val="18"/>
          <w:color w:val="auto"/>
        </w:rPr>
      </w:pPr>
    </w:p>
    <w:p>
      <w:pPr>
        <w:jc w:val="both"/>
        <w:ind w:left="1980" w:right="999" w:hanging="352"/>
        <w:spacing w:after="0" w:line="263"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“Transactions” </w:t>
      </w:r>
      <w:r>
        <w:rPr>
          <w:rFonts w:ascii="Arial" w:cs="Arial" w:eastAsia="Arial" w:hAnsi="Arial"/>
          <w:sz w:val="18"/>
          <w:szCs w:val="18"/>
          <w:color w:val="auto"/>
        </w:rPr>
        <w:t>refer to the Reorganization Transactions, the IPO, the October 2019 follow-on</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the Net Exercise, this offering and the other transactions described in “Unaudited Pro Forma Consolidated Financial Information.”</w:t>
      </w:r>
    </w:p>
    <w:p>
      <w:pPr>
        <w:spacing w:after="0" w:line="76"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The financial statements and other disclosures included or incorporated by reference in this prospectus relate to periods that ended both prior to and after the completion of the Reorganization Transactions and the IPO. 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73"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The historical consolidated financial information included or incorporated by reference in this prospectus relating to periods prior to and including March 31, 2019, which we sometimes refer to as the “pre-IPO period,” reflect the results of operations, financial position and cash flows of Tradeweb Markets LLC, the predecessor of Tradeweb Markets Inc. for financial reporting purposes, and its subsidiaries. The historical consolidated financial information included or incorporated by reference in this prospectus relating to periods beginning on April 1, 2019, and through and including December 31, 2019, which we sometimes refer to as the “post-IPO period,” reflect the results of operations, financial position and cash flows of Tradeweb Markets Inc. and its subsidiaries, including the consolidation of its investment in Tradeweb Markets LLC. As a result, for financial reporting purposes, the pre-IPO period excludes, and the post-IPO period includes, our financial results from April 1, 2019 through April 3, 2019, which are not material. The historical consolidated financial information included or incorporated by reference in this prospectus do not reflect what the results of operations, financial position or cash flows of would have been had the Reorganization Transactions and the IPO taken place at the beginning of the periods presented.</w:t>
      </w:r>
    </w:p>
    <w:p>
      <w:pPr>
        <w:spacing w:after="0" w:line="24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unaudited pro forma consolidated financial information of Tradeweb Markets Inc. presented in this</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prospectus has been derived by the application of pro forma adjustments to the historical consolidated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financial statements of Tradeweb Markets Inc. and its subsidiaries as of and for the year ended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December 31, 2019 incorporated by reference in this prospectus. These pro forma adjustments give effect to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Transactions, including this offering, as well as certain other items described therein, as if all such</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transactions had occurred on January 1, 2019, in the case of the unaudited pro forma consolidated statement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 income, and as of December 31, 2019, in the case of the unaudited pro forma consolidated statement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financial condition. See “Unaudited Pro Forma Consolidated Financial Information” for a complete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description of the adjustments and assumptions underlying the pro forma financial information included in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this prospectus.</w:t>
      </w:r>
    </w:p>
    <w:p>
      <w:pPr>
        <w:spacing w:after="0" w:line="103"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As a result of the Refinitiv Transaction, we revalued our assets and liabilities based on their fair values as of the closing date of the Refinitiv Transaction in accordance with the acquisition method of accounting. Certain financial information presented herein, including the allocation of the total purchase price of the Refinitiv Transaction attributable to the purchase of our assets and liabilities, are based on the fair values of our assets and our liabilities, as of the closing date of the Refinitiv Transaction. The values of our assets and liabilities were determined based on assumptions that reasonable market participants would use in the principal (or most advantageous) market for the asset or liability. In determining the fair value of the assets acquired and liabilities assumed, we considered the report of a third-party valuation expert. Our management is responsible for these internal and third-party valuations and appraisals.</w:t>
      </w:r>
    </w:p>
    <w:p>
      <w:pPr>
        <w:spacing w:after="0" w:line="73" w:lineRule="exact"/>
        <w:rPr>
          <w:sz w:val="20"/>
          <w:szCs w:val="20"/>
          <w:color w:val="auto"/>
        </w:rPr>
      </w:pPr>
    </w:p>
    <w:p>
      <w:pPr>
        <w:ind w:left="1260" w:right="659" w:firstLine="360"/>
        <w:spacing w:after="0" w:line="257" w:lineRule="auto"/>
        <w:rPr>
          <w:sz w:val="20"/>
          <w:szCs w:val="20"/>
          <w:color w:val="auto"/>
        </w:rPr>
      </w:pPr>
      <w:r>
        <w:rPr>
          <w:rFonts w:ascii="Arial" w:cs="Arial" w:eastAsia="Arial" w:hAnsi="Arial"/>
          <w:sz w:val="18"/>
          <w:szCs w:val="18"/>
          <w:color w:val="auto"/>
        </w:rPr>
        <w:t>Due to the change in the basis of accounting resulting from the application of pushdown accounting, we are required to present separately the financial information for the periods beginning on October 1, 2018, and through and including December 31, 2019, which we refer to as the “Successor period,” and the financial information for the periods prior to, and including, September 30, 2018, which we refer to as the “Predecessor period.”</w:t>
      </w:r>
    </w:p>
    <w:p>
      <w:pPr>
        <w:spacing w:after="0" w:line="80"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The financial information presented in this prospectus and the consolidated financial statements incorporated by reference in this prospectus include a black line division to indicate that the Successor and Predecessor periods have applied different bases of accounting and are not comparable. Please note that our discussion of certain financial information, specifically revenues and certain expenses, represent the combined results of the Successor and Predecessor periods for the full year ended December 31, 2018. The change in basis resulting from the Refinitiv Transaction did not impact such financial information and, although this presentation of financial information on a combined basis does not comply with generally accepted accounting principles in the United States, or “GAAP,” we believe it provides a meaningful method of comparison to the other periods presented in this prospectus. The combined financial information is being presented for informational purposes only and (i) has not been prepared on a pro forma basis as if the Refinitiv Transaction occurred on the first day of the period, (ii) may not reflect the actual results we would have achieved absent the Refinitiv Transaction, (iii) may not be predictive of future results of operations and (iv) should not be viewed as a substitute for the financial results of the Successor and Predecessor periods presented in accordance with GAAP. See “Management’s Discussion and Analysis of Financial Condition and Results of Operations — Effects of Pushdown Accounting on our Financial Statements” in the 2019 Form 10-K (as defined below), incorporated by reference in this prospectus.</w:t>
      </w:r>
    </w:p>
    <w:p>
      <w:pPr>
        <w:spacing w:after="0" w:line="72"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References in this prospectus to (i) “2018 Successor Period” mean the period from October 1, 2018 to December 31, 2018, (ii) “2018 Predecessor Period” mean the period from January 1, 2018 to September 30, 2018, (iii) “combined year ended December 31, 2018” or “2018 (Combined)” represent the sum of the results of the 2018 Successor Period and the 2018 Predecessor Period, and (iv) “2019 Form 10-K” mean our Annual Report on Form 10-K, as amended, for the year ended December 31, 2019.</w:t>
      </w:r>
    </w:p>
    <w:p>
      <w:pPr>
        <w:spacing w:after="0" w:line="68" w:lineRule="exact"/>
        <w:rPr>
          <w:sz w:val="20"/>
          <w:szCs w:val="20"/>
          <w:color w:val="auto"/>
        </w:rPr>
      </w:pPr>
    </w:p>
    <w:p>
      <w:pPr>
        <w:ind w:left="1260" w:right="659" w:firstLine="360"/>
        <w:spacing w:after="0" w:line="255" w:lineRule="auto"/>
        <w:rPr>
          <w:sz w:val="20"/>
          <w:szCs w:val="20"/>
          <w:color w:val="auto"/>
        </w:rPr>
      </w:pPr>
      <w:r>
        <w:rPr>
          <w:rFonts w:ascii="Arial" w:cs="Arial" w:eastAsia="Arial" w:hAnsi="Arial"/>
          <w:sz w:val="18"/>
          <w:szCs w:val="18"/>
          <w:color w:val="auto"/>
        </w:rPr>
        <w:t>Numerical figures included or incorporated by reference in this prospectus have been subject to rounding adjustments. Accordingly, numerical figures shown as totals in various tables may not be arithmetic aggregations of the figures that precede them. In addition, we round certain percentages presented in this prospectus to the nearest whole number. As a result, figures expressed as percentages in the text may not total 100% or, when aggregated, may not be the arithmetic aggregation of the percentages that precede them.</w:t>
      </w:r>
    </w:p>
    <w:p>
      <w:pPr>
        <w:spacing w:after="0" w:line="26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USE OF NON-GAAP FINANCIAL MEASURES</w:t>
      </w:r>
    </w:p>
    <w:p>
      <w:pPr>
        <w:spacing w:after="0" w:line="108" w:lineRule="exact"/>
        <w:rPr>
          <w:sz w:val="20"/>
          <w:szCs w:val="20"/>
          <w:color w:val="auto"/>
        </w:rPr>
      </w:pPr>
    </w:p>
    <w:p>
      <w:pPr>
        <w:ind w:left="1260" w:right="1119" w:firstLine="360"/>
        <w:spacing w:after="0" w:line="261" w:lineRule="auto"/>
        <w:rPr>
          <w:sz w:val="20"/>
          <w:szCs w:val="20"/>
          <w:color w:val="auto"/>
        </w:rPr>
      </w:pPr>
      <w:r>
        <w:rPr>
          <w:rFonts w:ascii="Arial" w:cs="Arial" w:eastAsia="Arial" w:hAnsi="Arial"/>
          <w:sz w:val="18"/>
          <w:szCs w:val="18"/>
          <w:color w:val="auto"/>
        </w:rPr>
        <w:t>This prospectus contains or incorporates by reference “non-GAAP financial measures,” which are financial measures that are not calculated and presented in accordance with GAAP.</w:t>
      </w:r>
    </w:p>
    <w:p>
      <w:pPr>
        <w:spacing w:after="0" w:line="63" w:lineRule="exact"/>
        <w:rPr>
          <w:sz w:val="20"/>
          <w:szCs w:val="20"/>
          <w:color w:val="auto"/>
        </w:rPr>
      </w:pPr>
    </w:p>
    <w:p>
      <w:pPr>
        <w:jc w:val="both"/>
        <w:ind w:left="1260" w:right="719" w:firstLine="360"/>
        <w:spacing w:after="0" w:line="286" w:lineRule="auto"/>
        <w:rPr>
          <w:sz w:val="20"/>
          <w:szCs w:val="20"/>
          <w:color w:val="auto"/>
        </w:rPr>
      </w:pPr>
      <w:r>
        <w:rPr>
          <w:rFonts w:ascii="Arial" w:cs="Arial" w:eastAsia="Arial" w:hAnsi="Arial"/>
          <w:sz w:val="17"/>
          <w:szCs w:val="17"/>
          <w:color w:val="auto"/>
        </w:rPr>
        <w:t>The Securities and Exchange Commission (“SEC”) has adopted rules to regulate the use in filings with the SEC and in other public disclosures of non-GAAP financial measures. These rules govern the manner in which non-GAAP financial measures are publicly presented and require, among other things:</w:t>
      </w:r>
    </w:p>
    <w:p>
      <w:pPr>
        <w:spacing w:after="0" w:line="138" w:lineRule="exact"/>
        <w:rPr>
          <w:sz w:val="20"/>
          <w:szCs w:val="20"/>
          <w:color w:val="auto"/>
        </w:rPr>
      </w:pPr>
    </w:p>
    <w:p>
      <w:pPr>
        <w:ind w:left="1980" w:right="1139" w:hanging="352"/>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presentation with equal or greater prominence of the most comparable financial measure or measures calculated and presented in accordance with GAAP; and</w:t>
      </w:r>
    </w:p>
    <w:p>
      <w:pPr>
        <w:spacing w:after="0" w:line="129" w:lineRule="exact"/>
        <w:rPr>
          <w:rFonts w:ascii="Arial" w:cs="Arial" w:eastAsia="Arial" w:hAnsi="Arial"/>
          <w:sz w:val="18"/>
          <w:szCs w:val="18"/>
          <w:color w:val="auto"/>
        </w:rPr>
      </w:pPr>
    </w:p>
    <w:p>
      <w:pPr>
        <w:ind w:left="1980" w:right="999" w:hanging="352"/>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statement disclosing the purposes for which the registrant’s management uses the non-GAAP financial measure.</w:t>
      </w:r>
    </w:p>
    <w:p>
      <w:pPr>
        <w:spacing w:after="0" w:line="62"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Specifically, we make use of the non-GAAP financial measures “Free Cash Flow,” “Adjusted EBITDA,” “Adjusted EBITDA margin,” “Adjusted EBIT,” “Adjusted EBIT margin,” “Adjusted Net Income” and “Adjusted Diluted EPS” in evaluating our past results and future prospects. For the definition of Free Cash Flow and a reconciliation to cash flow from operating activities, its most directly comparable financial measure presented in accordance with GAAP, see note 5 to the table under the heading “Prospectus Summary — Summary Historical and Pro Forma Consolidated Financial and Other Data.” For the definitions of Adjusted EBITDA, Adjusted EBIT and Adjusted Net Income and reconciliations to net income and net income attributable to Tradeweb Markets Inc., as applicable, their most directly comparable financial measures presented in accordance with GAAP, see note 6 to the table under the heading “Prospectus Summary — Summary Historical and Pro Forma Consolidated Financial and Other Data.” Adjusted EBITDA margin and Adjusted EBIT margin are defined as Adjusted EBITDA and Adjusted EBIT, respectively, divided by gross revenue for the applicable period. Adjusted Diluted EPS is defined as Adjusted Net Income divided by the diluted weighted average number of shares of Class A common stock and Class B common stock outstanding for the applicable period, assuming the full exchange of all outstanding LLC Interests held by non-controlling interests for shares of Class A common stock or Class B common stock, for post-IPO periods, and the diluted weighted average number of shares of TWM LLC outstanding for the applicable period, for pre-IPO periods.</w:t>
      </w:r>
    </w:p>
    <w:p>
      <w:pPr>
        <w:spacing w:after="0" w:line="85"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79"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73"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Free Cash Flow, Adjusted EBITDA, Adjusted EBIT, Adjusted Net Income and Adjusted Diluted EPS have limitations as analytical tools, and you should not consider such measures either in isolation or as substitutes for analyzing our results as reported under GAAP. Some of these limitations include the following:</w:t>
      </w:r>
    </w:p>
    <w:p>
      <w:pPr>
        <w:spacing w:after="0" w:line="160" w:lineRule="exact"/>
        <w:rPr>
          <w:sz w:val="20"/>
          <w:szCs w:val="20"/>
          <w:color w:val="auto"/>
        </w:rPr>
      </w:pPr>
    </w:p>
    <w:p>
      <w:pPr>
        <w:jc w:val="both"/>
        <w:ind w:left="1980" w:right="859" w:hanging="352"/>
        <w:spacing w:after="0" w:line="263"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Free Cash Flow, Adjusted EBITDA, Adjusted EBIT, Adjusted Net Income and Adjusted Diluted EPS do not reflect every expenditure, future requirements for capital expenditures or contractual commitments;</w:t>
      </w:r>
    </w:p>
    <w:p>
      <w:pPr>
        <w:spacing w:after="0" w:line="143" w:lineRule="exact"/>
        <w:rPr>
          <w:rFonts w:ascii="Arial" w:cs="Arial" w:eastAsia="Arial" w:hAnsi="Arial"/>
          <w:sz w:val="18"/>
          <w:szCs w:val="18"/>
          <w:color w:val="auto"/>
        </w:rPr>
      </w:pPr>
    </w:p>
    <w:p>
      <w:pPr>
        <w:ind w:left="1980" w:right="739" w:hanging="352"/>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and Adjusted Diluted EPS do not reflect changes in our working capital needs;</w:t>
      </w:r>
    </w:p>
    <w:p>
      <w:pPr>
        <w:spacing w:after="0" w:line="129" w:lineRule="exact"/>
        <w:rPr>
          <w:rFonts w:ascii="Arial" w:cs="Arial" w:eastAsia="Arial" w:hAnsi="Arial"/>
          <w:sz w:val="18"/>
          <w:szCs w:val="18"/>
          <w:color w:val="auto"/>
        </w:rPr>
      </w:pPr>
    </w:p>
    <w:p>
      <w:pPr>
        <w:ind w:left="1980" w:right="1379" w:hanging="352"/>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and Adjusted EBIT do not reflect any interest expense, or the amounts necessary to service interest or principal payments on any debt obligations;</w:t>
      </w:r>
    </w:p>
    <w:p>
      <w:pPr>
        <w:spacing w:after="0" w:line="143" w:lineRule="exact"/>
        <w:rPr>
          <w:rFonts w:ascii="Arial" w:cs="Arial" w:eastAsia="Arial" w:hAnsi="Arial"/>
          <w:sz w:val="18"/>
          <w:szCs w:val="18"/>
          <w:color w:val="auto"/>
        </w:rPr>
      </w:pPr>
    </w:p>
    <w:p>
      <w:pPr>
        <w:ind w:left="1980" w:right="1179" w:hanging="352"/>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and Adjusted EBIT do not reflect income tax expense, which in post-IPO periods is a necessary element of our costs and ability to operate;</w:t>
      </w:r>
    </w:p>
    <w:p>
      <w:pPr>
        <w:spacing w:after="0" w:line="129" w:lineRule="exact"/>
        <w:rPr>
          <w:rFonts w:ascii="Arial" w:cs="Arial" w:eastAsia="Arial" w:hAnsi="Arial"/>
          <w:sz w:val="18"/>
          <w:szCs w:val="18"/>
          <w:color w:val="auto"/>
        </w:rPr>
      </w:pPr>
    </w:p>
    <w:p>
      <w:pPr>
        <w:ind w:left="1980" w:right="699" w:hanging="352"/>
        <w:spacing w:after="0" w:line="25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although depreciation and amortization are eliminated in the calculation of Adjusted EBITDA, and the depreciation and amortization related to certain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spacing w:after="0" w:line="147" w:lineRule="exact"/>
        <w:rPr>
          <w:rFonts w:ascii="Arial" w:cs="Arial" w:eastAsia="Arial" w:hAnsi="Arial"/>
          <w:sz w:val="18"/>
          <w:szCs w:val="18"/>
          <w:color w:val="auto"/>
        </w:rPr>
      </w:pPr>
    </w:p>
    <w:p>
      <w:pPr>
        <w:ind w:left="1980" w:right="839" w:hanging="352"/>
        <w:spacing w:after="0" w:line="263"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post-IPO periods, Adjusted EBITDA, Adjusted EBIT, Adjusted Net Income and Adjusted Diluted EPS do not reflect the noncash component of certain employee compensation expense or payroll taxes associated with certain option exercises;</w:t>
      </w:r>
    </w:p>
    <w:p>
      <w:pPr>
        <w:spacing w:after="0" w:line="143" w:lineRule="exact"/>
        <w:rPr>
          <w:rFonts w:ascii="Arial" w:cs="Arial" w:eastAsia="Arial" w:hAnsi="Arial"/>
          <w:sz w:val="18"/>
          <w:szCs w:val="18"/>
          <w:color w:val="auto"/>
        </w:rPr>
      </w:pPr>
    </w:p>
    <w:p>
      <w:pPr>
        <w:ind w:left="1980" w:right="739" w:hanging="352"/>
        <w:spacing w:after="0" w:line="263"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and Adjusted Diluted EPS do not reflect the impact of earnings or charges resulting from matters we consider not to be indicative, on a recurring basis, of our ongoing operations; and</w:t>
      </w:r>
    </w:p>
    <w:p>
      <w:pPr>
        <w:spacing w:after="0" w:line="156" w:lineRule="exact"/>
        <w:rPr>
          <w:rFonts w:ascii="Arial" w:cs="Arial" w:eastAsia="Arial" w:hAnsi="Arial"/>
          <w:sz w:val="18"/>
          <w:szCs w:val="18"/>
          <w:color w:val="auto"/>
        </w:rPr>
      </w:pPr>
    </w:p>
    <w:p>
      <w:pPr>
        <w:ind w:left="1980" w:right="699" w:hanging="352"/>
        <w:spacing w:after="0" w:line="263"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companies in our industry may calculate Free Cash Flow, Adjusted EBITDA, Adjusted EBIT, Adjusted Net Income and Adjusted Diluted EPS or similarly titled measures differently than we do, limiting their usefulness as comparative measures.</w:t>
      </w:r>
    </w:p>
    <w:p>
      <w:pPr>
        <w:spacing w:after="0" w:line="76" w:lineRule="exact"/>
        <w:rPr>
          <w:sz w:val="20"/>
          <w:szCs w:val="20"/>
          <w:color w:val="auto"/>
        </w:rPr>
      </w:pPr>
    </w:p>
    <w:p>
      <w:pPr>
        <w:ind w:left="1260" w:right="999" w:firstLine="360"/>
        <w:spacing w:after="0" w:line="263" w:lineRule="auto"/>
        <w:rPr>
          <w:sz w:val="20"/>
          <w:szCs w:val="20"/>
          <w:color w:val="auto"/>
        </w:rPr>
      </w:pPr>
      <w:r>
        <w:rPr>
          <w:rFonts w:ascii="Arial" w:cs="Arial" w:eastAsia="Arial" w:hAnsi="Arial"/>
          <w:sz w:val="18"/>
          <w:szCs w:val="18"/>
          <w:color w:val="auto"/>
        </w:rPr>
        <w:t>We compensate for these limitations by relying primarily on our GAAP results and using Free Cash Flow, Adjusted EBITDA, Adjusted EBIT, Adjusted Net Income and Adjusted Diluted EPS only as supplemental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PROSPECTUS SUMMARY</w:t>
      </w:r>
    </w:p>
    <w:p>
      <w:pPr>
        <w:spacing w:after="0" w:line="108" w:lineRule="exact"/>
        <w:rPr>
          <w:sz w:val="20"/>
          <w:szCs w:val="20"/>
          <w:color w:val="auto"/>
        </w:rPr>
      </w:pPr>
    </w:p>
    <w:p>
      <w:pPr>
        <w:ind w:left="1280" w:right="659" w:firstLine="360"/>
        <w:spacing w:after="0" w:line="254" w:lineRule="auto"/>
        <w:rPr>
          <w:sz w:val="20"/>
          <w:szCs w:val="20"/>
          <w:color w:val="auto"/>
        </w:rPr>
      </w:pPr>
      <w:r>
        <w:rPr>
          <w:rFonts w:ascii="Arial" w:cs="Arial" w:eastAsia="Arial" w:hAnsi="Arial"/>
          <w:sz w:val="18"/>
          <w:szCs w:val="18"/>
          <w:i w:val="1"/>
          <w:iCs w:val="1"/>
          <w:color w:val="auto"/>
        </w:rPr>
        <w:t>This summary highlights information included or incorporated by reference in this prospectus. Because this is only a summary, it does not contain all of the information that you should consider in making your investment decision. Before investing in our Class A common stock, you should carefully read this entire prospectus, including the information in “Risk Factors” and “Cautionary Note Regarding Forward-Looking Statements,” and our consolidated financial statements and related notes thereto and other information incorporated by reference in this prospectus. For a description of certain of the terms we use to describe our business in this prospectus, see “Business” in the 2019 Form 10-K, incorporated by reference in this prospectus.</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left="1280" w:right="679" w:firstLine="360"/>
        <w:spacing w:after="0" w:line="269" w:lineRule="auto"/>
        <w:rPr>
          <w:sz w:val="20"/>
          <w:szCs w:val="20"/>
          <w:color w:val="auto"/>
        </w:rPr>
      </w:pPr>
      <w:r>
        <w:rPr>
          <w:rFonts w:ascii="Arial" w:cs="Arial" w:eastAsia="Arial" w:hAnsi="Arial"/>
          <w:sz w:val="17"/>
          <w:szCs w:val="17"/>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equities and money markets. We are a global company serving clients in over 65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 Our marketplaces provide deep pools of liquidity with average daily trading volume for the trailing twelve months ended March 31, 2020 of over $780 billion across more than 40 products.</w:t>
      </w:r>
    </w:p>
    <w:p>
      <w:pPr>
        <w:spacing w:after="0" w:line="71" w:lineRule="exact"/>
        <w:rPr>
          <w:sz w:val="20"/>
          <w:szCs w:val="20"/>
          <w:color w:val="auto"/>
        </w:rPr>
      </w:pPr>
    </w:p>
    <w:p>
      <w:pPr>
        <w:ind w:left="1280" w:right="1019" w:firstLine="360"/>
        <w:spacing w:after="0" w:line="286" w:lineRule="auto"/>
        <w:rPr>
          <w:sz w:val="20"/>
          <w:szCs w:val="20"/>
          <w:color w:val="auto"/>
        </w:rPr>
      </w:pPr>
      <w:r>
        <w:rPr>
          <w:rFonts w:ascii="Arial" w:cs="Arial" w:eastAsia="Arial" w:hAnsi="Arial"/>
          <w:sz w:val="17"/>
          <w:szCs w:val="17"/>
          <w:color w:val="auto"/>
        </w:rPr>
        <w:t>There are multiple key dimensions to the electronic marketplaces that we build and operate. Foundationally, these begin with our clients and then expand through and across multiple client sectors, geographic regions, asset classes, product groups, trading protocols and trade lifecycle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80" w:right="739" w:firstLine="360"/>
        <w:spacing w:after="0" w:line="270" w:lineRule="auto"/>
        <w:rPr>
          <w:sz w:val="20"/>
          <w:szCs w:val="20"/>
          <w:color w:val="auto"/>
        </w:rPr>
      </w:pPr>
      <w:r>
        <w:rPr>
          <w:rFonts w:ascii="Arial" w:cs="Arial" w:eastAsia="Arial" w:hAnsi="Arial"/>
          <w:sz w:val="17"/>
          <w:szCs w:val="17"/>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59" w:firstLine="360"/>
        <w:spacing w:after="0" w:line="275" w:lineRule="auto"/>
        <w:rPr>
          <w:sz w:val="20"/>
          <w:szCs w:val="20"/>
          <w:color w:val="auto"/>
        </w:rPr>
      </w:pPr>
      <w:r>
        <w:rPr>
          <w:rFonts w:ascii="Arial" w:cs="Arial" w:eastAsia="Arial" w:hAnsi="Arial"/>
          <w:sz w:val="17"/>
          <w:szCs w:val="17"/>
          <w:color w:val="auto"/>
        </w:rPr>
        <w:t>We have a powerful network of over 2,500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As our network continues to grow across client sectors, we will generate additional transactions and data on our platforms, driving a virtuous cycle of greater liquidity and value for our clients.</w:t>
      </w:r>
    </w:p>
    <w:p>
      <w:pPr>
        <w:spacing w:after="0" w:line="68" w:lineRule="exact"/>
        <w:rPr>
          <w:sz w:val="20"/>
          <w:szCs w:val="20"/>
          <w:color w:val="auto"/>
        </w:rPr>
      </w:pPr>
    </w:p>
    <w:p>
      <w:pPr>
        <w:ind w:left="1280" w:right="759" w:firstLine="360"/>
        <w:spacing w:after="0" w:line="253" w:lineRule="auto"/>
        <w:rPr>
          <w:sz w:val="20"/>
          <w:szCs w:val="20"/>
          <w:color w:val="auto"/>
        </w:rPr>
      </w:pPr>
      <w:r>
        <w:rPr>
          <w:rFonts w:ascii="Arial" w:cs="Arial" w:eastAsia="Arial" w:hAnsi="Arial"/>
          <w:sz w:val="18"/>
          <w:szCs w:val="18"/>
          <w:color w:val="auto"/>
        </w:rPr>
        <w:t>Our technology supports multiple asset classes, trading protocols and geographies, and as a result, we are able to provide a broad spectrum of solutions and cost savings to our clients. We have built, and continue to invest in, a scalable, flexible and resilient proprietary technology architecture that enables us to remain agile and evolve with market structure. This allows us to partner closely with our clients to develop customized solutions for their trading and workflow needs. Our technology is deeply integrated with our clients’ risk and order management systems, clearinghouses, trade repositories, middleware providers and other important links in the trading value chain. These qualities allow us to be quick to market with new offerings, to constantly enhance our existing platforms and solutions and to collect a robust set of data and analytics to support our marketplaces.</w:t>
      </w:r>
    </w:p>
    <w:p>
      <w:pPr>
        <w:spacing w:after="0" w:line="88" w:lineRule="exact"/>
        <w:rPr>
          <w:sz w:val="20"/>
          <w:szCs w:val="20"/>
          <w:color w:val="auto"/>
        </w:rPr>
      </w:pPr>
    </w:p>
    <w:p>
      <w:pPr>
        <w:ind w:left="1280" w:right="679" w:firstLine="360"/>
        <w:spacing w:after="0" w:line="253" w:lineRule="auto"/>
        <w:rPr>
          <w:sz w:val="20"/>
          <w:szCs w:val="20"/>
          <w:color w:val="auto"/>
        </w:rPr>
      </w:pPr>
      <w:r>
        <w:rPr>
          <w:rFonts w:ascii="Arial" w:cs="Arial" w:eastAsia="Arial" w:hAnsi="Arial"/>
          <w:sz w:val="18"/>
          <w:szCs w:val="18"/>
          <w:color w:val="auto"/>
        </w:rPr>
        <w:t>We are focused on balancing revenue growth and margin expansion to create long-term value and we have a track record of growth and financial performance. By expanding the scope of our platforms and solutions, building scale and integration across marketplaces and benefiting from broader network effects, we have been able to grow both our transaction volume and subscription-based revenues. Between 2004 and 2019, we had annual compound average daily trading volume growth of 13.7% and annual compound gross revenue growth of 12.3%. For the year ended December 31, 2019 and the combined year ended December 31, 2018, 43.6% and 48.0% of our gross revenues, respectively, were fixed. For the year ended December 31, 2019, our variable revenues and fixed revenues each increased as compared to the combined prior year period.</w:t>
      </w:r>
    </w:p>
    <w:p>
      <w:pPr>
        <w:spacing w:after="0" w:line="88" w:lineRule="exact"/>
        <w:rPr>
          <w:sz w:val="20"/>
          <w:szCs w:val="20"/>
          <w:color w:val="auto"/>
        </w:rPr>
      </w:pPr>
    </w:p>
    <w:p>
      <w:pPr>
        <w:ind w:left="1280" w:right="739" w:firstLine="360"/>
        <w:spacing w:after="0" w:line="253" w:lineRule="auto"/>
        <w:rPr>
          <w:sz w:val="20"/>
          <w:szCs w:val="20"/>
          <w:color w:val="auto"/>
        </w:rPr>
      </w:pPr>
      <w:r>
        <w:rPr>
          <w:rFonts w:ascii="Arial" w:cs="Arial" w:eastAsia="Arial" w:hAnsi="Arial"/>
          <w:sz w:val="18"/>
          <w:szCs w:val="18"/>
          <w:color w:val="auto"/>
        </w:rPr>
        <w:t>For the year ended December 31, 2019 and the combined year ended December 31, 2018, respectively, our gross revenue was $775.6 million and $684.4 million, an increase of 13.3%. For the year ended December 31, 2019, the 2018 Successor Period and the 2018 Predecessor Period, respectively, our net income was $173.0 million, $29.3 million and $130.2 million, our Adjusted EBITDA was $353.2 million, $65.3 million and $214.1 million, with an Adjusted EBITDA margin of 45.5%, 36.6% and 42.3%, and our Adjusted Net Income was $230.9 million, $40.8 million and $137.3 million. For the definitions of Adjusted EBITDA, Adjusted EBITDA margin and Adjusted Net Income and reconciliations to their most directly comparable financial measures presented in accordance with GAAP, see note 6 in “— Summary Historical and Pro Forma Consolidated Financial and Other Data.”</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Evolution</w:t>
      </w:r>
    </w:p>
    <w:p>
      <w:pPr>
        <w:spacing w:after="0" w:line="108" w:lineRule="exact"/>
        <w:rPr>
          <w:sz w:val="20"/>
          <w:szCs w:val="20"/>
          <w:color w:val="auto"/>
        </w:rPr>
      </w:pPr>
    </w:p>
    <w:p>
      <w:pPr>
        <w:ind w:left="1280" w:right="659" w:firstLine="360"/>
        <w:spacing w:after="0" w:line="269" w:lineRule="auto"/>
        <w:rPr>
          <w:sz w:val="20"/>
          <w:szCs w:val="20"/>
          <w:color w:val="auto"/>
        </w:rPr>
      </w:pPr>
      <w:r>
        <w:rPr>
          <w:rFonts w:ascii="Arial" w:cs="Arial" w:eastAsia="Arial" w:hAnsi="Arial"/>
          <w:sz w:val="17"/>
          <w:szCs w:val="17"/>
          <w:color w:val="auto"/>
        </w:rPr>
        <w:t>We were founded in 1996 and set out to solve for inefficiencies in the institutional U.S. treasury trading workflows, including limited price transparency, weak connectivity among market participants and error-prone manual processes. Our first electronic marketplace went live in 1998, and over the next two decades we leveraged our technology and expertise to expand into additional rates products and other asset classes, including credit, equities and money markets. Market demand for better trading workflows globally also was increasing and we initiated a strategy of rolling out our existing products to new geographies and adding local products. We expanded to Europe in 2000, initially offering U.S. fixed income products and soon thereafter added a marketplace for European government bonds. We expanded to Asia in 2004, where our first local product was Japanese government bonds. We have since continued to expand our product and client base in Europe and Asia.</w:t>
      </w:r>
    </w:p>
    <w:p>
      <w:pPr>
        <w:spacing w:after="0" w:line="77" w:lineRule="exact"/>
        <w:rPr>
          <w:sz w:val="20"/>
          <w:szCs w:val="20"/>
          <w:color w:val="auto"/>
        </w:rPr>
      </w:pPr>
    </w:p>
    <w:p>
      <w:pPr>
        <w:ind w:left="1280" w:right="659" w:firstLine="360"/>
        <w:spacing w:after="0" w:line="272" w:lineRule="auto"/>
        <w:rPr>
          <w:sz w:val="20"/>
          <w:szCs w:val="20"/>
          <w:color w:val="auto"/>
        </w:rPr>
      </w:pPr>
      <w:r>
        <w:rPr>
          <w:rFonts w:ascii="Arial" w:cs="Arial" w:eastAsia="Arial" w:hAnsi="Arial"/>
          <w:sz w:val="17"/>
          <w:szCs w:val="17"/>
          <w:color w:val="auto"/>
        </w:rPr>
        <w:t>We identified an opportunity to expand our offerings to the wholesale and retail client sectors based on our existing relationships with dealers and our strong market position. We developed our wholesale platform through the acquisitions of Hilliard Farber in 2008 and Rafferty Capital Markets in 2011, and developed technology to facilitate the migration of inefficient wholesale voice markets to more efficient and transparent electronic markets. We entered the retail market through our acquisition of LeverTrade in 2006, scaled our market position through our acquisition of BondDesk in 2013, and have continued to leverage our market and technology expertise to enhance our platform serving that client sector.</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19" w:firstLine="360"/>
        <w:spacing w:after="0" w:line="269" w:lineRule="auto"/>
        <w:rPr>
          <w:sz w:val="20"/>
          <w:szCs w:val="20"/>
          <w:color w:val="auto"/>
        </w:rPr>
      </w:pPr>
      <w:r>
        <w:rPr>
          <w:rFonts w:ascii="Arial" w:cs="Arial" w:eastAsia="Arial" w:hAnsi="Arial"/>
          <w:sz w:val="17"/>
          <w:szCs w:val="17"/>
          <w:color w:val="auto"/>
        </w:rPr>
        <w:t>Throughout our evolution we have developed many new innovations that have provided greater pre-trade price transparency, better execution quality and seamless post-trade solutions. Such innovations include the introduction of pre-trade composite pricing for multi-dealer-to-customer (“D2C”) trading and the Request-for-Quote (“RFQ”) trading protocol across all of our asset classes. We have also integrated our trading platforms with our proprietary post-trade systems as well as many of our clients’ order management and risk systems for efficient post-trade processing. In addition, because large components of the market remain relationship-driven, we continue to focus on introducing technology solutions to solve inefficiencies in voice markets, such as electronic voice processing, which allows our clients to use Tradeweb technology to process voice trades. We expect to continue to leverage our success to expand into new products, asset classes and geographies, while growing our powerful network of clients.</w:t>
      </w:r>
    </w:p>
    <w:p>
      <w:pPr>
        <w:spacing w:after="0" w:line="77" w:lineRule="exact"/>
        <w:rPr>
          <w:sz w:val="20"/>
          <w:szCs w:val="20"/>
          <w:color w:val="auto"/>
        </w:rPr>
      </w:pPr>
    </w:p>
    <w:p>
      <w:pPr>
        <w:ind w:left="1280" w:right="799" w:firstLine="360"/>
        <w:spacing w:after="0" w:line="254" w:lineRule="auto"/>
        <w:rPr>
          <w:sz w:val="20"/>
          <w:szCs w:val="20"/>
          <w:color w:val="auto"/>
        </w:rPr>
      </w:pPr>
      <w:r>
        <w:rPr>
          <w:rFonts w:ascii="Arial" w:cs="Arial" w:eastAsia="Arial" w:hAnsi="Arial"/>
          <w:sz w:val="18"/>
          <w:szCs w:val="18"/>
          <w:color w:val="auto"/>
        </w:rPr>
        <w:t>While our cornerstone products continue to be some of the first products we launched, including U.S. treasuries, European government bonds and To-Be-Announced mortgage-backed securities (“TBA MBS”), we have continued to solve trading inefficiencies by adding new products across our rates, credit, equities and money markets asset classes. As a result of expanding our offerings, we have increased our opportunities in related addressable markets, where estimated average daily trading volumes have grown from approximately $0.6 trillion in 1998 to $6.3 trillion through December 31, 2019, according to industry sources and management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Market Opportunity</w:t>
      </w:r>
    </w:p>
    <w:p>
      <w:pPr>
        <w:spacing w:after="0" w:line="20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Continued Growth of Global Markets</w:t>
      </w:r>
    </w:p>
    <w:p>
      <w:pPr>
        <w:spacing w:after="0" w:line="104" w:lineRule="exact"/>
        <w:rPr>
          <w:sz w:val="20"/>
          <w:szCs w:val="20"/>
          <w:color w:val="auto"/>
        </w:rPr>
      </w:pPr>
    </w:p>
    <w:p>
      <w:pPr>
        <w:ind w:left="1280" w:right="739" w:firstLine="360"/>
        <w:spacing w:after="0" w:line="291" w:lineRule="auto"/>
        <w:rPr>
          <w:sz w:val="20"/>
          <w:szCs w:val="20"/>
          <w:color w:val="auto"/>
        </w:rPr>
      </w:pPr>
      <w:r>
        <w:rPr>
          <w:rFonts w:ascii="Arial" w:cs="Arial" w:eastAsia="Arial" w:hAnsi="Arial"/>
          <w:sz w:val="16"/>
          <w:szCs w:val="16"/>
          <w:color w:val="auto"/>
        </w:rPr>
        <w:t>Based on industry sources and management estimates, the markets in which we participate are actively traded and growing, and we estimate that trading in rates, credit, ETFs and money markets generated average daily trading volumes of approximately $3.7 trillion, $0.1 trillion, $0.1 trillion and $2.3 trillion, respectively, during the year ended December 31, 2019 as compared to $2.1 trillion, $0.1 trillion, $0.1 trillion and $1.6 trillion, respectively, in 2015. As electronic trading in these markets continues to develop, we believe we are well positioned to increase our share of these markets over time. For the year ended December 31, 2019, calculated on the same basis as our calculation of our addressable markets, trading in</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839"/>
        <w:spacing w:after="0" w:line="255" w:lineRule="auto"/>
        <w:rPr>
          <w:sz w:val="20"/>
          <w:szCs w:val="20"/>
          <w:color w:val="auto"/>
        </w:rPr>
      </w:pPr>
      <w:r>
        <w:rPr>
          <w:rFonts w:ascii="Arial" w:cs="Arial" w:eastAsia="Arial" w:hAnsi="Arial"/>
          <w:sz w:val="18"/>
          <w:szCs w:val="18"/>
          <w:color w:val="auto"/>
        </w:rPr>
        <w:t>certain of our rates, credit, ETFs and money markets products generated average daily trading volumes of $487 billion, $14 billion, $4 billion and $195 billion, respectively, and our average daily trading volumes for these product groups have increased by 25%, 32%, 12% and 23%, respectively, since 2015. Major market participants include large asset managers, hedge funds, central banks, banks and dealers, insurance companies, corporations, proprietary trading, brokerage and retail advisory firms, governments and retail investors.</w:t>
      </w:r>
    </w:p>
    <w:p>
      <w:pPr>
        <w:spacing w:after="0" w:line="84" w:lineRule="exact"/>
        <w:rPr>
          <w:sz w:val="20"/>
          <w:szCs w:val="20"/>
          <w:color w:val="auto"/>
        </w:rPr>
      </w:pPr>
    </w:p>
    <w:p>
      <w:pPr>
        <w:ind w:left="1280" w:right="679" w:firstLine="360"/>
        <w:spacing w:after="0" w:line="269" w:lineRule="auto"/>
        <w:rPr>
          <w:sz w:val="20"/>
          <w:szCs w:val="20"/>
          <w:color w:val="auto"/>
        </w:rPr>
      </w:pPr>
      <w:r>
        <w:rPr>
          <w:rFonts w:ascii="Arial" w:cs="Arial" w:eastAsia="Arial" w:hAnsi="Arial"/>
          <w:sz w:val="17"/>
          <w:szCs w:val="17"/>
          <w:color w:val="auto"/>
        </w:rPr>
        <w:t>Trading volumes are influenced by, among other things, the amount of notional securities outstanding, new issuances, market volatility, regulation and economic factors such as growth and monetary policy. We believe we are well positioned to benefit from secular and cyclical trends impacting many of the markets in which we operate. For example, the U.S. government bond market has experienced substantial growth in notional value outstanding, growing at 12% annually since 2007, according to SIFMA. The U.S. corporate bond and Chinese bond markets have grown annually at 6% and 19%, respectively, since 2007, according to SIFMA and BIS. The U.S. and European ETF markets have each grown annually at nearly 20% since 2007, according to ETFGI. Continuing growth in these markets is expected to be driven by increasing global trading volumes, resulting from increased economic activity, new government and corporate debt issuances and the continued growth of passive investing. Markets have migrated to electronic trading platforms at different adoption rates — some gradually over time (e.g., government bonds and corporate bonds) and others on a more accelerated basis due to regulation (e.g., interest rate swaps).</w:t>
      </w:r>
    </w:p>
    <w:p>
      <w:pPr>
        <w:spacing w:after="0" w:line="71" w:lineRule="exact"/>
        <w:rPr>
          <w:sz w:val="20"/>
          <w:szCs w:val="20"/>
          <w:color w:val="auto"/>
        </w:rPr>
      </w:pPr>
    </w:p>
    <w:p>
      <w:pPr>
        <w:ind w:left="1280" w:right="1279" w:firstLine="360"/>
        <w:spacing w:after="0" w:line="279" w:lineRule="auto"/>
        <w:rPr>
          <w:sz w:val="20"/>
          <w:szCs w:val="20"/>
          <w:color w:val="auto"/>
        </w:rPr>
      </w:pPr>
      <w:r>
        <w:rPr>
          <w:rFonts w:ascii="Arial" w:cs="Arial" w:eastAsia="Arial" w:hAnsi="Arial"/>
          <w:sz w:val="17"/>
          <w:szCs w:val="17"/>
          <w:color w:val="auto"/>
        </w:rPr>
        <w:t>Advancements in technology, increased connectivity and the evolving business needs of market participants have caused financial markets to become larger and more global. Our platforms operate throughout the 24-hour trading day as market participants have become increasingly global and comprehensive, trading across multiple geographies, asset classes and currencies.</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Electronification of Trading</w:t>
      </w:r>
    </w:p>
    <w:p>
      <w:pPr>
        <w:spacing w:after="0" w:line="104" w:lineRule="exact"/>
        <w:rPr>
          <w:sz w:val="20"/>
          <w:szCs w:val="20"/>
          <w:color w:val="auto"/>
        </w:rPr>
      </w:pPr>
    </w:p>
    <w:p>
      <w:pPr>
        <w:ind w:left="1280" w:right="719" w:firstLine="360"/>
        <w:spacing w:after="0" w:line="273" w:lineRule="auto"/>
        <w:rPr>
          <w:sz w:val="20"/>
          <w:szCs w:val="20"/>
          <w:color w:val="auto"/>
        </w:rPr>
      </w:pPr>
      <w:r>
        <w:rPr>
          <w:rFonts w:ascii="Arial" w:cs="Arial" w:eastAsia="Arial" w:hAnsi="Arial"/>
          <w:sz w:val="17"/>
          <w:szCs w:val="17"/>
          <w:color w:val="auto"/>
        </w:rPr>
        <w:t>Trading in fixed income and derivative markets historically has been a highly manual process. With traditional methods of trading, buyers lack a centralized source of price discovery and automated post-trade processing solutions, and as a result, are required to telephone multiple dealers to receive price quotes, compare quotes among multiple dealers, confirm orders via telephone and then engage in manual trade settlement via fax. The process is time-consuming and error-prone, leading to poor price transparency and execution quality, limited connectivity among market participants and high levels of operational risk.</w:t>
      </w:r>
    </w:p>
    <w:p>
      <w:pPr>
        <w:spacing w:after="0" w:line="70" w:lineRule="exact"/>
        <w:rPr>
          <w:sz w:val="20"/>
          <w:szCs w:val="20"/>
          <w:color w:val="auto"/>
        </w:rPr>
      </w:pPr>
    </w:p>
    <w:p>
      <w:pPr>
        <w:ind w:left="1280" w:right="679" w:firstLine="360"/>
        <w:spacing w:after="0" w:line="269" w:lineRule="auto"/>
        <w:rPr>
          <w:sz w:val="20"/>
          <w:szCs w:val="20"/>
          <w:color w:val="auto"/>
        </w:rPr>
      </w:pPr>
      <w:r>
        <w:rPr>
          <w:rFonts w:ascii="Arial" w:cs="Arial" w:eastAsia="Arial" w:hAnsi="Arial"/>
          <w:sz w:val="17"/>
          <w:szCs w:val="17"/>
          <w:color w:val="auto"/>
        </w:rPr>
        <w:t>Market demand for greater execution efficiency and changing regulations are shifting the paradigm of trading from voice markets to electronic markets across our asset classes. As a result of technological advances, there has been a rising use of electronic trading technologies, referred to as the electronification of markets, which have automated many of the manual processes required by traditional methods of trading, including voice. Electronification has made markets more efficient by improving price transparency and execution, while also reducing operational risk and allowing market participants to create organizational cost efficiencies, by reducing front, middle and back office headcount and eliminating manual errors. However, even as other markets, such as the equity, FX and futures markets, transitioned to the use of electronic trading processes, large components of the fixed income and derivative markets have been slower to migrate to electronic trading because of the diverse and heterogeneous nature of those instruments and because participants in these markets have traditionally operated in a more relationship-driven environment.</w:t>
      </w:r>
    </w:p>
    <w:p>
      <w:pPr>
        <w:spacing w:after="0" w:line="74" w:lineRule="exact"/>
        <w:rPr>
          <w:sz w:val="20"/>
          <w:szCs w:val="20"/>
          <w:color w:val="auto"/>
        </w:rPr>
      </w:pPr>
    </w:p>
    <w:p>
      <w:pPr>
        <w:ind w:left="1280" w:right="659" w:firstLine="360"/>
        <w:spacing w:after="0" w:line="271" w:lineRule="auto"/>
        <w:rPr>
          <w:sz w:val="20"/>
          <w:szCs w:val="20"/>
          <w:color w:val="auto"/>
        </w:rPr>
      </w:pPr>
      <w:r>
        <w:rPr>
          <w:rFonts w:ascii="Arial" w:cs="Arial" w:eastAsia="Arial" w:hAnsi="Arial"/>
          <w:sz w:val="17"/>
          <w:szCs w:val="17"/>
          <w:color w:val="auto"/>
        </w:rPr>
        <w:t>Demand for more efficient trading solutions continues to increase, which we believe will further drive the electronification of the markets in which we operate. Over the last 20 years, we have been a leader in the electronification of fixed income and other markets, using proprietary technologies and collaborating hand-in-hand with clients to develop innovative workflow solutions across the trade lifecycle. Our trading platforms and solutions automate and integrate key parts of the trading process, which in turn helps our clients to improve execution quality, manage risk and compliance and account for their trading activities. For example, we have designed our platforms to seamlessly integrate with our clients’ internal and third-party risk and order management systems, as well as with vendor systems, including clearinghouses,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99"/>
        <w:spacing w:after="0" w:line="259" w:lineRule="auto"/>
        <w:rPr>
          <w:sz w:val="20"/>
          <w:szCs w:val="20"/>
          <w:color w:val="auto"/>
        </w:rPr>
      </w:pPr>
      <w:r>
        <w:rPr>
          <w:rFonts w:ascii="Arial" w:cs="Arial" w:eastAsia="Arial" w:hAnsi="Arial"/>
          <w:sz w:val="18"/>
          <w:szCs w:val="18"/>
          <w:color w:val="auto"/>
        </w:rPr>
        <w:t>confirmation systems and other third-party service providers. These integrations, which include over 375 proprietary client integrations and over 30 vendor integrations, help our clients to improve the efficiency of their front, middle and back offices and provide them with the opportunity to adopt end-to-end straight-through processing.</w:t>
      </w:r>
    </w:p>
    <w:p>
      <w:pPr>
        <w:spacing w:after="0" w:line="79"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The process of market electronification is ongoing. Many markets — even in products we already offer</w:t>
      </w:r>
    </w:p>
    <w:p>
      <w:pPr>
        <w:spacing w:after="0" w:line="35" w:lineRule="exact"/>
        <w:rPr>
          <w:sz w:val="20"/>
          <w:szCs w:val="20"/>
          <w:color w:val="auto"/>
        </w:rPr>
      </w:pPr>
    </w:p>
    <w:p>
      <w:pPr>
        <w:ind w:left="1280" w:right="699"/>
        <w:spacing w:after="0" w:line="268" w:lineRule="auto"/>
        <w:rPr>
          <w:sz w:val="20"/>
          <w:szCs w:val="20"/>
          <w:color w:val="auto"/>
        </w:rPr>
      </w:pPr>
      <w:r>
        <w:rPr>
          <w:rFonts w:ascii="Arial" w:cs="Arial" w:eastAsia="Arial" w:hAnsi="Arial"/>
          <w:sz w:val="17"/>
          <w:szCs w:val="17"/>
          <w:color w:val="auto"/>
        </w:rPr>
        <w:t>— are in the early stages of electronification, such as U.S. corporate bonds, or continue to have meaningful volumes traded manually, with liquidity-taking investors calling multiple dealers for quotes and engaging in manual post-trade processing. For example, for U.S. treasuries, voice trading still accounts for approximately 35% to 40% of overall trading volumes, according to industry sources and management estimates. Certain markets in which we operate have experienced higher rates of electronification, such as ETFs and credit default swaps, and we believe we are well positioned to increase our share in these markets as our network continues to grow. Our innovation will continue to be driven by client demand for efficiencies in additional workflows, products and geographies, which, combined with our entrepreneurial culture and domain expertise, are expected to attract additional market participants to Tradeweb.</w:t>
      </w:r>
    </w:p>
    <w:p>
      <w:pPr>
        <w:spacing w:after="0" w:line="73" w:lineRule="exact"/>
        <w:rPr>
          <w:sz w:val="20"/>
          <w:szCs w:val="20"/>
          <w:color w:val="auto"/>
        </w:rPr>
      </w:pPr>
    </w:p>
    <w:p>
      <w:pPr>
        <w:ind w:left="1280" w:right="659" w:firstLine="360"/>
        <w:spacing w:after="0" w:line="269" w:lineRule="auto"/>
        <w:rPr>
          <w:sz w:val="20"/>
          <w:szCs w:val="20"/>
          <w:color w:val="auto"/>
        </w:rPr>
      </w:pPr>
      <w:r>
        <w:rPr>
          <w:rFonts w:ascii="Arial" w:cs="Arial" w:eastAsia="Arial" w:hAnsi="Arial"/>
          <w:sz w:val="17"/>
          <w:szCs w:val="17"/>
          <w:color w:val="auto"/>
        </w:rPr>
        <w:t>Regulatory changes have also driven demand for electronification. The policy objectives of a number of post-2008 crisis reforms, such as the Dodd-Frank Wall Street Reform and Customer Protection Act (the “Dodd-Frank Act”), Basel III and Markets in Financial Instruments Directive II (“MiFID II”), are to increase transparency and reduce systemic risk. These objectives have generally led to increased adoption of electronic trading on regulated markets where price transparency, counterparty credit checks, reporting tools and clearing are essential components. In the United States, for example, swaps are experiencing increased rates of electronification due to mandates in the Dodd-Frank Act that require certain derivatives to trade on CFTC-regulated swap execution facilities (“SEFs”). Tradeweb launched two SEFs in 2013 and, in 2019, we had the leading market position in SEF trading for U.S. dollar-denominated interest rate swaps, excluding forward rate agreements, according to Clarus Financial Technology. In addition, higher capital requirements have driven dealers to reduce the size of their balance sheets and utilize the distribution and scale provided by electronic trading venues.</w:t>
      </w:r>
    </w:p>
    <w:p>
      <w:pPr>
        <w:spacing w:after="0" w:line="165"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Unlocking the Value of Data for our Network</w:t>
      </w:r>
    </w:p>
    <w:p>
      <w:pPr>
        <w:spacing w:after="0" w:line="104" w:lineRule="exact"/>
        <w:rPr>
          <w:sz w:val="20"/>
          <w:szCs w:val="20"/>
          <w:color w:val="auto"/>
        </w:rPr>
      </w:pPr>
    </w:p>
    <w:p>
      <w:pPr>
        <w:ind w:left="1280" w:right="659" w:firstLine="360"/>
        <w:spacing w:after="0" w:line="270" w:lineRule="auto"/>
        <w:rPr>
          <w:sz w:val="20"/>
          <w:szCs w:val="20"/>
          <w:color w:val="auto"/>
        </w:rPr>
      </w:pPr>
      <w:r>
        <w:rPr>
          <w:rFonts w:ascii="Arial" w:cs="Arial" w:eastAsia="Arial" w:hAnsi="Arial"/>
          <w:sz w:val="17"/>
          <w:szCs w:val="17"/>
          <w:color w:val="auto"/>
        </w:rPr>
        <w:t>Traders are increasingly using data for pre-trade analytics, automated execution, transaction cost analysis, predictive insights and post-trade solutions. Greater demand for data and analytics has improved the value proposition of electronic trading relative to other mediums. Our real-time pre-trade data and analytics provide additional value-add to platform users, further entrenching our platforms and solutions among our clients. We provide continuous pre-trade pricing updates across our markets to clients increasing transparency in trading. Additionally, regulations are mandating additional audit trail and reporting requirements, which we help solve with our trading platforms and integrated post-trade settlement solutions. These applications are supported by advancements in technology and the increased prevalence of electronic trading, both of which have made it easier to generate, capture, store and analyze data.</w:t>
      </w:r>
    </w:p>
    <w:p>
      <w:pPr>
        <w:spacing w:after="0" w:line="16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Competitive Strengths</w:t>
      </w:r>
    </w:p>
    <w:p>
      <w:pPr>
        <w:spacing w:after="0" w:line="20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Network of Clients, Products, Geographies and Protocols</w:t>
      </w:r>
    </w:p>
    <w:p>
      <w:pPr>
        <w:spacing w:after="0" w:line="104" w:lineRule="exact"/>
        <w:rPr>
          <w:sz w:val="20"/>
          <w:szCs w:val="20"/>
          <w:color w:val="auto"/>
        </w:rPr>
      </w:pPr>
    </w:p>
    <w:p>
      <w:pPr>
        <w:ind w:left="1280" w:right="719" w:firstLine="360"/>
        <w:spacing w:after="0" w:line="269" w:lineRule="auto"/>
        <w:rPr>
          <w:sz w:val="20"/>
          <w:szCs w:val="20"/>
          <w:color w:val="auto"/>
        </w:rPr>
      </w:pPr>
      <w:r>
        <w:rPr>
          <w:rFonts w:ascii="Arial" w:cs="Arial" w:eastAsia="Arial" w:hAnsi="Arial"/>
          <w:sz w:val="17"/>
          <w:szCs w:val="17"/>
          <w:color w:val="auto"/>
        </w:rPr>
        <w:t>Our clients continue to come to our trading venues because of our large network and deep pools of liquidity, which result in better and more efficient trade execution. We expand our relationships through our integrated technology and new offerings made available to our growing network of clients. As an electronic trading marketplace for key asset classes and products, we benefit from a virtuous cycle of liquidity — trading volumes growing together and re-enforcing each other. We expect our existing clients to trade more volume on our trading venues and to attract new users to our already powerful network, as liquidity on our marketplaces grows and we offer more products and value-added solutions. The breadth of our network, products, global presence and embedded scalable technology offers us unique insights and an established platform to swiftly enter additional markets and offer new value-added solutions. This is supported by more than 20 years of successful innovation and long trusted relationships with our clients.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79" w:firstLine="360"/>
        <w:spacing w:after="0" w:line="269" w:lineRule="auto"/>
        <w:rPr>
          <w:sz w:val="20"/>
          <w:szCs w:val="20"/>
          <w:color w:val="auto"/>
        </w:rPr>
      </w:pPr>
      <w:r>
        <w:rPr>
          <w:rFonts w:ascii="Arial" w:cs="Arial" w:eastAsia="Arial" w:hAnsi="Arial"/>
          <w:sz w:val="17"/>
          <w:szCs w:val="17"/>
          <w:color w:val="auto"/>
        </w:rPr>
        <w:t>We are a leader in making trading and the associated workflow more efficient for market participants. Based on industry sources and management estimates, we believe that we are a market leader in electronic trading for the following products: U.S. treasuries, TBA MBS, European government bonds, U.S. dollar-denominated interest rate swaps and euro-denominated interest rate swaps, which are some of our largest products, as well as ETP-traded Yen-denominated interest rate swaps and European ETFs, which are some of our newer products. We cover all major client sectors participating in electronic trading, including the institutional, wholesale and retail client sectors. We are a global business with users accessing our platforms and solutions in over 65 countries. For both the year ended December 31, 2019 and the combined year ended December 31, 2018, we generated approximately 36% of our gross revenue from clients outside of the United States. We have built a business that is diverse across more than 40 products. In addition, we provide the full spectrum of trading protocols from voice to sweeps (session-based trading) through RFQ to CLOB (central limit order book).</w:t>
      </w:r>
    </w:p>
    <w:p>
      <w:pPr>
        <w:spacing w:after="0" w:line="71" w:lineRule="exact"/>
        <w:rPr>
          <w:sz w:val="20"/>
          <w:szCs w:val="20"/>
          <w:color w:val="auto"/>
        </w:rPr>
      </w:pPr>
    </w:p>
    <w:p>
      <w:pPr>
        <w:ind w:left="1280" w:right="779" w:firstLine="360"/>
        <w:spacing w:after="0" w:line="257" w:lineRule="auto"/>
        <w:rPr>
          <w:sz w:val="20"/>
          <w:szCs w:val="20"/>
          <w:color w:val="auto"/>
        </w:rPr>
      </w:pPr>
      <w:r>
        <w:rPr>
          <w:rFonts w:ascii="Arial" w:cs="Arial" w:eastAsia="Arial" w:hAnsi="Arial"/>
          <w:sz w:val="18"/>
          <w:szCs w:val="18"/>
          <w:color w:val="auto"/>
        </w:rPr>
        <w:t>We believe the breadth of our offerings, experience and client relationships provides us unique market feedback and enables us to enter new markets with higher probabilities of success and greater speed. Many of our markets are interwoven and we provide participants trading capabilities across multiple products through a single relationship. We cover our global clients through offices in North America, Europe and Asia and a global trading network that is distributed throughout the world.</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Culture of Collaborative Innovation</w:t>
      </w:r>
    </w:p>
    <w:p>
      <w:pPr>
        <w:spacing w:after="0" w:line="104" w:lineRule="exact"/>
        <w:rPr>
          <w:sz w:val="20"/>
          <w:szCs w:val="20"/>
          <w:color w:val="auto"/>
        </w:rPr>
      </w:pPr>
    </w:p>
    <w:p>
      <w:pPr>
        <w:jc w:val="both"/>
        <w:ind w:left="1280" w:right="759" w:firstLine="360"/>
        <w:spacing w:after="0" w:line="257" w:lineRule="auto"/>
        <w:rPr>
          <w:sz w:val="20"/>
          <w:szCs w:val="20"/>
          <w:color w:val="auto"/>
        </w:rPr>
      </w:pPr>
      <w:r>
        <w:rPr>
          <w:rFonts w:ascii="Arial" w:cs="Arial" w:eastAsia="Arial" w:hAnsi="Arial"/>
          <w:sz w:val="18"/>
          <w:szCs w:val="18"/>
          <w:color w:val="auto"/>
        </w:rPr>
        <w:t>We have developed trusted client relationships through a culture of collaborative innovation where we work alongside our clients to solve their evolving workflow needs. We have a long track record of working with clients to solve both industry-level challenges and client-specific issues. We have had a philosophy of collaboration since our founding, when we worked with certain clients to improve U.S. treasury trading for the institutional client sector.</w:t>
      </w:r>
    </w:p>
    <w:p>
      <w:pPr>
        <w:spacing w:after="0" w:line="80" w:lineRule="exact"/>
        <w:rPr>
          <w:sz w:val="20"/>
          <w:szCs w:val="20"/>
          <w:color w:val="auto"/>
        </w:rPr>
      </w:pPr>
    </w:p>
    <w:p>
      <w:pPr>
        <w:ind w:left="1280" w:right="699" w:firstLine="360"/>
        <w:spacing w:after="0" w:line="252" w:lineRule="auto"/>
        <w:rPr>
          <w:sz w:val="20"/>
          <w:szCs w:val="20"/>
          <w:color w:val="auto"/>
        </w:rPr>
      </w:pPr>
      <w:r>
        <w:rPr>
          <w:rFonts w:ascii="Arial" w:cs="Arial" w:eastAsia="Arial" w:hAnsi="Arial"/>
          <w:sz w:val="18"/>
          <w:szCs w:val="18"/>
          <w:color w:val="auto"/>
        </w:rPr>
        <w:t>More recently, we helped make trading in credit markets more efficient by partnering with major dealers to improve liquidity and reduce the cost of net spotting the U.S. treasury in connection with a corporate bond trade. This net spotting functionality allows our credit clients to spot multiple bonds at the same time using our multi-dealer net spotting tool to net their interest rate risk simultaneously using one spot price. We have also worked side-by-side with clients and federal agencies to customize solutions for their particular needs in the TBA MBS market. For example, in direct collaboration with our leading TBA MBS clients we developed a functionality (Round Robin) to help resolve the issue of systemic fails on TBA MBS trades and reduce the operational risk and costs associated with delivery failures that often plague the TBA MBS market. In conjunction with Freddie Mac, we developed a direct-to-Freddie Mac exchange path for institutional clients related to the single security initiative, paving the way for a combined Freddie Mac and Fannie Mae TBA market of Uniform Mortgage-Backed Securities. Through collaborative endeavors like these, we have become deeply integrated into our clients’ workflow and become a partner of choice for new innovations.</w:t>
      </w:r>
    </w:p>
    <w:p>
      <w:pPr>
        <w:spacing w:after="0" w:line="185"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Scalable and Flexible Technology</w:t>
      </w:r>
    </w:p>
    <w:p>
      <w:pPr>
        <w:spacing w:after="0" w:line="104" w:lineRule="exact"/>
        <w:rPr>
          <w:sz w:val="20"/>
          <w:szCs w:val="20"/>
          <w:color w:val="auto"/>
        </w:rPr>
      </w:pPr>
    </w:p>
    <w:p>
      <w:pPr>
        <w:ind w:left="1280" w:right="659" w:firstLine="360"/>
        <w:spacing w:after="0" w:line="252" w:lineRule="auto"/>
        <w:rPr>
          <w:sz w:val="20"/>
          <w:szCs w:val="20"/>
          <w:color w:val="auto"/>
        </w:rPr>
      </w:pPr>
      <w:r>
        <w:rPr>
          <w:rFonts w:ascii="Arial" w:cs="Arial" w:eastAsia="Arial" w:hAnsi="Arial"/>
          <w:sz w:val="18"/>
          <w:szCs w:val="18"/>
          <w:color w:val="auto"/>
        </w:rPr>
        <w:t>We consistently use our proprietary technology to find new ways for our clients to trade more effectively and efficiently. Our core software solutions span multiple components of the trading lifecycle and include pre-trade data and analytics, trade execution and post-trade data, analytics and reporting, integration, connectivity and straight-through processing. Our systems are built to be scalable, flexible and resilient. Our internet-based, thin client technology is readily accessible and enables us to quickly access the market with easily distributed new solutions. For example, we were the first to offer web-based electronic multi-dealer trading to the institutional U.S. treasury market and have subsequently automated the market structure of additional markets globally. We have also created new trading protocols and developed additional solutions for our clients that are translated and built by our highly experienced technology and business personnel working together to solve a client workflow problem. Going forward, we expect our technology platform, and ongoing investments in technology and new product offerings, to help us stay at the forefront of the evolution of electronic trading.</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Global Regulatory Footprint and Domain Expertise</w:t>
      </w:r>
    </w:p>
    <w:p>
      <w:pPr>
        <w:spacing w:after="0" w:line="104" w:lineRule="exact"/>
        <w:rPr>
          <w:sz w:val="20"/>
          <w:szCs w:val="20"/>
          <w:color w:val="auto"/>
        </w:rPr>
      </w:pPr>
    </w:p>
    <w:p>
      <w:pPr>
        <w:ind w:left="1280" w:right="719" w:firstLine="360"/>
        <w:spacing w:after="0" w:line="254" w:lineRule="auto"/>
        <w:rPr>
          <w:sz w:val="20"/>
          <w:szCs w:val="20"/>
          <w:color w:val="auto"/>
        </w:rPr>
      </w:pPr>
      <w:r>
        <w:rPr>
          <w:rFonts w:ascii="Arial" w:cs="Arial" w:eastAsia="Arial" w:hAnsi="Arial"/>
          <w:sz w:val="18"/>
          <w:szCs w:val="18"/>
          <w:color w:val="auto"/>
        </w:rPr>
        <w:t>We are regulated (as necessitated by jurisdiction and applicable law) or have necessary legal clearance to offer our platforms and solutions in major markets globally, and our experience provides us credibility when we enter new markets and facilitates our ability to comply with additional regulatory regimes. With extensive experience in addressing existing and pending regulatory changes in our industry, we offer clients a central source of expertise and thought leadership in our markets and assist them through the myriad of regulatory requirements. We then provide our clients with trading platforms that meet regulatory requirements and enable connectivity to pre-and post-trade systems necessary to comply with their regulatory obligations.</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Platforms and Solutions Empowered by Data and Analytics</w:t>
      </w:r>
    </w:p>
    <w:p>
      <w:pPr>
        <w:spacing w:after="0" w:line="104" w:lineRule="exact"/>
        <w:rPr>
          <w:sz w:val="20"/>
          <w:szCs w:val="20"/>
          <w:color w:val="auto"/>
        </w:rPr>
      </w:pPr>
    </w:p>
    <w:p>
      <w:pPr>
        <w:ind w:left="1280" w:right="679" w:firstLine="360"/>
        <w:spacing w:after="0" w:line="268" w:lineRule="auto"/>
        <w:rPr>
          <w:sz w:val="20"/>
          <w:szCs w:val="20"/>
          <w:color w:val="auto"/>
        </w:rPr>
      </w:pPr>
      <w:r>
        <w:rPr>
          <w:rFonts w:ascii="Arial" w:cs="Arial" w:eastAsia="Arial" w:hAnsi="Arial"/>
          <w:sz w:val="17"/>
          <w:szCs w:val="17"/>
          <w:color w:val="auto"/>
        </w:rPr>
        <w:t>Our data and analytics enhance the value proposition of our trading venues and improve the trading experience of our clients. We support our clients’ core trading functions by offering trusted pre- and post-trade services, value-added analytics and predictive insights informed by our deep understanding of how market participants interact. Our data and analytics help clients make better trading decisions, benefitting our current clients and attracting new market participants to our network. For example, data powers our Automated Intelligent Execution (“AiEX”) functionality which allows traders to automatically execute trades according to pre-programmed rules and automatically sends completed or rejected order details to internal order management systems. By allowing traders to automate and execute their smaller, low touch trades more efficiently, AiEX helps traders focus their attention on larger, more nuanced trades. During the year ended December 31, 2019, the percentage of trades executed by our institutional clients using our AiEX functionality was 23% of total institutional trades, up from 6% in 2015, and we are seeing demand for AiEX continue to grow across some of our key products, including U.S. treasuries, European government bonds, global swaps, U.S. and European corporate bonds and global ETFs.</w:t>
      </w:r>
    </w:p>
    <w:p>
      <w:pPr>
        <w:spacing w:after="0" w:line="78" w:lineRule="exact"/>
        <w:rPr>
          <w:sz w:val="20"/>
          <w:szCs w:val="20"/>
          <w:color w:val="auto"/>
        </w:rPr>
      </w:pPr>
    </w:p>
    <w:p>
      <w:pPr>
        <w:ind w:left="1280" w:right="659" w:firstLine="360"/>
        <w:spacing w:after="0" w:line="253" w:lineRule="auto"/>
        <w:rPr>
          <w:sz w:val="20"/>
          <w:szCs w:val="20"/>
          <w:color w:val="auto"/>
        </w:rPr>
      </w:pPr>
      <w:r>
        <w:rPr>
          <w:rFonts w:ascii="Arial" w:cs="Arial" w:eastAsia="Arial" w:hAnsi="Arial"/>
          <w:sz w:val="18"/>
          <w:szCs w:val="18"/>
          <w:color w:val="auto"/>
        </w:rPr>
        <w:t>Our over 20 year operating history has allowed us to build comprehensive and unique datasets across our markets and, as we add new products to our platforms, we will continue to create new datasets that may be monetized in the future. Our marketplaces generate valuable data, processing over 50,000 trades and over 1.0 billion pre-trade price updates daily, that we collect centrally and use as inputs to our pre-trade indicative pricing and analytics. We maintain a full history of inquiries and transactions, which means, for example, we have 20 years of U.S. treasury data. We will seek to further monetize our data over time both through potential expansion of our existing market data license agreement with Refinitiv and through distributing additional datasets and analytics offerings through our own network or through other third-party networks.</w:t>
      </w:r>
    </w:p>
    <w:p>
      <w:pPr>
        <w:spacing w:after="0" w:line="88" w:lineRule="exact"/>
        <w:rPr>
          <w:sz w:val="20"/>
          <w:szCs w:val="20"/>
          <w:color w:val="auto"/>
        </w:rPr>
      </w:pPr>
    </w:p>
    <w:p>
      <w:pPr>
        <w:ind w:left="1280" w:right="679" w:firstLine="360"/>
        <w:spacing w:after="0" w:line="255" w:lineRule="auto"/>
        <w:rPr>
          <w:sz w:val="20"/>
          <w:szCs w:val="20"/>
          <w:color w:val="auto"/>
        </w:rPr>
      </w:pPr>
      <w:r>
        <w:rPr>
          <w:rFonts w:ascii="Arial" w:cs="Arial" w:eastAsia="Arial" w:hAnsi="Arial"/>
          <w:sz w:val="18"/>
          <w:szCs w:val="18"/>
          <w:color w:val="auto"/>
        </w:rPr>
        <w:t>We are continuously developing new offerings and solutions to meet the changing needs of our clients and will benefit from helping them comply with new regulations. For example, in January 2018, we launched our Approved Publication Arrangement (“APA”) reporting service in response to demand by our clients to satisfy new off-venue and over-the-counter (“OTC”) reporting requirements under MiFID II. We now operate one of the largest fixed income APA services with over 100 clients, including 20 leading global banks, and expect to expand our APA service in the coming years.</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104" w:lineRule="exact"/>
        <w:rPr>
          <w:sz w:val="20"/>
          <w:szCs w:val="20"/>
          <w:color w:val="auto"/>
        </w:rPr>
      </w:pPr>
    </w:p>
    <w:p>
      <w:pPr>
        <w:ind w:left="1280" w:right="659" w:firstLine="360"/>
        <w:spacing w:after="0" w:line="253" w:lineRule="auto"/>
        <w:rPr>
          <w:sz w:val="20"/>
          <w:szCs w:val="20"/>
          <w:color w:val="auto"/>
        </w:rPr>
      </w:pPr>
      <w:r>
        <w:rPr>
          <w:rFonts w:ascii="Arial" w:cs="Arial" w:eastAsia="Arial" w:hAnsi="Arial"/>
          <w:sz w:val="18"/>
          <w:szCs w:val="18"/>
          <w:color w:val="auto"/>
        </w:rPr>
        <w:t>Our focus and decades of experience have enabled us to accumulate the knowledge and capabilities needed to serve complex, dynamic and highly regulated markets. Our founder-led management team is composed of executives with an average of over 25 years of relevant industry experience including an average of 14 years working together at Tradeweb under different ownership structures and through multiple market cycles. Our stable management team has overseen our expansion into new markets and geographies while managing ongoing strategic initiatives including our significant technology investments. Additionally, management has fostered a culture of collaborative innovation with our clients, which combined with management’s focus and experience, has been an important contributor to our success. We have been thought leaders and contributors to the public dialogue on key issues and regulations affecting our markets and industry, including congressional testimony, public roundtables, regulatory committees and industry panels.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Growth Strategies</w:t>
      </w:r>
    </w:p>
    <w:p>
      <w:pPr>
        <w:spacing w:after="0" w:line="108" w:lineRule="exact"/>
        <w:rPr>
          <w:sz w:val="20"/>
          <w:szCs w:val="20"/>
          <w:color w:val="auto"/>
        </w:rPr>
      </w:pPr>
    </w:p>
    <w:p>
      <w:pPr>
        <w:jc w:val="both"/>
        <w:ind w:left="1280" w:right="759" w:firstLine="360"/>
        <w:spacing w:after="0" w:line="279" w:lineRule="auto"/>
        <w:rPr>
          <w:sz w:val="20"/>
          <w:szCs w:val="20"/>
          <w:color w:val="auto"/>
        </w:rPr>
      </w:pPr>
      <w:r>
        <w:rPr>
          <w:rFonts w:ascii="Arial" w:cs="Arial" w:eastAsia="Arial" w:hAnsi="Arial"/>
          <w:sz w:val="17"/>
          <w:szCs w:val="17"/>
          <w:color w:val="auto"/>
        </w:rPr>
        <w:t>Throughout our history, we have operated with agility to address the evolving needs of our clients. We have been guided by our core principles, which are to build better marketplaces, to forge new relationships and to create trading solutions that position us as a strategic partner to the clients that we serve. We seek to advance our leadership position by focusing our efforts on the following growth strategies:</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Continue to Grow Our Existing Markets</w:t>
      </w:r>
    </w:p>
    <w:p>
      <w:pPr>
        <w:spacing w:after="0" w:line="104" w:lineRule="exact"/>
        <w:rPr>
          <w:sz w:val="20"/>
          <w:szCs w:val="20"/>
          <w:color w:val="auto"/>
        </w:rPr>
      </w:pPr>
    </w:p>
    <w:p>
      <w:pPr>
        <w:ind w:left="1280" w:right="779" w:firstLine="360"/>
        <w:spacing w:after="0" w:line="277" w:lineRule="auto"/>
        <w:rPr>
          <w:sz w:val="20"/>
          <w:szCs w:val="20"/>
          <w:color w:val="auto"/>
        </w:rPr>
      </w:pPr>
      <w:r>
        <w:rPr>
          <w:rFonts w:ascii="Arial" w:cs="Arial" w:eastAsia="Arial" w:hAnsi="Arial"/>
          <w:sz w:val="18"/>
          <w:szCs w:val="18"/>
          <w:color w:val="auto"/>
        </w:rPr>
        <w:t>We believe there are significant opportunities to generate additional revenue from secular and cyclical tailwinds in our existing markets:</w:t>
      </w:r>
    </w:p>
    <w:p>
      <w:pPr>
        <w:spacing w:after="0" w:line="157"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Growth in Our Underlying Asset Classes</w:t>
      </w:r>
    </w:p>
    <w:p>
      <w:pPr>
        <w:spacing w:after="0" w:line="104" w:lineRule="exact"/>
        <w:rPr>
          <w:sz w:val="20"/>
          <w:szCs w:val="20"/>
          <w:color w:val="auto"/>
        </w:rPr>
      </w:pPr>
    </w:p>
    <w:p>
      <w:pPr>
        <w:ind w:left="1280" w:right="759" w:firstLine="360"/>
        <w:spacing w:after="0" w:line="254" w:lineRule="auto"/>
        <w:rPr>
          <w:sz w:val="20"/>
          <w:szCs w:val="20"/>
          <w:color w:val="auto"/>
        </w:rPr>
      </w:pPr>
      <w:r>
        <w:rPr>
          <w:rFonts w:ascii="Arial" w:cs="Arial" w:eastAsia="Arial" w:hAnsi="Arial"/>
          <w:sz w:val="18"/>
          <w:szCs w:val="18"/>
          <w:color w:val="auto"/>
        </w:rPr>
        <w:t>The underlying volumes in our asset classes continue to increase due to expanded government and corporate issuance. In addition, the government bond market is foundational to and correlative to virtually every asset class in the cash and derivatives fixed income markets. Based on industry sources and management estimates, we estimate that the addressable average daily trading volume across the rates, credit, equities and money markets asset classes has grown at a compound annual growth rate of 13% from 2015 through the year ended December 31, 2019. Select products that we believe have a high growth potential due to current market trends include global government bonds, interest rate derivatives, ETFs and credit cash products.</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Growth in Our Market Share</w:t>
      </w:r>
    </w:p>
    <w:p>
      <w:pPr>
        <w:spacing w:after="0" w:line="104" w:lineRule="exact"/>
        <w:rPr>
          <w:sz w:val="20"/>
          <w:szCs w:val="20"/>
          <w:color w:val="auto"/>
        </w:rPr>
      </w:pPr>
    </w:p>
    <w:p>
      <w:pPr>
        <w:ind w:left="1280" w:right="739" w:firstLine="360"/>
        <w:spacing w:after="0" w:line="268" w:lineRule="auto"/>
        <w:rPr>
          <w:sz w:val="20"/>
          <w:szCs w:val="20"/>
          <w:color w:val="auto"/>
        </w:rPr>
      </w:pPr>
      <w:r>
        <w:rPr>
          <w:rFonts w:ascii="Arial" w:cs="Arial" w:eastAsia="Arial" w:hAnsi="Arial"/>
          <w:sz w:val="17"/>
          <w:szCs w:val="17"/>
          <w:color w:val="auto"/>
        </w:rPr>
        <w:t>Our clients represent most of the largest institutional, wholesale and retail market participants. The global rates, credit, equities and money markets asset classes continue to evolve electronically, and we seek to increase our market share by continuing to innovate to electronify workflows. We intend to continue to increase our market share by growing our client base and increasing the percentage of our clients’ overall trading volume transacted in those asset classes on our platforms, including by leveraging our voice solutions to win more electronic trading business from electronic voice processing clients in our rates and credit asset classes. In particular, across many of our products, we are implementing an integrated approach to grow our market share — serving all three of our client sectors across all trade sizes, from odd-lot to block trades, through a variety of protocols. Many of our asset manager, hedge fund, insurance, central bank/sovereign entity and regional dealer clients actively trade multiple products on our platforms. In addition, our global dealer clients trade in most asset classes across all three client sectors. We also see a growing appetite for multi-asset trading to reduce cost and duration risk. For example, approximately 90% of our U.S. institutional high grade cash credit trades leverage our U.S. treasury marketplace for spotting. During the year ended December 31, 2019, net spotting accounted for over 25% of our overall U.S. high grade credit notional volume and over 13% of our U.S. high grade electronic credit volume.</w:t>
      </w:r>
    </w:p>
    <w:p>
      <w:pPr>
        <w:spacing w:after="0" w:line="168"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Electronification of Our Markets</w:t>
      </w:r>
    </w:p>
    <w:p>
      <w:pPr>
        <w:spacing w:after="0" w:line="104" w:lineRule="exact"/>
        <w:rPr>
          <w:sz w:val="20"/>
          <w:szCs w:val="20"/>
          <w:color w:val="auto"/>
        </w:rPr>
      </w:pPr>
    </w:p>
    <w:p>
      <w:pPr>
        <w:ind w:left="1280" w:right="739" w:firstLine="360"/>
        <w:spacing w:after="0" w:line="269" w:lineRule="auto"/>
        <w:rPr>
          <w:sz w:val="20"/>
          <w:szCs w:val="20"/>
          <w:color w:val="auto"/>
        </w:rPr>
      </w:pPr>
      <w:r>
        <w:rPr>
          <w:rFonts w:ascii="Arial" w:cs="Arial" w:eastAsia="Arial" w:hAnsi="Arial"/>
          <w:sz w:val="17"/>
          <w:szCs w:val="17"/>
          <w:color w:val="auto"/>
        </w:rPr>
        <w:t>Market demands and regulation are changing the paradigm of trading and driving the migration to electronic markets. Our clients desire transparency, best execution and choice of trading protocols amidst dynamic and evolving markets. Furthermore, innovations in capital markets have enabled increased automation and process efficiency across our markets. The electronification of our marketplaces varies by product. We typically see meaningful electronification of new products within three to five years of their launch, with certain products experiencing significant revenue growth following that period of time, including as a result of market and regulatory developments. For example, our U.S.- and euro-denominated derivative products experienced increased rates of electronification and related revenue growth following the implementation of mandates under the Dodd-Frank Act in 2013 and MiFID II in 2018. We are well positioned to continue to innovate and provide better electronic markets and solutions that satisfy the needs of our clients and that meet changing market demands and evolving regulatory standards.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59" w:firstLine="360"/>
        <w:spacing w:after="0" w:line="255" w:lineRule="auto"/>
        <w:rPr>
          <w:sz w:val="20"/>
          <w:szCs w:val="20"/>
          <w:color w:val="auto"/>
        </w:rPr>
      </w:pPr>
      <w:r>
        <w:rPr>
          <w:rFonts w:ascii="Arial" w:cs="Arial" w:eastAsia="Arial" w:hAnsi="Arial"/>
          <w:sz w:val="18"/>
          <w:szCs w:val="18"/>
          <w:color w:val="auto"/>
        </w:rPr>
        <w:t>We believe that U.S. treasuries, global interest rate swaps, global ETFs, in particular, institutional block ETFs, and U.S. credit products, including corporate high grade and high yield bonds, are key drivers of our potential growth. Our penetration of these markets, and their level of electronification, are at various stages. We are focused on growing our market share for these products by continuing to invest in new technology solutions that will attract new market participants to our platforms and increase the use of our platforms by existing clients.</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Expand Our Product Set and Reach</w:t>
      </w:r>
    </w:p>
    <w:p>
      <w:pPr>
        <w:spacing w:after="0" w:line="104" w:lineRule="exact"/>
        <w:rPr>
          <w:sz w:val="20"/>
          <w:szCs w:val="20"/>
          <w:color w:val="auto"/>
        </w:rPr>
      </w:pPr>
    </w:p>
    <w:p>
      <w:pPr>
        <w:ind w:left="1280" w:right="679" w:firstLine="360"/>
        <w:spacing w:after="0" w:line="251" w:lineRule="auto"/>
        <w:rPr>
          <w:sz w:val="20"/>
          <w:szCs w:val="20"/>
          <w:color w:val="auto"/>
        </w:rPr>
      </w:pPr>
      <w:r>
        <w:rPr>
          <w:rFonts w:ascii="Arial" w:cs="Arial" w:eastAsia="Arial" w:hAnsi="Arial"/>
          <w:sz w:val="18"/>
          <w:szCs w:val="18"/>
          <w:color w:val="auto"/>
        </w:rPr>
        <w:t>We have grown our business by prudently expanding our offerings to add new products and asset classes, and we expect to continue to invest to add new products and expand into new complementary markets as client demand and market trends evolve. We expanded into China in 2017 and offer our global clients access to the Chinese bond market through our initiative with BondConnect. We continue to focus on that initiative and on other opportunities in China, and on expanding opportunities with clients in the Asia region more broadly. In addition, we have expanded our product set to include wholesale electronic repurchase agreements, as well as U.S. and European bilateral repurchase agreements, European cash equities and U.S. options for our institutional client sector. We also intend to leverage innovation and technology capabilities to develop new solutions that help our clients trade more effectively and efficiently. For example, our swap compression functionality allows clients to reduce their swap positions at the clearinghouse, resulting in significant cost savings. On our institutional U.S. credit platform, our portfolio trading solution allows clients to obtain competitive prices on a full basket of securities and trade on net present value from dealers. In addition, multi-asset package (“MAP”) trading allows clients to simultaneously execute interest rate swaps, inflations swaps and government bonds in a single electronic package enabling clients to achieve more competitive pricing, reduce manual booking errors and increase execution speed. Net spotting, which links our institutional U.S. credit and U.S. Treasury markets allows clients to reduce the operational stress and financial cost of executing offsetting Treasury hedges for corporate bonds that trade at a spread to the U.S. Treasury. Given the breadth of expertise of our sales people and management, we have the ability to focus on new client opportunities and on selling additional solutions to existing clients.</w:t>
      </w:r>
    </w:p>
    <w:p>
      <w:pPr>
        <w:spacing w:after="0" w:line="99" w:lineRule="exact"/>
        <w:rPr>
          <w:sz w:val="20"/>
          <w:szCs w:val="20"/>
          <w:color w:val="auto"/>
        </w:rPr>
      </w:pPr>
    </w:p>
    <w:p>
      <w:pPr>
        <w:ind w:left="1280" w:right="779" w:firstLine="360"/>
        <w:spacing w:after="0" w:line="269" w:lineRule="auto"/>
        <w:rPr>
          <w:sz w:val="20"/>
          <w:szCs w:val="20"/>
          <w:color w:val="auto"/>
        </w:rPr>
      </w:pPr>
      <w:r>
        <w:rPr>
          <w:rFonts w:ascii="Arial" w:cs="Arial" w:eastAsia="Arial" w:hAnsi="Arial"/>
          <w:sz w:val="17"/>
          <w:szCs w:val="17"/>
          <w:color w:val="auto"/>
        </w:rPr>
        <w:t>In addition, we believe our business model is well suited to serve market participants in other asset classes and geographies where our guiding principles can continue to transform markets and broaden our reach. We currently have clients in over 65 countries, and we plan to expand our platforms and solutions into additional geographies. Our international strategy involves offering our existing products to new geographies and then adding local products. In addition, we believe we can, and will, continue to develop trading models in one product or asset class and deliver those models to other products or asset classes, irrespective of geography. For example, we have leveraged our session-based trading technology in European corporate bonds for session-based trading in U.S. corporate bonds and Off-the-Run U.S. treasuries, and we are focused on growing this newer trading protocol. We have significant scale and breadth across our platforms, which position us well to take advantage of favorable market dynamics when introducing new products or solutions or entering into new markets.</w:t>
      </w:r>
    </w:p>
    <w:p>
      <w:pPr>
        <w:spacing w:after="0" w:line="168"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Enhance Underlying Data and Analytics Capabilities to Develop Innovative Solutions</w:t>
      </w:r>
    </w:p>
    <w:p>
      <w:pPr>
        <w:spacing w:after="0" w:line="104" w:lineRule="exact"/>
        <w:rPr>
          <w:sz w:val="20"/>
          <w:szCs w:val="20"/>
          <w:color w:val="auto"/>
        </w:rPr>
      </w:pPr>
    </w:p>
    <w:p>
      <w:pPr>
        <w:ind w:left="1280" w:right="699" w:firstLine="360"/>
        <w:spacing w:after="0" w:line="271" w:lineRule="auto"/>
        <w:rPr>
          <w:sz w:val="20"/>
          <w:szCs w:val="20"/>
          <w:color w:val="auto"/>
        </w:rPr>
      </w:pPr>
      <w:r>
        <w:rPr>
          <w:rFonts w:ascii="Arial" w:cs="Arial" w:eastAsia="Arial" w:hAnsi="Arial"/>
          <w:sz w:val="17"/>
          <w:szCs w:val="17"/>
          <w:color w:val="auto"/>
        </w:rPr>
        <w:t>As the demand for data and analytics solutions grows across markets and geographies, we plan to continue to expand the scope of our underlying data, improve our tools and technology and enhance our analytics and trade decision support capabilities to provide innovative solutions that address this demand. As the needs of market participants evolve, we expect to continue to help them meet their challenges, which our continuous investments in data, technology and analytics enable us to do more quickly and efficiently. For example, we enhance our solutions by linking indicative pre-trade data to our clients’ specific trades to create predictive insights from client trading behavior. Our technology architecture reduces the time to market for new data solutions, which allows us to react quickly to client needs.</w:t>
      </w:r>
    </w:p>
    <w:p>
      <w:pPr>
        <w:spacing w:after="0" w:line="70" w:lineRule="exact"/>
        <w:rPr>
          <w:sz w:val="20"/>
          <w:szCs w:val="20"/>
          <w:color w:val="auto"/>
        </w:rPr>
      </w:pPr>
    </w:p>
    <w:p>
      <w:pPr>
        <w:ind w:left="1280" w:right="679" w:firstLine="360"/>
        <w:spacing w:after="0" w:line="259" w:lineRule="auto"/>
        <w:rPr>
          <w:sz w:val="20"/>
          <w:szCs w:val="20"/>
          <w:color w:val="auto"/>
        </w:rPr>
      </w:pPr>
      <w:r>
        <w:rPr>
          <w:rFonts w:ascii="Arial" w:cs="Arial" w:eastAsia="Arial" w:hAnsi="Arial"/>
          <w:sz w:val="18"/>
          <w:szCs w:val="18"/>
          <w:color w:val="auto"/>
        </w:rPr>
        <w:t>In November 2018, we extended our long-term agreement with Refinitiv, pursuant to which Refinitiv licenses certain data from us, which provides us with a predictable and growing revenue stream. In addition, we will continue to selectively pursue new strategic partnerships to expand our data and analytics offering over time.</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1305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75935" cy="81305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859" w:firstLine="360"/>
        <w:spacing w:after="0" w:line="259" w:lineRule="auto"/>
        <w:rPr>
          <w:sz w:val="20"/>
          <w:szCs w:val="20"/>
          <w:color w:val="auto"/>
        </w:rPr>
      </w:pPr>
      <w:r>
        <w:rPr>
          <w:rFonts w:ascii="Arial" w:cs="Arial" w:eastAsia="Arial" w:hAnsi="Arial"/>
          <w:sz w:val="18"/>
          <w:szCs w:val="18"/>
          <w:color w:val="auto"/>
        </w:rPr>
        <w:t>We have also launched a roster of closing prices partnering with FTSE for UK Gilts and ICE for U.S. treasuries in response to the growing demand for trusted reference price data that enables firms to manage investment portfolios, evaluate the fair value of securities, perform compliance monitoring and satisfy general accounting standards.</w:t>
      </w:r>
    </w:p>
    <w:p>
      <w:pPr>
        <w:spacing w:after="0" w:line="173"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Pursue Strategic Acquisitions and Alliances</w:t>
      </w:r>
    </w:p>
    <w:p>
      <w:pPr>
        <w:spacing w:after="0" w:line="104" w:lineRule="exact"/>
        <w:rPr>
          <w:sz w:val="20"/>
          <w:szCs w:val="20"/>
          <w:color w:val="auto"/>
        </w:rPr>
      </w:pPr>
    </w:p>
    <w:p>
      <w:pPr>
        <w:ind w:left="1280" w:right="759" w:firstLine="360"/>
        <w:spacing w:after="0" w:line="254" w:lineRule="auto"/>
        <w:rPr>
          <w:sz w:val="20"/>
          <w:szCs w:val="20"/>
          <w:color w:val="auto"/>
        </w:rPr>
      </w:pPr>
      <w:r>
        <w:rPr>
          <w:rFonts w:ascii="Arial" w:cs="Arial" w:eastAsia="Arial" w:hAnsi="Arial"/>
          <w:sz w:val="18"/>
          <w:szCs w:val="18"/>
          <w:color w:val="auto"/>
        </w:rPr>
        <w:t>We intend to continue to selectively consider opportunities to grow through strategic acquisitions and alliances. These opportunities should enhance our existing capabilities, accelerate our ability to enter new markets or provide new solutions. For example, in addition to our acquisitions in the wholesale and retail client sectors, we made an acquisition (CodeStreet) in 2016, which bolstered our predictive analytics capabilities. Our focus will be on opportunities that we believe can enhance or benefit from our technology platform and client network, provide significant market share and profitability and are consistent with our corporate culture.</w:t>
      </w:r>
    </w:p>
    <w:p>
      <w:pPr>
        <w:spacing w:after="0" w:line="17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Recent Developments</w:t>
      </w:r>
    </w:p>
    <w:p>
      <w:pPr>
        <w:spacing w:after="0" w:line="20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COVID-19</w:t>
      </w:r>
    </w:p>
    <w:p>
      <w:pPr>
        <w:spacing w:after="0" w:line="90" w:lineRule="exact"/>
        <w:rPr>
          <w:sz w:val="20"/>
          <w:szCs w:val="20"/>
          <w:color w:val="auto"/>
        </w:rPr>
      </w:pPr>
    </w:p>
    <w:p>
      <w:pPr>
        <w:ind w:left="1280" w:right="759" w:firstLine="360"/>
        <w:spacing w:after="0" w:line="257" w:lineRule="auto"/>
        <w:rPr>
          <w:sz w:val="20"/>
          <w:szCs w:val="20"/>
          <w:color w:val="auto"/>
        </w:rPr>
      </w:pPr>
      <w:r>
        <w:rPr>
          <w:rFonts w:ascii="Arial" w:cs="Arial" w:eastAsia="Arial" w:hAnsi="Arial"/>
          <w:sz w:val="18"/>
          <w:szCs w:val="18"/>
          <w:color w:val="auto"/>
        </w:rPr>
        <w:t>Since the onset of the COVID-19 pandemic, we have been focused on keeping our employees safe, helping our clients stay connected, and ensuring our markets operate efficiently through this period of unprecedented market volatility. We have implemented a series of measures to protect the health and safety of our employees, and by mid-March 2020, nearly all of our employees around the world were working remotely.</w:t>
      </w:r>
    </w:p>
    <w:p>
      <w:pPr>
        <w:spacing w:after="0" w:line="80" w:lineRule="exact"/>
        <w:rPr>
          <w:sz w:val="20"/>
          <w:szCs w:val="20"/>
          <w:color w:val="auto"/>
        </w:rPr>
      </w:pPr>
    </w:p>
    <w:p>
      <w:pPr>
        <w:ind w:left="1280" w:right="759" w:firstLine="360"/>
        <w:spacing w:after="0" w:line="254" w:lineRule="auto"/>
        <w:rPr>
          <w:sz w:val="20"/>
          <w:szCs w:val="20"/>
          <w:color w:val="auto"/>
        </w:rPr>
      </w:pPr>
      <w:r>
        <w:rPr>
          <w:rFonts w:ascii="Arial" w:cs="Arial" w:eastAsia="Arial" w:hAnsi="Arial"/>
          <w:sz w:val="18"/>
          <w:szCs w:val="18"/>
          <w:color w:val="auto"/>
        </w:rPr>
        <w:t>In light of the unprecedented market volatility and significant economic disruption that has arisen in the wake of the pandemic, we have worked closely with our clients to provide flexible and secure access to our platforms, and to ensure that we would be a stable and resilient partner across multiple asset classes — so they can reliably manage their core cash and derivatives needs in the diverse markets we serve, even as their own businesses may face disruptions. Our employees and clients together have adapted to working remotely and we have helped our clients navigate the market volatility through multi-asset class and multi-protocol electronic offerings. We believe the strong volumes we experienced on our platforms in March 2020 are reflective of these factors.</w:t>
      </w:r>
    </w:p>
    <w:p>
      <w:pPr>
        <w:spacing w:after="0" w:line="84" w:lineRule="exact"/>
        <w:rPr>
          <w:sz w:val="20"/>
          <w:szCs w:val="20"/>
          <w:color w:val="auto"/>
        </w:rPr>
      </w:pPr>
    </w:p>
    <w:p>
      <w:pPr>
        <w:ind w:left="1280" w:right="659" w:firstLine="360"/>
        <w:spacing w:after="0" w:line="254" w:lineRule="auto"/>
        <w:rPr>
          <w:sz w:val="20"/>
          <w:szCs w:val="20"/>
          <w:color w:val="auto"/>
        </w:rPr>
      </w:pPr>
      <w:r>
        <w:rPr>
          <w:rFonts w:ascii="Arial" w:cs="Arial" w:eastAsia="Arial" w:hAnsi="Arial"/>
          <w:sz w:val="18"/>
          <w:szCs w:val="18"/>
          <w:color w:val="auto"/>
        </w:rPr>
        <w:t>The global spread of the COVID-19 pandemic is complex and rapidly-evolving, with authorities around the world implementing numerous measures to try to contain the coronavirus, such as travel bans and restrictions, social distancing, quarantines, shelter in place, stay at home or lockdown orders and business limitations and shutdowns. While our expectation is to return to our offices when it is safe to do so, we remain confident that we can continue to maintain business continuity, serve our clients and provide efficient execution in a virtual environment as necessary. In addition, we believe that we have sufficient liquidity and flexibility to operate during any future disruptions caused by COVID-19.</w:t>
      </w:r>
    </w:p>
    <w:p>
      <w:pPr>
        <w:spacing w:after="0" w:line="87" w:lineRule="exact"/>
        <w:rPr>
          <w:sz w:val="20"/>
          <w:szCs w:val="20"/>
          <w:color w:val="auto"/>
        </w:rPr>
      </w:pPr>
    </w:p>
    <w:p>
      <w:pPr>
        <w:ind w:left="1280" w:right="659" w:firstLine="360"/>
        <w:spacing w:after="0" w:line="268" w:lineRule="auto"/>
        <w:rPr>
          <w:sz w:val="20"/>
          <w:szCs w:val="20"/>
          <w:color w:val="auto"/>
        </w:rPr>
      </w:pPr>
      <w:r>
        <w:rPr>
          <w:rFonts w:ascii="Arial" w:cs="Arial" w:eastAsia="Arial" w:hAnsi="Arial"/>
          <w:sz w:val="17"/>
          <w:szCs w:val="17"/>
          <w:color w:val="auto"/>
        </w:rPr>
        <w:t>We currently expect any future disruptive impact of COVID-19 on our business to be temporary and are determined to continue to minimize such impact. Although we have implemented risk management and contingency plans and taken preventive measures and other precautions, our efforts to mitigate the effects of any disruptions may prove to be inadequate. Due to the uncertainty of the duration and severity of COVID-19, the speed with which this pandemic is developing, the uncertainty as to what governmental measures may yet be taken in response to the pandemic and the unpredictable effect on our business, our employees and our clients, we are not able to reasonably estimate the extent of any potential impact of COVID-19 on our financial condition or results of operations at this time, but the impact could potentially be material. Even after the COVID-19 outbreak has subsided, we may continue to experience impacts to our business as a result of the coronavirus’ global economic impact and any recession that has occurred or may occur in the future. Further, as the COVID-19 situation is unprecedented and continuously evolving, COVID-19 may also affect our operating and financial results in a manner that is not presently known to us or in a manner that we currently do not consider to present significant risks to our operations.</w:t>
      </w:r>
    </w:p>
    <w:p>
      <w:pPr>
        <w:spacing w:after="0" w:line="78" w:lineRule="exact"/>
        <w:rPr>
          <w:sz w:val="20"/>
          <w:szCs w:val="20"/>
          <w:color w:val="auto"/>
        </w:rPr>
      </w:pPr>
    </w:p>
    <w:p>
      <w:pPr>
        <w:jc w:val="both"/>
        <w:ind w:left="1280" w:right="999" w:firstLine="360"/>
        <w:spacing w:after="0" w:line="286" w:lineRule="auto"/>
        <w:rPr>
          <w:sz w:val="20"/>
          <w:szCs w:val="20"/>
          <w:color w:val="auto"/>
        </w:rPr>
      </w:pPr>
      <w:r>
        <w:rPr>
          <w:rFonts w:ascii="Arial" w:cs="Arial" w:eastAsia="Arial" w:hAnsi="Arial"/>
          <w:sz w:val="17"/>
          <w:szCs w:val="17"/>
          <w:color w:val="auto"/>
        </w:rPr>
        <w:t>As the COVID-19 pandemic continues, it may also have the effect of heightening many of the risks described in “Risk Factors” in this prospectus, including, but not limited to, those relating to changes in economic, political, social and market conditions and the impact of these changes on trading volumes;</w:t>
      </w:r>
    </w:p>
    <w:p>
      <w:pPr>
        <w:sectPr>
          <w:pgSz w:w="11900" w:h="16838" w:orient="portrait"/>
          <w:cols w:equalWidth="0" w:num="1">
            <w:col w:w="10139"/>
          </w:cols>
          <w:pgMar w:left="320" w:top="131" w:right="1440" w:bottom="1440" w:gutter="0" w:footer="0" w:header="0"/>
          <w:type w:val="continuous"/>
        </w:sectPr>
      </w:pPr>
    </w:p>
    <w:p>
      <w:pPr>
        <w:spacing w:after="0" w:line="38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59"/>
        <w:spacing w:after="0" w:line="259" w:lineRule="auto"/>
        <w:rPr>
          <w:sz w:val="20"/>
          <w:szCs w:val="20"/>
          <w:color w:val="auto"/>
        </w:rPr>
      </w:pPr>
      <w:r>
        <w:rPr>
          <w:rFonts w:ascii="Arial" w:cs="Arial" w:eastAsia="Arial" w:hAnsi="Arial"/>
          <w:sz w:val="18"/>
          <w:szCs w:val="18"/>
          <w:color w:val="auto"/>
        </w:rPr>
        <w:t>consolidation and concentration in the financial services industry; our dependence on dealer clients; systems failures, interruptions, delays in services, cybersecurity incidents, unforeseen or catastrophic events and any resulting interruptions; our international operations; and our dependence on our senior management team and other qualified personnel. See “Risk Factors.”</w:t>
      </w:r>
    </w:p>
    <w:p>
      <w:pPr>
        <w:spacing w:after="0" w:line="173"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IDC Matter</w:t>
      </w:r>
    </w:p>
    <w:p>
      <w:pPr>
        <w:spacing w:after="0" w:line="104" w:lineRule="exact"/>
        <w:rPr>
          <w:sz w:val="20"/>
          <w:szCs w:val="20"/>
          <w:color w:val="auto"/>
        </w:rPr>
      </w:pPr>
    </w:p>
    <w:p>
      <w:pPr>
        <w:ind w:left="1280" w:right="679" w:firstLine="360"/>
        <w:spacing w:after="0" w:line="269" w:lineRule="auto"/>
        <w:rPr>
          <w:sz w:val="20"/>
          <w:szCs w:val="20"/>
          <w:color w:val="auto"/>
        </w:rPr>
      </w:pPr>
      <w:r>
        <w:rPr>
          <w:rFonts w:ascii="Arial" w:cs="Arial" w:eastAsia="Arial" w:hAnsi="Arial"/>
          <w:sz w:val="17"/>
          <w:szCs w:val="17"/>
          <w:color w:val="auto"/>
        </w:rPr>
        <w:t xml:space="preserve">As disclosed most recently in our 2019 Form 10-K, incorporated by reference in this prospectus, IDC Financial Publishing, Inc. (“IDC”) filed a lawsuit in the United States District Court for the Eastern District of Wisconsin captioned </w:t>
      </w:r>
      <w:r>
        <w:rPr>
          <w:rFonts w:ascii="Arial" w:cs="Arial" w:eastAsia="Arial" w:hAnsi="Arial"/>
          <w:sz w:val="17"/>
          <w:szCs w:val="17"/>
          <w:i w:val="1"/>
          <w:iCs w:val="1"/>
          <w:color w:val="auto"/>
        </w:rPr>
        <w:t>IDC Financial Publishing Inc. v. BondDesk Group LLC, et al.</w:t>
      </w:r>
      <w:r>
        <w:rPr>
          <w:rFonts w:ascii="Arial" w:cs="Arial" w:eastAsia="Arial" w:hAnsi="Arial"/>
          <w:sz w:val="17"/>
          <w:szCs w:val="17"/>
          <w:color w:val="auto"/>
        </w:rPr>
        <w:t xml:space="preserve"> Claims were asserted against Tradeweb and against Fidelity Global Brokerage Group, Inc., Fidelity Brokerage Services, LLC, and National Financial Services, LLC (collectively, “Fidelity”) relating to the distribution of IDC’s financial strength ratings over Tradeweb’s trading platform to Fidelity, its registered investment advisors and Fidelity’s correspondent banks. Following extensive pre-trial proceedings that resulted in certain of IDC’s claims being dismissed by the court, the parties entered into a settlement agreement in which all remaining claims and counterclaims in the lawsuit were settled without any material impact to our financial condition or results of operations, and the matter has been dismissed with prejudice.</w:t>
      </w:r>
    </w:p>
    <w:p>
      <w:pPr>
        <w:spacing w:after="0" w:line="17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Preliminary Results for Three Months Ended March 31, 2020</w:t>
      </w:r>
    </w:p>
    <w:p>
      <w:pPr>
        <w:spacing w:after="0" w:line="104" w:lineRule="exact"/>
        <w:rPr>
          <w:sz w:val="20"/>
          <w:szCs w:val="20"/>
          <w:color w:val="auto"/>
        </w:rPr>
      </w:pPr>
    </w:p>
    <w:p>
      <w:pPr>
        <w:ind w:left="1280" w:right="659" w:firstLine="360"/>
        <w:spacing w:after="0" w:line="268" w:lineRule="auto"/>
        <w:rPr>
          <w:sz w:val="20"/>
          <w:szCs w:val="20"/>
          <w:color w:val="auto"/>
        </w:rPr>
      </w:pPr>
      <w:r>
        <w:rPr>
          <w:rFonts w:ascii="Arial" w:cs="Arial" w:eastAsia="Arial" w:hAnsi="Arial"/>
          <w:sz w:val="17"/>
          <w:szCs w:val="17"/>
          <w:color w:val="auto"/>
        </w:rPr>
        <w:t>Our preliminary estimated unaudited financial results for the three months ended March 31, 2020 are set forth below. Our estimates of results are based solely on information available to us as of the date of this prospectus and are inherently uncertain and subject to change due to a variety of business, economic and competitive risks and uncertainties, many of which are not within our control, and we undertake no obligation to update this information. Actual results remain subject to the completion of management’s final reviews and our other financial closing procedures, as well as the completion of our auditor’s review of our unaudited consolidated financial statements, as described below. Our actual unaudited consolidated financial statements and related notes as of and for the three months ended March 31, 2020 are not expected to be filed with the SEC until after this offering is completed. During the course of the preparation of our actual unaudited consolidated financial statements and related notes, additional items that would require material adjustments to the preliminary estimated unaudited financial results presented below may be identified. See “Management’s Discussion and Analysis of Financial Condition and Results of Operations — Critical Accounting Policies and Estimates — Use of Estimates” in the 2019 Form 10-K, incorporated by reference in this prospectus, and “Risk Factors — Risks Relating to Our Business and Our Industry” and “Cautionary Note Regarding Forward-Looking Statements” included elsewhere in this prospectus.</w:t>
      </w:r>
    </w:p>
    <w:p>
      <w:pPr>
        <w:spacing w:after="0" w:line="74" w:lineRule="exact"/>
        <w:rPr>
          <w:sz w:val="20"/>
          <w:szCs w:val="20"/>
          <w:color w:val="auto"/>
        </w:rPr>
      </w:pPr>
    </w:p>
    <w:p>
      <w:pPr>
        <w:ind w:left="1280" w:right="679" w:firstLine="360"/>
        <w:spacing w:after="0" w:line="271" w:lineRule="auto"/>
        <w:rPr>
          <w:sz w:val="20"/>
          <w:szCs w:val="20"/>
          <w:color w:val="auto"/>
        </w:rPr>
      </w:pPr>
      <w:r>
        <w:rPr>
          <w:rFonts w:ascii="Arial" w:cs="Arial" w:eastAsia="Arial" w:hAnsi="Arial"/>
          <w:sz w:val="17"/>
          <w:szCs w:val="17"/>
          <w:color w:val="auto"/>
        </w:rPr>
        <w:t>The preliminary financial data included in this prospectus have been prepared by and are the responsibility of our management. Our auditor, Deloitte &amp; Touche LLP, has not audited, reviewed, compiled or performed any procedures with respect to the preliminary financial data. Accordingly, Deloitte &amp; Touche LLP does not express an opinion or any other form of assurance with respect thereto. These estimates are not a comprehensive statement of our financial results as of and for the three months ended March 31, 2020, and should not be viewed as a substitute for full financial statements prepared in accordance with GAAP. In addition, these preliminary estimates for the three months ended March 31, 2020 are not necessarily indicative of the results that may be achieved for a full fiscal year or any future periods.</w:t>
      </w:r>
    </w:p>
    <w:p>
      <w:pPr>
        <w:spacing w:after="0" w:line="70" w:lineRule="exact"/>
        <w:rPr>
          <w:sz w:val="20"/>
          <w:szCs w:val="20"/>
          <w:color w:val="auto"/>
        </w:rPr>
      </w:pPr>
    </w:p>
    <w:p>
      <w:pPr>
        <w:ind w:left="1280" w:right="679" w:firstLine="360"/>
        <w:spacing w:after="0" w:line="254" w:lineRule="auto"/>
        <w:rPr>
          <w:sz w:val="20"/>
          <w:szCs w:val="20"/>
          <w:color w:val="auto"/>
        </w:rPr>
      </w:pPr>
      <w:r>
        <w:rPr>
          <w:rFonts w:ascii="Arial" w:cs="Arial" w:eastAsia="Arial" w:hAnsi="Arial"/>
          <w:sz w:val="18"/>
          <w:szCs w:val="18"/>
          <w:color w:val="auto"/>
        </w:rPr>
        <w:t>The table set forth below presents estimates for our expected gross revenue, total expenses, net income, net income attributable to Tradeweb Markets Inc., diluted earnings per share, Adjusted EBITDA, Adjusted EBITDA margin, Adjusted EBIT, Adjusted EBIT margin, Adjusted Net Income and Adjusted Diluted EPS for the three months ended March 31, 2020. As noted above, each of the line items presented below represents our preliminary estimated unaudited financial results which remain subject to the completion of management’s final reviews and our other financial closing procedures, as well as the completion of our auditor’s review of our unaudited consolidated financial statements for the three months ended March 31, 2020.</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71"/>
              <w:spacing w:after="0"/>
              <w:rPr>
                <w:sz w:val="20"/>
                <w:szCs w:val="20"/>
                <w:color w:val="auto"/>
              </w:rPr>
            </w:pPr>
            <w:r>
              <w:rPr>
                <w:rFonts w:ascii="Arial" w:cs="Arial" w:eastAsia="Arial" w:hAnsi="Arial"/>
                <w:sz w:val="14"/>
                <w:szCs w:val="14"/>
                <w:b w:val="1"/>
                <w:bCs w:val="1"/>
                <w:color w:val="auto"/>
                <w:w w:val="98"/>
              </w:rPr>
              <w:t>Three Months</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Three Months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center"/>
              <w:ind w:right="471"/>
              <w:spacing w:after="0"/>
              <w:rPr>
                <w:sz w:val="20"/>
                <w:szCs w:val="20"/>
                <w:color w:val="auto"/>
              </w:rPr>
            </w:pPr>
            <w:r>
              <w:rPr>
                <w:rFonts w:ascii="Arial" w:cs="Arial" w:eastAsia="Arial" w:hAnsi="Arial"/>
                <w:sz w:val="14"/>
                <w:szCs w:val="14"/>
                <w:b w:val="1"/>
                <w:bCs w:val="1"/>
                <w:color w:val="auto"/>
                <w:w w:val="98"/>
              </w:rPr>
              <w:t>Ended</w:t>
            </w:r>
          </w:p>
        </w:tc>
        <w:tc>
          <w:tcPr>
            <w:tcW w:w="500" w:type="dxa"/>
            <w:vAlign w:val="bottom"/>
          </w:tcPr>
          <w:p>
            <w:pPr>
              <w:spacing w:after="0"/>
              <w:rPr>
                <w:sz w:val="14"/>
                <w:szCs w:val="14"/>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51"/>
              <w:spacing w:after="0"/>
              <w:rPr>
                <w:sz w:val="20"/>
                <w:szCs w:val="20"/>
                <w:color w:val="auto"/>
              </w:rPr>
            </w:pPr>
            <w:r>
              <w:rPr>
                <w:rFonts w:ascii="Arial" w:cs="Arial" w:eastAsia="Arial" w:hAnsi="Arial"/>
                <w:sz w:val="14"/>
                <w:szCs w:val="14"/>
                <w:b w:val="1"/>
                <w:bCs w:val="1"/>
                <w:color w:val="auto"/>
              </w:rPr>
              <w:t>March 31, 2020</w:t>
            </w:r>
          </w:p>
        </w:tc>
        <w:tc>
          <w:tcPr>
            <w:tcW w:w="15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March 31, 2019</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 Change</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26"/>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100" w:type="dxa"/>
            <w:vAlign w:val="bottom"/>
            <w:gridSpan w:val="6"/>
          </w:tcPr>
          <w:p>
            <w:pPr>
              <w:ind w:left="120"/>
              <w:spacing w:after="0"/>
              <w:rPr>
                <w:sz w:val="20"/>
                <w:szCs w:val="20"/>
                <w:color w:val="auto"/>
              </w:rPr>
            </w:pPr>
            <w:r>
              <w:rPr>
                <w:rFonts w:ascii="Arial" w:cs="Arial" w:eastAsia="Arial" w:hAnsi="Arial"/>
                <w:sz w:val="14"/>
                <w:szCs w:val="14"/>
                <w:b w:val="1"/>
                <w:bCs w:val="1"/>
                <w:color w:val="auto"/>
                <w:w w:val="99"/>
              </w:rPr>
              <w:t>(dollars in thousands, except per share data)</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63"/>
        </w:trPr>
        <w:tc>
          <w:tcPr>
            <w:tcW w:w="20" w:type="dxa"/>
            <w:vAlign w:val="bottom"/>
          </w:tcPr>
          <w:p>
            <w:pPr>
              <w:spacing w:after="0"/>
              <w:rPr>
                <w:sz w:val="22"/>
                <w:szCs w:val="22"/>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Rates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1"/>
              <w:spacing w:after="0"/>
              <w:rPr>
                <w:sz w:val="20"/>
                <w:szCs w:val="20"/>
                <w:color w:val="auto"/>
              </w:rPr>
            </w:pPr>
            <w:r>
              <w:rPr>
                <w:rFonts w:ascii="Arial" w:cs="Arial" w:eastAsia="Arial" w:hAnsi="Arial"/>
                <w:sz w:val="18"/>
                <w:szCs w:val="18"/>
                <w:color w:val="auto"/>
                <w:w w:val="92"/>
              </w:rPr>
              <w:t>126,039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1"/>
              <w:spacing w:after="0"/>
              <w:rPr>
                <w:sz w:val="20"/>
                <w:szCs w:val="20"/>
                <w:color w:val="auto"/>
              </w:rPr>
            </w:pPr>
            <w:r>
              <w:rPr>
                <w:rFonts w:ascii="Arial" w:cs="Arial" w:eastAsia="Arial" w:hAnsi="Arial"/>
                <w:sz w:val="18"/>
                <w:szCs w:val="18"/>
                <w:color w:val="auto"/>
                <w:w w:val="92"/>
              </w:rPr>
              <w:t>104,090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21,949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21.1%</w:t>
            </w: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Credit</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53,978</w:t>
            </w: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39,435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14,543</w:t>
            </w:r>
          </w:p>
        </w:tc>
        <w:tc>
          <w:tcPr>
            <w:tcW w:w="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36.9</w:t>
            </w:r>
          </w:p>
        </w:tc>
      </w:tr>
      <w:tr>
        <w:trPr>
          <w:trHeight w:val="257"/>
        </w:trPr>
        <w:tc>
          <w:tcPr>
            <w:tcW w:w="20" w:type="dxa"/>
            <w:vAlign w:val="bottom"/>
          </w:tcPr>
          <w:p>
            <w:pPr>
              <w:spacing w:after="0"/>
              <w:rPr>
                <w:sz w:val="22"/>
                <w:szCs w:val="22"/>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Equities</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311"/>
              <w:spacing w:after="0"/>
              <w:rPr>
                <w:sz w:val="20"/>
                <w:szCs w:val="20"/>
                <w:color w:val="auto"/>
              </w:rPr>
            </w:pPr>
            <w:r>
              <w:rPr>
                <w:rFonts w:ascii="Arial" w:cs="Arial" w:eastAsia="Arial" w:hAnsi="Arial"/>
                <w:sz w:val="18"/>
                <w:szCs w:val="18"/>
                <w:color w:val="auto"/>
              </w:rPr>
              <w:t>19,434</w:t>
            </w:r>
          </w:p>
        </w:tc>
        <w:tc>
          <w:tcPr>
            <w:tcW w:w="500" w:type="dxa"/>
            <w:vAlign w:val="bottom"/>
          </w:tcPr>
          <w:p>
            <w:pPr>
              <w:spacing w:after="0"/>
              <w:rPr>
                <w:sz w:val="22"/>
                <w:szCs w:val="22"/>
                <w:color w:val="auto"/>
              </w:rPr>
            </w:pP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11,798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7,636</w:t>
            </w: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rPr>
              <w:t>64.7</w:t>
            </w: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Money Markets</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11,208</w:t>
            </w: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9,562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17.2</w:t>
            </w:r>
          </w:p>
        </w:tc>
      </w:tr>
      <w:tr>
        <w:trPr>
          <w:trHeight w:val="257"/>
        </w:trPr>
        <w:tc>
          <w:tcPr>
            <w:tcW w:w="20" w:type="dxa"/>
            <w:vAlign w:val="bottom"/>
          </w:tcPr>
          <w:p>
            <w:pPr>
              <w:spacing w:after="0"/>
              <w:rPr>
                <w:sz w:val="22"/>
                <w:szCs w:val="22"/>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Market Data</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311"/>
              <w:spacing w:after="0"/>
              <w:rPr>
                <w:sz w:val="20"/>
                <w:szCs w:val="20"/>
                <w:color w:val="auto"/>
              </w:rPr>
            </w:pPr>
            <w:r>
              <w:rPr>
                <w:rFonts w:ascii="Arial" w:cs="Arial" w:eastAsia="Arial" w:hAnsi="Arial"/>
                <w:sz w:val="18"/>
                <w:szCs w:val="18"/>
                <w:color w:val="auto"/>
              </w:rPr>
              <w:t>18,562</w:t>
            </w:r>
          </w:p>
        </w:tc>
        <w:tc>
          <w:tcPr>
            <w:tcW w:w="500" w:type="dxa"/>
            <w:vAlign w:val="bottom"/>
          </w:tcPr>
          <w:p>
            <w:pPr>
              <w:spacing w:after="0"/>
              <w:rPr>
                <w:sz w:val="22"/>
                <w:szCs w:val="22"/>
                <w:color w:val="auto"/>
              </w:rPr>
            </w:pP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16,903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1,659</w:t>
            </w: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rPr>
              <w:t>9.8</w:t>
            </w: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5,385</w:t>
            </w: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5,004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7.6</w:t>
            </w:r>
          </w:p>
        </w:tc>
      </w:tr>
      <w:tr>
        <w:trPr>
          <w:trHeight w:val="257"/>
        </w:trPr>
        <w:tc>
          <w:tcPr>
            <w:tcW w:w="3560" w:type="dxa"/>
            <w:vAlign w:val="bottom"/>
            <w:gridSpan w:val="3"/>
          </w:tcPr>
          <w:p>
            <w:pPr>
              <w:spacing w:after="0"/>
              <w:rPr>
                <w:sz w:val="20"/>
                <w:szCs w:val="20"/>
                <w:color w:val="auto"/>
              </w:rPr>
            </w:pPr>
            <w:r>
              <w:rPr>
                <w:rFonts w:ascii="Arial" w:cs="Arial" w:eastAsia="Arial" w:hAnsi="Arial"/>
                <w:sz w:val="18"/>
                <w:szCs w:val="18"/>
                <w:color w:val="auto"/>
              </w:rPr>
              <w:t>Gross Revenue</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311"/>
              <w:spacing w:after="0"/>
              <w:rPr>
                <w:sz w:val="20"/>
                <w:szCs w:val="20"/>
                <w:color w:val="auto"/>
              </w:rPr>
            </w:pPr>
            <w:r>
              <w:rPr>
                <w:rFonts w:ascii="Arial" w:cs="Arial" w:eastAsia="Arial" w:hAnsi="Arial"/>
                <w:sz w:val="18"/>
                <w:szCs w:val="18"/>
                <w:color w:val="auto"/>
                <w:w w:val="92"/>
              </w:rPr>
              <w:t>234,606</w:t>
            </w:r>
          </w:p>
        </w:tc>
        <w:tc>
          <w:tcPr>
            <w:tcW w:w="500" w:type="dxa"/>
            <w:vAlign w:val="bottom"/>
          </w:tcPr>
          <w:p>
            <w:pPr>
              <w:spacing w:after="0"/>
              <w:rPr>
                <w:sz w:val="22"/>
                <w:szCs w:val="22"/>
                <w:color w:val="auto"/>
              </w:rPr>
            </w:pPr>
          </w:p>
        </w:tc>
        <w:tc>
          <w:tcPr>
            <w:tcW w:w="940" w:type="dxa"/>
            <w:vAlign w:val="bottom"/>
          </w:tcPr>
          <w:p>
            <w:pPr>
              <w:jc w:val="right"/>
              <w:ind w:right="231"/>
              <w:spacing w:after="0"/>
              <w:rPr>
                <w:sz w:val="20"/>
                <w:szCs w:val="20"/>
                <w:color w:val="auto"/>
              </w:rPr>
            </w:pPr>
            <w:r>
              <w:rPr>
                <w:rFonts w:ascii="Arial" w:cs="Arial" w:eastAsia="Arial" w:hAnsi="Arial"/>
                <w:sz w:val="18"/>
                <w:szCs w:val="18"/>
                <w:color w:val="auto"/>
                <w:w w:val="92"/>
              </w:rPr>
              <w:t>186,792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47,814</w:t>
            </w: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rPr>
              <w:t>25.6</w:t>
            </w: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92"/>
              </w:rPr>
              <w:t>156,991</w:t>
            </w: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2"/>
              </w:rPr>
              <w:t>140,515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16,476</w:t>
            </w:r>
          </w:p>
        </w:tc>
        <w:tc>
          <w:tcPr>
            <w:tcW w:w="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11.7</w:t>
            </w:r>
          </w:p>
        </w:tc>
      </w:tr>
      <w:tr>
        <w:trPr>
          <w:trHeight w:val="257"/>
        </w:trPr>
        <w:tc>
          <w:tcPr>
            <w:tcW w:w="35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311"/>
              <w:spacing w:after="0"/>
              <w:rPr>
                <w:sz w:val="20"/>
                <w:szCs w:val="20"/>
                <w:color w:val="auto"/>
              </w:rPr>
            </w:pPr>
            <w:r>
              <w:rPr>
                <w:rFonts w:ascii="Arial" w:cs="Arial" w:eastAsia="Arial" w:hAnsi="Arial"/>
                <w:sz w:val="18"/>
                <w:szCs w:val="18"/>
                <w:color w:val="auto"/>
              </w:rPr>
              <w:t>62,485</w:t>
            </w:r>
          </w:p>
        </w:tc>
        <w:tc>
          <w:tcPr>
            <w:tcW w:w="500" w:type="dxa"/>
            <w:vAlign w:val="bottom"/>
          </w:tcPr>
          <w:p>
            <w:pPr>
              <w:spacing w:after="0"/>
              <w:rPr>
                <w:sz w:val="22"/>
                <w:szCs w:val="22"/>
                <w:color w:val="auto"/>
              </w:rPr>
            </w:pP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42,352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20,133</w:t>
            </w: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rPr>
              <w:t>47.5</w:t>
            </w:r>
          </w:p>
        </w:tc>
      </w:tr>
      <w:tr>
        <w:trPr>
          <w:trHeight w:val="242"/>
        </w:trPr>
        <w:tc>
          <w:tcPr>
            <w:tcW w:w="20" w:type="dxa"/>
            <w:vAlign w:val="bottom"/>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Net income attributable to Tradeweb Markets</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43,928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83"/>
        </w:trPr>
        <w:tc>
          <w:tcPr>
            <w:tcW w:w="3560" w:type="dxa"/>
            <w:vAlign w:val="bottom"/>
            <w:gridSpan w:val="3"/>
          </w:tcPr>
          <w:p>
            <w:pPr>
              <w:spacing w:after="0" w:line="283" w:lineRule="exact"/>
              <w:rPr>
                <w:sz w:val="20"/>
                <w:szCs w:val="20"/>
                <w:color w:val="auto"/>
              </w:rPr>
            </w:pPr>
            <w:r>
              <w:rPr>
                <w:rFonts w:ascii="Arial" w:cs="Arial" w:eastAsia="Arial" w:hAnsi="Arial"/>
                <w:sz w:val="18"/>
                <w:szCs w:val="18"/>
                <w:color w:val="auto"/>
              </w:rPr>
              <w:t>Diluted earnings per share</w:t>
            </w:r>
            <w:r>
              <w:rPr>
                <w:rFonts w:ascii="Arial" w:cs="Arial" w:eastAsia="Arial" w:hAnsi="Arial"/>
                <w:sz w:val="26"/>
                <w:szCs w:val="26"/>
                <w:color w:val="auto"/>
                <w:vertAlign w:val="superscript"/>
              </w:rPr>
              <w:t>(1)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1"/>
              <w:spacing w:after="0" w:line="283" w:lineRule="exact"/>
              <w:rPr>
                <w:sz w:val="20"/>
                <w:szCs w:val="20"/>
                <w:color w:val="auto"/>
              </w:rPr>
            </w:pPr>
            <w:r>
              <w:rPr>
                <w:rFonts w:ascii="Arial" w:cs="Arial" w:eastAsia="Arial" w:hAnsi="Arial"/>
                <w:sz w:val="18"/>
                <w:szCs w:val="18"/>
                <w:color w:val="auto"/>
              </w:rPr>
              <w:t>0.25</w:t>
            </w:r>
            <w:r>
              <w:rPr>
                <w:rFonts w:ascii="Arial" w:cs="Arial" w:eastAsia="Arial" w:hAnsi="Arial"/>
                <w:sz w:val="26"/>
                <w:szCs w:val="26"/>
                <w:color w:val="auto"/>
                <w:vertAlign w:val="superscript"/>
              </w:rPr>
              <w:t>(a)</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00"/>
              <w:spacing w:after="0" w:line="283" w:lineRule="exact"/>
              <w:rPr>
                <w:sz w:val="20"/>
                <w:szCs w:val="20"/>
                <w:color w:val="auto"/>
              </w:rPr>
            </w:pPr>
            <w:r>
              <w:rPr>
                <w:rFonts w:ascii="Arial" w:cs="Arial" w:eastAsia="Arial" w:hAnsi="Arial"/>
                <w:sz w:val="18"/>
                <w:szCs w:val="18"/>
                <w:color w:val="auto"/>
              </w:rPr>
              <w:t>0.19</w:t>
            </w:r>
            <w:r>
              <w:rPr>
                <w:rFonts w:ascii="Arial" w:cs="Arial" w:eastAsia="Arial" w:hAnsi="Arial"/>
                <w:sz w:val="26"/>
                <w:szCs w:val="26"/>
                <w:color w:val="auto"/>
                <w:vertAlign w:val="superscript"/>
              </w:rPr>
              <w:t>(b)</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31.6%</w:t>
            </w:r>
          </w:p>
        </w:tc>
      </w:tr>
      <w:tr>
        <w:trPr>
          <w:trHeight w:val="270"/>
        </w:trPr>
        <w:tc>
          <w:tcPr>
            <w:tcW w:w="20" w:type="dxa"/>
            <w:vAlign w:val="bottom"/>
          </w:tcPr>
          <w:p>
            <w:pPr>
              <w:spacing w:after="0"/>
              <w:rPr>
                <w:sz w:val="23"/>
                <w:szCs w:val="23"/>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Non-GAAP Financial Measures</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83"/>
        </w:trPr>
        <w:tc>
          <w:tcPr>
            <w:tcW w:w="20" w:type="dxa"/>
            <w:vAlign w:val="bottom"/>
          </w:tcPr>
          <w:p>
            <w:pPr>
              <w:spacing w:after="0"/>
              <w:rPr>
                <w:sz w:val="24"/>
                <w:szCs w:val="24"/>
                <w:color w:val="auto"/>
              </w:rPr>
            </w:pPr>
          </w:p>
        </w:tc>
        <w:tc>
          <w:tcPr>
            <w:tcW w:w="3540" w:type="dxa"/>
            <w:vAlign w:val="bottom"/>
            <w:gridSpan w:val="2"/>
          </w:tcPr>
          <w:p>
            <w:pPr>
              <w:ind w:left="160"/>
              <w:spacing w:after="0" w:line="283" w:lineRule="exact"/>
              <w:rPr>
                <w:sz w:val="20"/>
                <w:szCs w:val="20"/>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1"/>
              <w:spacing w:after="0"/>
              <w:rPr>
                <w:sz w:val="20"/>
                <w:szCs w:val="20"/>
                <w:color w:val="auto"/>
              </w:rPr>
            </w:pPr>
            <w:r>
              <w:rPr>
                <w:rFonts w:ascii="Arial" w:cs="Arial" w:eastAsia="Arial" w:hAnsi="Arial"/>
                <w:sz w:val="18"/>
                <w:szCs w:val="18"/>
                <w:color w:val="auto"/>
                <w:w w:val="92"/>
              </w:rPr>
              <w:t>119,650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80,347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39,303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48.9%</w:t>
            </w:r>
          </w:p>
        </w:tc>
      </w:tr>
      <w:tr>
        <w:trPr>
          <w:trHeight w:val="283"/>
        </w:trPr>
        <w:tc>
          <w:tcPr>
            <w:tcW w:w="20" w:type="dxa"/>
            <w:vAlign w:val="bottom"/>
          </w:tcPr>
          <w:p>
            <w:pPr>
              <w:spacing w:after="0"/>
              <w:rPr>
                <w:sz w:val="24"/>
                <w:szCs w:val="24"/>
                <w:color w:val="auto"/>
              </w:rPr>
            </w:pPr>
          </w:p>
        </w:tc>
        <w:tc>
          <w:tcPr>
            <w:tcW w:w="3540" w:type="dxa"/>
            <w:vAlign w:val="bottom"/>
            <w:gridSpan w:val="2"/>
            <w:shd w:val="clear" w:color="auto" w:fill="CCEEFF"/>
          </w:tcPr>
          <w:p>
            <w:pPr>
              <w:ind w:left="160"/>
              <w:spacing w:after="0" w:line="283"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6"/>
                <w:szCs w:val="26"/>
                <w:color w:val="auto"/>
                <w:vertAlign w:val="superscript"/>
              </w:rPr>
              <w:t>(2)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51.0%</w:t>
            </w: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+799bps</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3540" w:type="dxa"/>
            <w:vAlign w:val="bottom"/>
            <w:gridSpan w:val="2"/>
          </w:tcPr>
          <w:p>
            <w:pPr>
              <w:ind w:left="160"/>
              <w:spacing w:after="0" w:line="283" w:lineRule="exact"/>
              <w:rPr>
                <w:sz w:val="20"/>
                <w:szCs w:val="20"/>
                <w:color w:val="auto"/>
              </w:rPr>
            </w:pPr>
            <w:r>
              <w:rPr>
                <w:rFonts w:ascii="Arial" w:cs="Arial" w:eastAsia="Arial" w:hAnsi="Arial"/>
                <w:sz w:val="18"/>
                <w:szCs w:val="18"/>
                <w:color w:val="auto"/>
              </w:rPr>
              <w:t>Adjusted EBIT</w:t>
            </w:r>
            <w:r>
              <w:rPr>
                <w:rFonts w:ascii="Arial" w:cs="Arial" w:eastAsia="Arial" w:hAnsi="Arial"/>
                <w:sz w:val="26"/>
                <w:szCs w:val="26"/>
                <w:color w:val="auto"/>
                <w:vertAlign w:val="superscript"/>
              </w:rPr>
              <w:t>(2)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1"/>
              <w:spacing w:after="0"/>
              <w:rPr>
                <w:sz w:val="20"/>
                <w:szCs w:val="20"/>
                <w:color w:val="auto"/>
              </w:rPr>
            </w:pPr>
            <w:r>
              <w:rPr>
                <w:rFonts w:ascii="Arial" w:cs="Arial" w:eastAsia="Arial" w:hAnsi="Arial"/>
                <w:sz w:val="18"/>
                <w:szCs w:val="18"/>
                <w:color w:val="auto"/>
                <w:w w:val="92"/>
              </w:rPr>
              <w:t>108,747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70,053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38,694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55.2%</w:t>
            </w:r>
          </w:p>
        </w:tc>
      </w:tr>
      <w:tr>
        <w:trPr>
          <w:trHeight w:val="283"/>
        </w:trPr>
        <w:tc>
          <w:tcPr>
            <w:tcW w:w="20" w:type="dxa"/>
            <w:vAlign w:val="bottom"/>
          </w:tcPr>
          <w:p>
            <w:pPr>
              <w:spacing w:after="0"/>
              <w:rPr>
                <w:sz w:val="24"/>
                <w:szCs w:val="24"/>
                <w:color w:val="auto"/>
              </w:rPr>
            </w:pPr>
          </w:p>
        </w:tc>
        <w:tc>
          <w:tcPr>
            <w:tcW w:w="3540" w:type="dxa"/>
            <w:vAlign w:val="bottom"/>
            <w:gridSpan w:val="2"/>
            <w:shd w:val="clear" w:color="auto" w:fill="CCEEFF"/>
          </w:tcPr>
          <w:p>
            <w:pPr>
              <w:ind w:left="160"/>
              <w:spacing w:after="0" w:line="283" w:lineRule="exact"/>
              <w:rPr>
                <w:sz w:val="20"/>
                <w:szCs w:val="20"/>
                <w:color w:val="auto"/>
              </w:rPr>
            </w:pPr>
            <w:r>
              <w:rPr>
                <w:rFonts w:ascii="Arial" w:cs="Arial" w:eastAsia="Arial" w:hAnsi="Arial"/>
                <w:sz w:val="18"/>
                <w:szCs w:val="18"/>
                <w:color w:val="auto"/>
              </w:rPr>
              <w:t>Adjusted EBIT margin</w:t>
            </w:r>
            <w:r>
              <w:rPr>
                <w:rFonts w:ascii="Arial" w:cs="Arial" w:eastAsia="Arial" w:hAnsi="Arial"/>
                <w:sz w:val="26"/>
                <w:szCs w:val="26"/>
                <w:color w:val="auto"/>
                <w:vertAlign w:val="superscript"/>
              </w:rPr>
              <w:t>(2)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46.4%</w:t>
            </w: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+885bps</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3540" w:type="dxa"/>
            <w:vAlign w:val="bottom"/>
            <w:gridSpan w:val="2"/>
          </w:tcPr>
          <w:p>
            <w:pPr>
              <w:ind w:left="160"/>
              <w:spacing w:after="0" w:line="283"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6"/>
                <w:szCs w:val="26"/>
                <w:color w:val="auto"/>
                <w:vertAlign w:val="superscript"/>
              </w:rPr>
              <w:t>(2)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1"/>
              <w:spacing w:after="0"/>
              <w:rPr>
                <w:sz w:val="20"/>
                <w:szCs w:val="20"/>
                <w:color w:val="auto"/>
              </w:rPr>
            </w:pPr>
            <w:r>
              <w:rPr>
                <w:rFonts w:ascii="Arial" w:cs="Arial" w:eastAsia="Arial" w:hAnsi="Arial"/>
                <w:sz w:val="18"/>
                <w:szCs w:val="18"/>
                <w:color w:val="auto"/>
              </w:rPr>
              <w:t>85,368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52,190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33,178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63.6%</w:t>
            </w:r>
          </w:p>
        </w:tc>
      </w:tr>
      <w:tr>
        <w:trPr>
          <w:trHeight w:val="283"/>
        </w:trPr>
        <w:tc>
          <w:tcPr>
            <w:tcW w:w="20" w:type="dxa"/>
            <w:vAlign w:val="bottom"/>
          </w:tcPr>
          <w:p>
            <w:pPr>
              <w:spacing w:after="0"/>
              <w:rPr>
                <w:sz w:val="24"/>
                <w:szCs w:val="24"/>
                <w:color w:val="auto"/>
              </w:rPr>
            </w:pPr>
          </w:p>
        </w:tc>
        <w:tc>
          <w:tcPr>
            <w:tcW w:w="3540" w:type="dxa"/>
            <w:vAlign w:val="bottom"/>
            <w:gridSpan w:val="2"/>
            <w:shd w:val="clear" w:color="auto" w:fill="CCEEFF"/>
          </w:tcPr>
          <w:p>
            <w:pPr>
              <w:ind w:left="160"/>
              <w:spacing w:after="0" w:line="283" w:lineRule="exact"/>
              <w:rPr>
                <w:sz w:val="20"/>
                <w:szCs w:val="20"/>
                <w:color w:val="auto"/>
              </w:rPr>
            </w:pPr>
            <w:r>
              <w:rPr>
                <w:rFonts w:ascii="Arial" w:cs="Arial" w:eastAsia="Arial" w:hAnsi="Arial"/>
                <w:sz w:val="18"/>
                <w:szCs w:val="18"/>
                <w:color w:val="auto"/>
              </w:rPr>
              <w:t>Adjusted Diluted EPS</w:t>
            </w:r>
            <w:r>
              <w:rPr>
                <w:rFonts w:ascii="Arial" w:cs="Arial" w:eastAsia="Arial" w:hAnsi="Arial"/>
                <w:sz w:val="26"/>
                <w:szCs w:val="26"/>
                <w:color w:val="auto"/>
                <w:vertAlign w:val="superscript"/>
              </w:rPr>
              <w:t>(1)(2)(3)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1"/>
              <w:spacing w:after="0" w:line="283" w:lineRule="exact"/>
              <w:rPr>
                <w:sz w:val="20"/>
                <w:szCs w:val="20"/>
                <w:color w:val="auto"/>
              </w:rPr>
            </w:pPr>
            <w:r>
              <w:rPr>
                <w:rFonts w:ascii="Arial" w:cs="Arial" w:eastAsia="Arial" w:hAnsi="Arial"/>
                <w:sz w:val="18"/>
                <w:szCs w:val="18"/>
                <w:color w:val="auto"/>
              </w:rPr>
              <w:t>0.37</w:t>
            </w:r>
            <w:r>
              <w:rPr>
                <w:rFonts w:ascii="Arial" w:cs="Arial" w:eastAsia="Arial" w:hAnsi="Arial"/>
                <w:sz w:val="26"/>
                <w:szCs w:val="26"/>
                <w:color w:val="auto"/>
                <w:vertAlign w:val="superscript"/>
              </w:rPr>
              <w:t>(a)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00"/>
              <w:spacing w:after="0" w:line="283" w:lineRule="exact"/>
              <w:rPr>
                <w:sz w:val="20"/>
                <w:szCs w:val="20"/>
                <w:color w:val="auto"/>
              </w:rPr>
            </w:pPr>
            <w:r>
              <w:rPr>
                <w:rFonts w:ascii="Arial" w:cs="Arial" w:eastAsia="Arial" w:hAnsi="Arial"/>
                <w:sz w:val="18"/>
                <w:szCs w:val="18"/>
                <w:color w:val="auto"/>
              </w:rPr>
              <w:t>0.23</w:t>
            </w:r>
            <w:r>
              <w:rPr>
                <w:rFonts w:ascii="Arial" w:cs="Arial" w:eastAsia="Arial" w:hAnsi="Arial"/>
                <w:sz w:val="26"/>
                <w:szCs w:val="26"/>
                <w:color w:val="auto"/>
                <w:vertAlign w:val="superscript"/>
              </w:rPr>
              <w:t>(b)</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w:t>
            </w:r>
          </w:p>
        </w:tc>
      </w:tr>
      <w:tr>
        <w:trPr>
          <w:trHeight w:val="243"/>
        </w:trPr>
        <w:tc>
          <w:tcPr>
            <w:tcW w:w="20" w:type="dxa"/>
            <w:vAlign w:val="bottom"/>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175" w:lineRule="exact"/>
        <w:rPr>
          <w:sz w:val="20"/>
          <w:szCs w:val="20"/>
          <w:color w:val="auto"/>
        </w:rPr>
      </w:pPr>
    </w:p>
    <w:p>
      <w:pPr>
        <w:ind w:left="1640" w:right="859" w:hanging="354"/>
        <w:spacing w:after="0" w:line="308" w:lineRule="auto"/>
        <w:tabs>
          <w:tab w:leader="none" w:pos="1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a result of the Reorganization Transactions and the IPO completed in April 2019, certain earnings information is being presented separately for Tradeweb Markets LLC and Tradeweb Markets Inc.</w:t>
      </w:r>
    </w:p>
    <w:p>
      <w:pPr>
        <w:spacing w:after="0" w:line="65" w:lineRule="exact"/>
        <w:rPr>
          <w:rFonts w:ascii="Arial" w:cs="Arial" w:eastAsia="Arial" w:hAnsi="Arial"/>
          <w:sz w:val="17"/>
          <w:szCs w:val="17"/>
          <w:color w:val="auto"/>
        </w:rPr>
      </w:pPr>
    </w:p>
    <w:p>
      <w:pPr>
        <w:ind w:left="2000" w:hanging="354"/>
        <w:spacing w:after="0"/>
        <w:tabs>
          <w:tab w:leader="none" w:pos="2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Presents information for Tradeweb Markets Inc. (post-IPO period).</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Presents information for Tradeweb Markets LLC (pre-IPO period).</w:t>
      </w:r>
    </w:p>
    <w:p>
      <w:pPr>
        <w:spacing w:after="0" w:line="117" w:lineRule="exact"/>
        <w:rPr>
          <w:sz w:val="20"/>
          <w:szCs w:val="20"/>
          <w:color w:val="auto"/>
        </w:rPr>
      </w:pPr>
    </w:p>
    <w:p>
      <w:pPr>
        <w:ind w:left="1640" w:right="1179"/>
        <w:spacing w:after="0" w:line="263" w:lineRule="auto"/>
        <w:rPr>
          <w:sz w:val="20"/>
          <w:szCs w:val="20"/>
          <w:color w:val="auto"/>
        </w:rPr>
      </w:pPr>
      <w:r>
        <w:rPr>
          <w:rFonts w:ascii="Arial" w:cs="Arial" w:eastAsia="Arial" w:hAnsi="Arial"/>
          <w:sz w:val="18"/>
          <w:szCs w:val="18"/>
          <w:color w:val="auto"/>
        </w:rPr>
        <w:t>See “Basis of Presentation” elsewhere herein and “Note 18 — Earnings Per Share” to the audited consolidated financial statements of Tradeweb Markets Inc. appearing in the 2019 Form 10-K, incorporated by reference in this prospectus.</w:t>
      </w:r>
    </w:p>
    <w:p>
      <w:pPr>
        <w:spacing w:after="0" w:line="116" w:lineRule="exact"/>
        <w:rPr>
          <w:sz w:val="20"/>
          <w:szCs w:val="20"/>
          <w:color w:val="auto"/>
        </w:rPr>
      </w:pPr>
    </w:p>
    <w:p>
      <w:pPr>
        <w:ind w:left="1640" w:right="679" w:hanging="354"/>
        <w:spacing w:after="0" w:line="259" w:lineRule="auto"/>
        <w:tabs>
          <w:tab w:leader="none" w:pos="1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definitions of Adjusted EBITDA, Adjusted EBITDA margin, Adjusted EBIT, Adjusted EBIT margin, Adjusted Net Income and Adjusted Diluted EPS, see note 6 in “— Summary Historical and Pro Forma Consolidated Financial and Other Data.” For reconciliations to their most directly comparable financial measures presented in accordance with GAAP, see the tables below.</w:t>
      </w:r>
    </w:p>
    <w:p>
      <w:pPr>
        <w:spacing w:after="0" w:line="119" w:lineRule="exact"/>
        <w:rPr>
          <w:rFonts w:ascii="Arial" w:cs="Arial" w:eastAsia="Arial" w:hAnsi="Arial"/>
          <w:sz w:val="18"/>
          <w:szCs w:val="18"/>
          <w:color w:val="auto"/>
        </w:rPr>
      </w:pPr>
    </w:p>
    <w:p>
      <w:pPr>
        <w:ind w:left="1640" w:right="659" w:hanging="354"/>
        <w:spacing w:after="0" w:line="259" w:lineRule="auto"/>
        <w:tabs>
          <w:tab w:leader="none" w:pos="1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Diluted EPS includes certain tax related adjustments to reflect an assumed effective tax rate for all periods presented and, for the three months ended March 31, 2020, assumes all LLC Interests are exchanged for shares of Class A or Class B common stock. As a result, we believe that Adjusted Diluted EPS for Tradeweb Markets Inc. and Tradeweb Markets LLC are comparable.</w:t>
      </w:r>
    </w:p>
    <w:p>
      <w:pPr>
        <w:spacing w:after="0" w:line="79" w:lineRule="exact"/>
        <w:rPr>
          <w:sz w:val="20"/>
          <w:szCs w:val="20"/>
          <w:color w:val="auto"/>
        </w:rPr>
      </w:pPr>
    </w:p>
    <w:p>
      <w:pPr>
        <w:ind w:left="1280" w:right="679" w:firstLine="360"/>
        <w:spacing w:after="0" w:line="293" w:lineRule="auto"/>
        <w:rPr>
          <w:sz w:val="20"/>
          <w:szCs w:val="20"/>
          <w:color w:val="auto"/>
        </w:rPr>
      </w:pPr>
      <w:r>
        <w:rPr>
          <w:rFonts w:ascii="Arial" w:cs="Arial" w:eastAsia="Arial" w:hAnsi="Arial"/>
          <w:sz w:val="16"/>
          <w:szCs w:val="16"/>
          <w:color w:val="auto"/>
        </w:rPr>
        <w:t>During the three months ended March 31, 2020 as compared to the three months ended March 31, 2019, our estimated results benefited from higher revenues related to increases in rates, credit, equities and money markets trading. Our expenses increased primarily due to higher employee compensation and benefits expense, including non-cash stock-based compensation expense related to options and payroll taxes associated with the exercise of stock options. Net income for the three months ended March 31, 2020 and 2019 was $62.5 million and $42.4 million, respectively, primarily due to the impact of higher gross revenue</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99"/>
        <w:spacing w:after="0" w:line="259" w:lineRule="auto"/>
        <w:rPr>
          <w:sz w:val="20"/>
          <w:szCs w:val="20"/>
          <w:color w:val="auto"/>
        </w:rPr>
      </w:pPr>
      <w:r>
        <w:rPr>
          <w:rFonts w:ascii="Arial" w:cs="Arial" w:eastAsia="Arial" w:hAnsi="Arial"/>
          <w:sz w:val="18"/>
          <w:szCs w:val="18"/>
          <w:color w:val="auto"/>
        </w:rPr>
        <w:t>of $47.8 million, partially offset by higher employee compensation and benefits expense, including a $3.5 million increase in non-cash stock-based compensation expense related to options and associated payroll taxes. Net income attributable to Tradeweb Markets Inc. for the three months ended March 31, 2020 was $43.9 million.</w:t>
      </w:r>
    </w:p>
    <w:p>
      <w:pPr>
        <w:spacing w:after="0" w:line="79" w:lineRule="exact"/>
        <w:rPr>
          <w:sz w:val="20"/>
          <w:szCs w:val="20"/>
          <w:color w:val="auto"/>
        </w:rPr>
      </w:pPr>
    </w:p>
    <w:p>
      <w:pPr>
        <w:ind w:left="1280" w:right="719" w:firstLine="360"/>
        <w:spacing w:after="0" w:line="263" w:lineRule="auto"/>
        <w:rPr>
          <w:sz w:val="20"/>
          <w:szCs w:val="20"/>
          <w:color w:val="auto"/>
        </w:rPr>
      </w:pPr>
      <w:r>
        <w:rPr>
          <w:rFonts w:ascii="Arial" w:cs="Arial" w:eastAsia="Arial" w:hAnsi="Arial"/>
          <w:sz w:val="18"/>
          <w:szCs w:val="18"/>
          <w:color w:val="auto"/>
        </w:rPr>
        <w:t>Adjusted EBITDA, Adjusted EBITDA margin, Adjusted EBIT, Adjusted EBIT margin, Adjusted Net Income and Adjusted Diluted EPS increased for the three months ended March 31, 2020 as compared to the prior period, primarily due to gross revenue growth of 25.6%.</w:t>
      </w:r>
    </w:p>
    <w:p>
      <w:pPr>
        <w:spacing w:after="0" w:line="76" w:lineRule="exact"/>
        <w:rPr>
          <w:sz w:val="20"/>
          <w:szCs w:val="20"/>
          <w:color w:val="auto"/>
        </w:rPr>
      </w:pPr>
    </w:p>
    <w:p>
      <w:pPr>
        <w:ind w:left="1280" w:right="699" w:firstLine="360"/>
        <w:spacing w:after="0" w:line="286" w:lineRule="auto"/>
        <w:rPr>
          <w:sz w:val="20"/>
          <w:szCs w:val="20"/>
          <w:color w:val="auto"/>
        </w:rPr>
      </w:pPr>
      <w:r>
        <w:rPr>
          <w:rFonts w:ascii="Arial" w:cs="Arial" w:eastAsia="Arial" w:hAnsi="Arial"/>
          <w:sz w:val="17"/>
          <w:szCs w:val="17"/>
          <w:color w:val="auto"/>
        </w:rPr>
        <w:t>A significant percentage of our revenues are tied directly to overall trading volumes in the rates, credit, equities and money markets asset classes. The average daily volumes and total volumes on our trading platforms by asset class for the three months ended March 31, 2020 and 2019 were as follows:</w:t>
      </w:r>
    </w:p>
    <w:p>
      <w:pPr>
        <w:spacing w:after="0" w:line="76" w:lineRule="exact"/>
        <w:rPr>
          <w:sz w:val="20"/>
          <w:szCs w:val="20"/>
          <w:color w:val="auto"/>
        </w:rPr>
      </w:pPr>
    </w:p>
    <w:tbl>
      <w:tblPr>
        <w:tblLayout w:type="fixed"/>
        <w:tblInd w:w="12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March 31, 2019</w:t>
            </w:r>
          </w:p>
        </w:tc>
        <w:tc>
          <w:tcPr>
            <w:tcW w:w="22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ADV</w:t>
            </w:r>
          </w:p>
        </w:tc>
      </w:tr>
      <w:tr>
        <w:trPr>
          <w:trHeight w:val="190"/>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ADV</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137"/>
              <w:spacing w:after="0"/>
              <w:rPr>
                <w:sz w:val="20"/>
                <w:szCs w:val="20"/>
                <w:color w:val="auto"/>
              </w:rPr>
            </w:pPr>
            <w:r>
              <w:rPr>
                <w:rFonts w:ascii="Arial" w:cs="Arial" w:eastAsia="Arial" w:hAnsi="Arial"/>
                <w:sz w:val="14"/>
                <w:szCs w:val="14"/>
                <w:b w:val="1"/>
                <w:bCs w:val="1"/>
                <w:color w:val="auto"/>
              </w:rPr>
              <w:t>Volume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ADV</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33"/>
              <w:spacing w:after="0"/>
              <w:rPr>
                <w:sz w:val="20"/>
                <w:szCs w:val="20"/>
                <w:color w:val="auto"/>
              </w:rPr>
            </w:pPr>
            <w:r>
              <w:rPr>
                <w:rFonts w:ascii="Arial" w:cs="Arial" w:eastAsia="Arial" w:hAnsi="Arial"/>
                <w:sz w:val="14"/>
                <w:szCs w:val="14"/>
                <w:b w:val="1"/>
                <w:bCs w:val="1"/>
                <w:color w:val="auto"/>
              </w:rPr>
              <w:t>Volume</w:t>
            </w:r>
          </w:p>
        </w:tc>
        <w:tc>
          <w:tcPr>
            <w:tcW w:w="9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 Change</w:t>
            </w:r>
          </w:p>
        </w:tc>
      </w:tr>
      <w:tr>
        <w:trPr>
          <w:trHeight w:val="175"/>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gridSpan w:val="4"/>
          </w:tcPr>
          <w:p>
            <w:pPr>
              <w:jc w:val="right"/>
              <w:ind w:right="115"/>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Rates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590,773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36,867,838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429,226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26,357,344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18"/>
                <w:szCs w:val="18"/>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Credit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32,997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2,070,811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16,386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1,010,037</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101.4%</w:t>
            </w:r>
          </w:p>
        </w:tc>
      </w:tr>
      <w:tr>
        <w:trPr>
          <w:trHeight w:val="216"/>
        </w:trPr>
        <w:tc>
          <w:tcPr>
            <w:tcW w:w="20" w:type="dxa"/>
            <w:vAlign w:val="bottom"/>
          </w:tcPr>
          <w:p>
            <w:pPr>
              <w:spacing w:after="0"/>
              <w:rPr>
                <w:sz w:val="18"/>
                <w:szCs w:val="18"/>
                <w:color w:val="auto"/>
              </w:rPr>
            </w:pPr>
          </w:p>
        </w:tc>
        <w:tc>
          <w:tcPr>
            <w:tcW w:w="3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1,111,272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479,937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20" w:type="dxa"/>
            <w:vAlign w:val="bottom"/>
          </w:tcPr>
          <w:p>
            <w:pPr>
              <w:spacing w:after="0"/>
              <w:rPr>
                <w:sz w:val="18"/>
                <w:szCs w:val="18"/>
                <w:color w:val="auto"/>
              </w:rPr>
            </w:pPr>
          </w:p>
        </w:tc>
      </w:tr>
      <w:tr>
        <w:trPr>
          <w:trHeight w:val="243"/>
        </w:trPr>
        <w:tc>
          <w:tcPr>
            <w:tcW w:w="3460" w:type="dxa"/>
            <w:vAlign w:val="bottom"/>
            <w:gridSpan w:val="2"/>
          </w:tcPr>
          <w:p>
            <w:pPr>
              <w:spacing w:after="0"/>
              <w:rPr>
                <w:sz w:val="20"/>
                <w:szCs w:val="20"/>
                <w:color w:val="auto"/>
              </w:rPr>
            </w:pPr>
            <w:r>
              <w:rPr>
                <w:rFonts w:ascii="Arial" w:cs="Arial" w:eastAsia="Arial" w:hAnsi="Arial"/>
                <w:sz w:val="18"/>
                <w:szCs w:val="18"/>
                <w:color w:val="auto"/>
              </w:rPr>
              <w:t>Money Markets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256,193</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15,948,560</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192,264</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11,771,636</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33.3%</w:t>
            </w:r>
          </w:p>
        </w:tc>
      </w:tr>
      <w:tr>
        <w:trPr>
          <w:trHeight w:val="20"/>
        </w:trPr>
        <w:tc>
          <w:tcPr>
            <w:tcW w:w="20" w:type="dxa"/>
            <w:vAlign w:val="bottom"/>
          </w:tcPr>
          <w:p>
            <w:pPr>
              <w:spacing w:after="0" w:line="20" w:lineRule="exact"/>
              <w:rPr>
                <w:sz w:val="1"/>
                <w:szCs w:val="1"/>
                <w:color w:val="auto"/>
              </w:rPr>
            </w:pPr>
          </w:p>
        </w:tc>
        <w:tc>
          <w:tcPr>
            <w:tcW w:w="34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897,756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55,998,481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645,647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39,618,954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80" w:right="719" w:firstLine="360"/>
        <w:spacing w:after="0" w:line="253" w:lineRule="auto"/>
        <w:rPr>
          <w:sz w:val="20"/>
          <w:szCs w:val="20"/>
          <w:color w:val="auto"/>
        </w:rPr>
      </w:pPr>
      <w:r>
        <w:rPr>
          <w:rFonts w:ascii="Arial" w:cs="Arial" w:eastAsia="Arial" w:hAnsi="Arial"/>
          <w:sz w:val="18"/>
          <w:szCs w:val="18"/>
          <w:color w:val="auto"/>
        </w:rPr>
        <w:t>We believe the increases in average daily volumes for our rates, credit, equities and money markets asset classes in the three months ended March 31, 2020 can be attributed to various factors, including further electronification of trading activities across our asset classes, increase in market share, new products, new clients and increased volatility. Rates ADV increased mainly due to higher trading activity in long and short-tenor interest rate swaps and swaptions, mortgages and U.S. treasuries. Credit ADV increased mainly due to higher trading activity in credit derivatives, U.S. high-grade and high-yield credit and European Credit. Equities ADV increased mainly due to higher trading activity in U.S. and European ETFs and derivatives. Money Markets ADV increased due to the continued growth of bilateral electronic trading in repurchase agreements.</w:t>
      </w:r>
    </w:p>
    <w:p>
      <w:pPr>
        <w:spacing w:after="0" w:line="88" w:lineRule="exact"/>
        <w:rPr>
          <w:sz w:val="20"/>
          <w:szCs w:val="20"/>
          <w:color w:val="auto"/>
        </w:rPr>
      </w:pPr>
    </w:p>
    <w:p>
      <w:pPr>
        <w:ind w:left="1280" w:right="659" w:firstLine="360"/>
        <w:spacing w:after="0" w:line="269" w:lineRule="auto"/>
        <w:rPr>
          <w:sz w:val="20"/>
          <w:szCs w:val="20"/>
          <w:color w:val="auto"/>
        </w:rPr>
      </w:pPr>
      <w:r>
        <w:rPr>
          <w:rFonts w:ascii="Arial" w:cs="Arial" w:eastAsia="Arial" w:hAnsi="Arial"/>
          <w:sz w:val="17"/>
          <w:szCs w:val="17"/>
          <w:color w:val="auto"/>
        </w:rPr>
        <w:t>The average variable fees per million dollars of volume traded on our trading platforms by asset class for the three months ended March 31, 2020 and 2019 are summarized below. There are three potential drivers of quarterly fluctuations in our average variable fees per million: (1) volume discounts, (2) the mix of cash and derivatives products traded, and (3) the mix of protocols underpinning cash and derivatives products. Average variable fees per million should be reviewed in conjunction with our trading volumes and gross revenue by asset class. Since variable fees are sometimes subject to fee plans with tiered pricing based on product mix and volume, average variable fees per million for a specific asset class may not correlate with volumes or revenue growth. For example, average variable fees per million dollars of volume for our Credit asset class decreased 31.0% for the three months ended March 31, 2020 while gross revenue for our Credit asset class increased 36.9% over the same period.</w:t>
      </w:r>
    </w:p>
    <w:p>
      <w:pPr>
        <w:spacing w:after="0" w:line="109"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Three Months</w:t>
            </w:r>
          </w:p>
        </w:tc>
        <w:tc>
          <w:tcPr>
            <w:tcW w:w="1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Three Months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Ended</w:t>
            </w:r>
          </w:p>
        </w:tc>
        <w:tc>
          <w:tcPr>
            <w:tcW w:w="1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140" w:type="dxa"/>
            <w:vAlign w:val="bottom"/>
            <w:gridSpan w:val="3"/>
          </w:tcPr>
          <w:p>
            <w:pPr>
              <w:jc w:val="center"/>
              <w:ind w:left="13"/>
              <w:spacing w:after="0"/>
              <w:rPr>
                <w:sz w:val="20"/>
                <w:szCs w:val="20"/>
                <w:color w:val="auto"/>
              </w:rPr>
            </w:pPr>
            <w:r>
              <w:rPr>
                <w:rFonts w:ascii="Arial" w:cs="Arial" w:eastAsia="Arial" w:hAnsi="Arial"/>
                <w:sz w:val="14"/>
                <w:szCs w:val="14"/>
                <w:b w:val="1"/>
                <w:bCs w:val="1"/>
                <w:color w:val="auto"/>
              </w:rPr>
              <w:t>March 31, 2020</w:t>
            </w:r>
          </w:p>
        </w:tc>
        <w:tc>
          <w:tcPr>
            <w:tcW w:w="1160" w:type="dxa"/>
            <w:vAlign w:val="bottom"/>
            <w:gridSpan w:val="3"/>
          </w:tcPr>
          <w:p>
            <w:pPr>
              <w:jc w:val="center"/>
              <w:ind w:left="53"/>
              <w:spacing w:after="0"/>
              <w:rPr>
                <w:sz w:val="20"/>
                <w:szCs w:val="20"/>
                <w:color w:val="auto"/>
              </w:rPr>
            </w:pPr>
            <w:r>
              <w:rPr>
                <w:rFonts w:ascii="Arial" w:cs="Arial" w:eastAsia="Arial" w:hAnsi="Arial"/>
                <w:sz w:val="14"/>
                <w:szCs w:val="14"/>
                <w:b w:val="1"/>
                <w:bCs w:val="1"/>
                <w:color w:val="auto"/>
                <w:w w:val="98"/>
              </w:rPr>
              <w:t>March 31, 2019</w:t>
            </w:r>
          </w:p>
        </w:tc>
        <w:tc>
          <w:tcPr>
            <w:tcW w:w="28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Change</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 Change</w:t>
            </w:r>
          </w:p>
        </w:tc>
      </w:tr>
      <w:tr>
        <w:trPr>
          <w:trHeight w:val="216"/>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Rates</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2.05</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2.04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r>
      <w:tr>
        <w:trPr>
          <w:trHeight w:val="229"/>
        </w:trPr>
        <w:tc>
          <w:tcPr>
            <w:tcW w:w="4280" w:type="dxa"/>
            <w:vAlign w:val="bottom"/>
            <w:gridSpan w:val="2"/>
          </w:tcPr>
          <w:p>
            <w:pPr>
              <w:spacing w:after="0"/>
              <w:rPr>
                <w:sz w:val="20"/>
                <w:szCs w:val="20"/>
                <w:color w:val="auto"/>
              </w:rPr>
            </w:pPr>
            <w:r>
              <w:rPr>
                <w:rFonts w:ascii="Arial" w:cs="Arial" w:eastAsia="Arial" w:hAnsi="Arial"/>
                <w:sz w:val="18"/>
                <w:szCs w:val="18"/>
                <w:color w:val="auto"/>
                <w:w w:val="96"/>
              </w:rPr>
              <w:t>Rates — excluding short-tenor swaps (less than 1 year)</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0"/>
              <w:spacing w:after="0"/>
              <w:rPr>
                <w:sz w:val="20"/>
                <w:szCs w:val="20"/>
                <w:color w:val="auto"/>
              </w:rPr>
            </w:pPr>
            <w:r>
              <w:rPr>
                <w:rFonts w:ascii="Arial" w:cs="Arial" w:eastAsia="Arial" w:hAnsi="Arial"/>
                <w:sz w:val="18"/>
                <w:szCs w:val="18"/>
                <w:color w:val="auto"/>
              </w:rPr>
              <w:t>2.39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2.09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14.4%</w:t>
            </w: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Credit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4"/>
              </w:rPr>
              <w:t>23.46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8"/>
              </w:rPr>
              <w:t>34.02</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(10.56)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19"/>
                <w:szCs w:val="19"/>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Equities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0"/>
              <w:spacing w:after="0"/>
              <w:rPr>
                <w:sz w:val="20"/>
                <w:szCs w:val="20"/>
                <w:color w:val="auto"/>
              </w:rPr>
            </w:pPr>
            <w:r>
              <w:rPr>
                <w:rFonts w:ascii="Arial" w:cs="Arial" w:eastAsia="Arial" w:hAnsi="Arial"/>
                <w:sz w:val="18"/>
                <w:szCs w:val="18"/>
                <w:color w:val="auto"/>
                <w:w w:val="84"/>
              </w:rPr>
              <w:t>15.39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w w:val="88"/>
              </w:rPr>
              <w:t>21.15</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(5.76)</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(27.2)%</w:t>
            </w:r>
          </w:p>
        </w:tc>
      </w:tr>
      <w:tr>
        <w:trPr>
          <w:trHeight w:val="229"/>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Money Markets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0.45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0.49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9"/>
                <w:szCs w:val="19"/>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Total Fees per Million</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0"/>
              <w:spacing w:after="0"/>
              <w:rPr>
                <w:sz w:val="20"/>
                <w:szCs w:val="20"/>
                <w:color w:val="auto"/>
              </w:rPr>
            </w:pPr>
            <w:r>
              <w:rPr>
                <w:rFonts w:ascii="Arial" w:cs="Arial" w:eastAsia="Arial" w:hAnsi="Arial"/>
                <w:sz w:val="18"/>
                <w:szCs w:val="18"/>
                <w:color w:val="auto"/>
              </w:rPr>
              <w:t>2.65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2.62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r>
      <w:tr>
        <w:trPr>
          <w:trHeight w:val="215"/>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Fees per Million — excluding short-tenor swaps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than 1 year)</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2.93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959" w:firstLine="360"/>
        <w:spacing w:after="0" w:line="263" w:lineRule="auto"/>
        <w:rPr>
          <w:sz w:val="20"/>
          <w:szCs w:val="20"/>
          <w:color w:val="auto"/>
        </w:rPr>
      </w:pPr>
      <w:r>
        <w:rPr>
          <w:rFonts w:ascii="Arial" w:cs="Arial" w:eastAsia="Arial" w:hAnsi="Arial"/>
          <w:sz w:val="18"/>
          <w:szCs w:val="18"/>
          <w:color w:val="auto"/>
        </w:rPr>
        <w:t>The table set forth below presents a reconciliation of net income to Adjusted EBITDA, Adjusted EBITDA margin, Adjusted EBIT and Adjusted EBIT margin for the three months ended March 31, 2020 and 2019:</w:t>
      </w:r>
    </w:p>
    <w:p>
      <w:pPr>
        <w:spacing w:after="0" w:line="108"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2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March 31, 2020</w:t>
            </w:r>
          </w:p>
        </w:tc>
        <w:tc>
          <w:tcPr>
            <w:tcW w:w="15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62,485</w:t>
            </w:r>
          </w:p>
        </w:tc>
        <w:tc>
          <w:tcPr>
            <w:tcW w:w="4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42,352</w:t>
            </w:r>
          </w:p>
        </w:tc>
        <w:tc>
          <w:tcPr>
            <w:tcW w:w="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80" w:type="dxa"/>
            <w:vAlign w:val="bottom"/>
            <w:gridSpan w:val="3"/>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(699)</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37,176</w:t>
            </w:r>
          </w:p>
        </w:tc>
        <w:tc>
          <w:tcPr>
            <w:tcW w:w="4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33,503</w:t>
            </w:r>
          </w:p>
        </w:tc>
        <w:tc>
          <w:tcPr>
            <w:tcW w:w="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60" w:type="dxa"/>
            <w:vAlign w:val="bottom"/>
            <w:gridSpan w:val="2"/>
          </w:tcPr>
          <w:p>
            <w:pPr>
              <w:spacing w:after="0" w:line="270"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6"/>
                <w:szCs w:val="26"/>
                <w:color w:val="auto"/>
                <w:vertAlign w:val="superscript"/>
              </w:rPr>
              <w:t>(1)</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3,497</w:t>
            </w: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15,829</w:t>
            </w:r>
          </w:p>
        </w:tc>
        <w:tc>
          <w:tcPr>
            <w:tcW w:w="4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w:t>
            </w:r>
          </w:p>
        </w:tc>
        <w:tc>
          <w:tcPr>
            <w:tcW w:w="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80" w:type="dxa"/>
            <w:vAlign w:val="bottom"/>
            <w:gridSpan w:val="3"/>
          </w:tcPr>
          <w:p>
            <w:pPr>
              <w:spacing w:after="0"/>
              <w:rPr>
                <w:sz w:val="20"/>
                <w:szCs w:val="20"/>
                <w:color w:val="auto"/>
              </w:rPr>
            </w:pPr>
            <w:r>
              <w:rPr>
                <w:rFonts w:ascii="Arial" w:cs="Arial" w:eastAsia="Arial" w:hAnsi="Arial"/>
                <w:sz w:val="18"/>
                <w:szCs w:val="18"/>
                <w:color w:val="auto"/>
              </w:rPr>
              <w:t>Unrealized foreign exchange (gains) / losses</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1,164</w:t>
            </w: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060" w:type="dxa"/>
            <w:vAlign w:val="bottom"/>
            <w:tcBorders>
              <w:bottom w:val="single" w:sz="8" w:color="CCEEFF"/>
            </w:tcBorders>
            <w:gridSpan w:val="2"/>
            <w:shd w:val="clear" w:color="auto" w:fill="CCEEFF"/>
          </w:tcPr>
          <w:p>
            <w:pPr>
              <w:spacing w:after="0" w:line="283" w:lineRule="exact"/>
              <w:rPr>
                <w:sz w:val="20"/>
                <w:szCs w:val="20"/>
                <w:color w:val="auto"/>
              </w:rPr>
            </w:pPr>
            <w:r>
              <w:rPr>
                <w:rFonts w:ascii="Arial" w:cs="Arial" w:eastAsia="Arial" w:hAnsi="Arial"/>
                <w:sz w:val="18"/>
                <w:szCs w:val="18"/>
                <w:color w:val="auto"/>
              </w:rPr>
              <w:t>Loss from revaluation of foreign denominated cash</w:t>
            </w:r>
            <w:r>
              <w:rPr>
                <w:rFonts w:ascii="Arial" w:cs="Arial" w:eastAsia="Arial" w:hAnsi="Arial"/>
                <w:sz w:val="26"/>
                <w:szCs w:val="26"/>
                <w:color w:val="auto"/>
                <w:vertAlign w:val="superscript"/>
              </w:rPr>
              <w:t>(2)</w:t>
            </w: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3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08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119,650</w:t>
            </w:r>
          </w:p>
        </w:tc>
        <w:tc>
          <w:tcPr>
            <w:tcW w:w="40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80,347</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Depreciation and amortization</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(37,176)</w:t>
            </w: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(33,503)</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060" w:type="dxa"/>
            <w:vAlign w:val="bottom"/>
            <w:tcBorders>
              <w:bottom w:val="single" w:sz="8" w:color="CCEEFF"/>
            </w:tcBorders>
            <w:gridSpan w:val="2"/>
          </w:tcPr>
          <w:p>
            <w:pPr>
              <w:spacing w:after="0" w:line="283" w:lineRule="exact"/>
              <w:rPr>
                <w:sz w:val="20"/>
                <w:szCs w:val="20"/>
                <w:color w:val="auto"/>
              </w:rPr>
            </w:pPr>
            <w:r>
              <w:rPr>
                <w:rFonts w:ascii="Arial" w:cs="Arial" w:eastAsia="Arial" w:hAnsi="Arial"/>
                <w:sz w:val="18"/>
                <w:szCs w:val="18"/>
                <w:color w:val="auto"/>
              </w:rPr>
              <w:t>Add: Acquisition and Refinitiv Transaction related D&amp;A</w:t>
            </w:r>
            <w:r>
              <w:rPr>
                <w:rFonts w:ascii="Arial" w:cs="Arial" w:eastAsia="Arial" w:hAnsi="Arial"/>
                <w:sz w:val="26"/>
                <w:szCs w:val="26"/>
                <w:color w:val="auto"/>
                <w:vertAlign w:val="superscript"/>
              </w:rPr>
              <w:t>(3)</w:t>
            </w: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26,273</w:t>
            </w:r>
          </w:p>
        </w:tc>
        <w:tc>
          <w:tcPr>
            <w:tcW w:w="4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23,209</w:t>
            </w:r>
          </w:p>
        </w:tc>
        <w:tc>
          <w:tcPr>
            <w:tcW w:w="3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108,747</w:t>
            </w:r>
          </w:p>
        </w:tc>
        <w:tc>
          <w:tcPr>
            <w:tcW w:w="4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70,053</w:t>
            </w:r>
          </w:p>
        </w:tc>
        <w:tc>
          <w:tcPr>
            <w:tcW w:w="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bottom w:val="single" w:sz="8" w:color="CCEEFF"/>
            </w:tcBorders>
            <w:gridSpan w:val="2"/>
            <w:vMerge w:val="restart"/>
          </w:tcPr>
          <w:p>
            <w:pPr>
              <w:spacing w:after="0" w:line="283"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6"/>
                <w:szCs w:val="26"/>
                <w:color w:val="auto"/>
                <w:vertAlign w:val="superscript"/>
              </w:rPr>
              <w:t>(4)</w:t>
            </w: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06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51.0%</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tcBorders>
            <w:gridSpan w:val="2"/>
            <w:vMerge w:val="restart"/>
            <w:shd w:val="clear" w:color="auto" w:fill="CCEEFF"/>
          </w:tcPr>
          <w:p>
            <w:pPr>
              <w:spacing w:after="0" w:line="257" w:lineRule="exact"/>
              <w:rPr>
                <w:sz w:val="20"/>
                <w:szCs w:val="20"/>
                <w:color w:val="auto"/>
              </w:rPr>
            </w:pPr>
            <w:r>
              <w:rPr>
                <w:rFonts w:ascii="Arial" w:cs="Arial" w:eastAsia="Arial" w:hAnsi="Arial"/>
                <w:sz w:val="18"/>
                <w:szCs w:val="18"/>
                <w:color w:val="auto"/>
              </w:rPr>
              <w:t>Adjusted EBIT margin</w:t>
            </w:r>
            <w:r>
              <w:rPr>
                <w:rFonts w:ascii="Arial" w:cs="Arial" w:eastAsia="Arial" w:hAnsi="Arial"/>
                <w:sz w:val="26"/>
                <w:szCs w:val="26"/>
                <w:color w:val="auto"/>
                <w:vertAlign w:val="superscript"/>
              </w:rPr>
              <w:t>(4)</w:t>
            </w: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40" w:type="dxa"/>
            <w:vAlign w:val="bottom"/>
            <w:tcBorders>
              <w:top w:val="single" w:sz="8" w:color="CCEEFF"/>
              <w:bottom w:val="single" w:sz="8" w:color="auto"/>
            </w:tcBorders>
          </w:tcPr>
          <w:p>
            <w:pPr>
              <w:spacing w:after="0"/>
              <w:rPr>
                <w:sz w:val="14"/>
                <w:szCs w:val="14"/>
                <w:color w:val="auto"/>
              </w:rPr>
            </w:pPr>
          </w:p>
        </w:tc>
        <w:tc>
          <w:tcPr>
            <w:tcW w:w="31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40" w:right="839" w:hanging="354"/>
        <w:spacing w:after="0" w:line="275" w:lineRule="auto"/>
        <w:tabs>
          <w:tab w:leader="none" w:pos="1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non-cash stock-based compensation expense associated with the Special Option Award discussed under “Management’s Discussion and Analysis of Financial Condition and Results of Operations — Critical Accounting Policies and Estimates — Stock-Based Compensation” in the 2019 Form 10-K, incorporated by reference in this prospectus, and post-IPO options awarded in 2019 and payroll taxes associated with exercises of such options during the applicable period.</w:t>
      </w:r>
    </w:p>
    <w:p>
      <w:pPr>
        <w:spacing w:after="0" w:line="135" w:lineRule="exact"/>
        <w:rPr>
          <w:rFonts w:ascii="Arial" w:cs="Arial" w:eastAsia="Arial" w:hAnsi="Arial"/>
          <w:sz w:val="17"/>
          <w:szCs w:val="17"/>
          <w:color w:val="auto"/>
        </w:rPr>
      </w:pPr>
    </w:p>
    <w:p>
      <w:pPr>
        <w:ind w:left="1640" w:right="1179" w:hanging="354"/>
        <w:spacing w:after="0" w:line="277" w:lineRule="auto"/>
        <w:tabs>
          <w:tab w:leader="none" w:pos="1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foreign exchange gain or loss from the revaluation of cash denominated in a different currency than the entity’s functional currency.</w:t>
      </w:r>
    </w:p>
    <w:p>
      <w:pPr>
        <w:spacing w:after="0" w:line="129" w:lineRule="exact"/>
        <w:rPr>
          <w:rFonts w:ascii="Arial" w:cs="Arial" w:eastAsia="Arial" w:hAnsi="Arial"/>
          <w:sz w:val="18"/>
          <w:szCs w:val="18"/>
          <w:color w:val="auto"/>
        </w:rPr>
      </w:pPr>
    </w:p>
    <w:p>
      <w:pPr>
        <w:ind w:left="1640" w:right="719" w:hanging="354"/>
        <w:spacing w:after="0" w:line="259" w:lineRule="auto"/>
        <w:tabs>
          <w:tab w:leader="none" w:pos="1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146" w:lineRule="exact"/>
        <w:rPr>
          <w:rFonts w:ascii="Arial" w:cs="Arial" w:eastAsia="Arial" w:hAnsi="Arial"/>
          <w:sz w:val="18"/>
          <w:szCs w:val="18"/>
          <w:color w:val="auto"/>
        </w:rPr>
      </w:pPr>
    </w:p>
    <w:p>
      <w:pPr>
        <w:ind w:left="1640" w:right="719" w:hanging="354"/>
        <w:spacing w:after="0" w:line="268" w:lineRule="auto"/>
        <w:tabs>
          <w:tab w:leader="none" w:pos="1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 the three months ended March 31, 2020 and 2019, Adjusted EBITDA margin increased compared to the prior year period by 799 basis points, or 678 basis points on a constant currency basis. For the three months ended March 31, 2020 and 2019, Adjusted EBIT margin increased compared to the prior year period by 885 basis points, or 767 basis points on a constant currency basis. The changes in Adjusted EBITDA margin and Adjusted EBIT margin on a constant currency basis, which are non-GAAP financial measures,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39" w:firstLine="360"/>
        <w:spacing w:after="0" w:line="263" w:lineRule="auto"/>
        <w:rPr>
          <w:sz w:val="20"/>
          <w:szCs w:val="20"/>
          <w:color w:val="auto"/>
        </w:rPr>
      </w:pPr>
      <w:r>
        <w:rPr>
          <w:rFonts w:ascii="Arial" w:cs="Arial" w:eastAsia="Arial" w:hAnsi="Arial"/>
          <w:sz w:val="18"/>
          <w:szCs w:val="18"/>
          <w:color w:val="auto"/>
        </w:rPr>
        <w:t>The table set forth below presents a reconciliation of net income attributable to Tradeweb Markets Inc. and net income, as applicable, to Adjusted Net Income and Adjusted Diluted EPS for the three months ended March 31, 2020 and 2019:</w:t>
      </w:r>
    </w:p>
    <w:p>
      <w:pPr>
        <w:spacing w:after="0" w:line="108" w:lineRule="exact"/>
        <w:rPr>
          <w:sz w:val="20"/>
          <w:szCs w:val="20"/>
          <w:color w:val="auto"/>
        </w:rPr>
      </w:pPr>
    </w:p>
    <w:tbl>
      <w:tblPr>
        <w:tblLayout w:type="fixed"/>
        <w:tblInd w:w="6800" w:type="dxa"/>
        <w:tblCellMar>
          <w:top w:w="0" w:type="dxa"/>
          <w:left w:w="0" w:type="dxa"/>
          <w:bottom w:w="0" w:type="dxa"/>
          <w:right w:w="0" w:type="dxa"/>
        </w:tblCellMar>
      </w:tblPr>
      <w:tr>
        <w:trPr>
          <w:trHeight w:val="162"/>
        </w:trPr>
        <w:tc>
          <w:tcPr>
            <w:tcW w:w="1260" w:type="dxa"/>
            <w:vAlign w:val="bottom"/>
          </w:tcPr>
          <w:p>
            <w:pPr>
              <w:jc w:val="center"/>
              <w:ind w:right="248"/>
              <w:spacing w:after="0"/>
              <w:rPr>
                <w:sz w:val="20"/>
                <w:szCs w:val="20"/>
                <w:color w:val="auto"/>
              </w:rPr>
            </w:pPr>
            <w:r>
              <w:rPr>
                <w:rFonts w:ascii="Arial" w:cs="Arial" w:eastAsia="Arial" w:hAnsi="Arial"/>
                <w:sz w:val="14"/>
                <w:szCs w:val="14"/>
                <w:b w:val="1"/>
                <w:bCs w:val="1"/>
                <w:color w:val="auto"/>
                <w:w w:val="98"/>
              </w:rPr>
              <w:t>Three Months</w:t>
            </w:r>
          </w:p>
        </w:tc>
        <w:tc>
          <w:tcPr>
            <w:tcW w:w="1260" w:type="dxa"/>
            <w:vAlign w:val="bottom"/>
          </w:tcPr>
          <w:p>
            <w:pPr>
              <w:jc w:val="center"/>
              <w:ind w:left="168"/>
              <w:spacing w:after="0"/>
              <w:rPr>
                <w:sz w:val="20"/>
                <w:szCs w:val="20"/>
                <w:color w:val="auto"/>
              </w:rPr>
            </w:pPr>
            <w:r>
              <w:rPr>
                <w:rFonts w:ascii="Arial" w:cs="Arial" w:eastAsia="Arial" w:hAnsi="Arial"/>
                <w:sz w:val="14"/>
                <w:szCs w:val="14"/>
                <w:b w:val="1"/>
                <w:bCs w:val="1"/>
                <w:color w:val="auto"/>
                <w:w w:val="98"/>
              </w:rPr>
              <w:t>Three Months</w:t>
            </w:r>
          </w:p>
        </w:tc>
      </w:tr>
      <w:tr>
        <w:trPr>
          <w:trHeight w:val="162"/>
        </w:trPr>
        <w:tc>
          <w:tcPr>
            <w:tcW w:w="1260" w:type="dxa"/>
            <w:vAlign w:val="bottom"/>
          </w:tcPr>
          <w:p>
            <w:pPr>
              <w:jc w:val="center"/>
              <w:ind w:right="248"/>
              <w:spacing w:after="0"/>
              <w:rPr>
                <w:sz w:val="20"/>
                <w:szCs w:val="20"/>
                <w:color w:val="auto"/>
              </w:rPr>
            </w:pPr>
            <w:r>
              <w:rPr>
                <w:rFonts w:ascii="Arial" w:cs="Arial" w:eastAsia="Arial" w:hAnsi="Arial"/>
                <w:sz w:val="14"/>
                <w:szCs w:val="14"/>
                <w:b w:val="1"/>
                <w:bCs w:val="1"/>
                <w:color w:val="auto"/>
                <w:w w:val="98"/>
              </w:rPr>
              <w:t>Ended</w:t>
            </w:r>
          </w:p>
        </w:tc>
        <w:tc>
          <w:tcPr>
            <w:tcW w:w="1260" w:type="dxa"/>
            <w:vAlign w:val="bottom"/>
          </w:tcPr>
          <w:p>
            <w:pPr>
              <w:jc w:val="center"/>
              <w:ind w:left="168"/>
              <w:spacing w:after="0"/>
              <w:rPr>
                <w:sz w:val="20"/>
                <w:szCs w:val="20"/>
                <w:color w:val="auto"/>
              </w:rPr>
            </w:pPr>
            <w:r>
              <w:rPr>
                <w:rFonts w:ascii="Arial" w:cs="Arial" w:eastAsia="Arial" w:hAnsi="Arial"/>
                <w:sz w:val="14"/>
                <w:szCs w:val="14"/>
                <w:b w:val="1"/>
                <w:bCs w:val="1"/>
                <w:color w:val="auto"/>
                <w:w w:val="98"/>
              </w:rPr>
              <w:t>Ended</w:t>
            </w:r>
          </w:p>
        </w:tc>
      </w:tr>
      <w:tr>
        <w:trPr>
          <w:trHeight w:val="186"/>
        </w:trPr>
        <w:tc>
          <w:tcPr>
            <w:tcW w:w="1260" w:type="dxa"/>
            <w:vAlign w:val="bottom"/>
          </w:tcPr>
          <w:p>
            <w:pPr>
              <w:jc w:val="center"/>
              <w:ind w:right="208"/>
              <w:spacing w:after="0"/>
              <w:rPr>
                <w:sz w:val="20"/>
                <w:szCs w:val="20"/>
                <w:color w:val="auto"/>
              </w:rPr>
            </w:pPr>
            <w:r>
              <w:rPr>
                <w:rFonts w:ascii="Arial" w:cs="Arial" w:eastAsia="Arial" w:hAnsi="Arial"/>
                <w:sz w:val="14"/>
                <w:szCs w:val="14"/>
                <w:b w:val="1"/>
                <w:bCs w:val="1"/>
                <w:color w:val="auto"/>
                <w:w w:val="98"/>
              </w:rPr>
              <w:t>March 31, 2020</w:t>
            </w:r>
          </w:p>
        </w:tc>
        <w:tc>
          <w:tcPr>
            <w:tcW w:w="1260" w:type="dxa"/>
            <w:vAlign w:val="bottom"/>
          </w:tcPr>
          <w:p>
            <w:pPr>
              <w:jc w:val="center"/>
              <w:ind w:left="188"/>
              <w:spacing w:after="0"/>
              <w:rPr>
                <w:sz w:val="20"/>
                <w:szCs w:val="20"/>
                <w:color w:val="auto"/>
              </w:rPr>
            </w:pPr>
            <w:r>
              <w:rPr>
                <w:rFonts w:ascii="Arial" w:cs="Arial" w:eastAsia="Arial" w:hAnsi="Arial"/>
                <w:sz w:val="14"/>
                <w:szCs w:val="14"/>
                <w:b w:val="1"/>
                <w:bCs w:val="1"/>
                <w:color w:val="auto"/>
              </w:rPr>
              <w:t>March 31, 2019</w:t>
            </w:r>
          </w:p>
        </w:tc>
      </w:tr>
    </w:tbl>
    <w:p>
      <w:pPr>
        <w:spacing w:after="0" w:line="57" w:lineRule="exact"/>
        <w:rPr>
          <w:sz w:val="20"/>
          <w:szCs w:val="20"/>
          <w:color w:val="auto"/>
        </w:rPr>
      </w:pPr>
    </w:p>
    <w:p>
      <w:pPr>
        <w:sectPr>
          <w:pgSz w:w="11900" w:h="16838" w:orient="portrait"/>
          <w:cols w:equalWidth="0" w:num="1">
            <w:col w:w="10139"/>
          </w:cols>
          <w:pgMar w:left="320" w:top="131" w:right="1440" w:bottom="1440" w:gutter="0" w:footer="0" w:header="0"/>
          <w:type w:val="continuous"/>
        </w:sectPr>
      </w:pP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Earnings per diluted share</w:t>
      </w:r>
      <w:r>
        <w:rPr>
          <w:rFonts w:ascii="Arial" w:cs="Arial" w:eastAsia="Arial" w:hAnsi="Arial"/>
          <w:sz w:val="26"/>
          <w:szCs w:val="26"/>
          <w:color w:val="auto"/>
          <w:vertAlign w:val="superscript"/>
        </w:rPr>
        <w:t>(1)</w:t>
      </w:r>
    </w:p>
    <w:p>
      <w:pPr>
        <w:ind w:left="1280"/>
        <w:spacing w:after="0" w:line="233" w:lineRule="auto"/>
        <w:rPr>
          <w:sz w:val="20"/>
          <w:szCs w:val="20"/>
          <w:color w:val="auto"/>
        </w:rPr>
      </w:pPr>
      <w:r>
        <w:rPr>
          <w:rFonts w:ascii="Arial" w:cs="Arial" w:eastAsia="Arial" w:hAnsi="Arial"/>
          <w:sz w:val="17"/>
          <w:szCs w:val="17"/>
          <w:color w:val="auto"/>
        </w:rPr>
        <w:t>Pre-IPO net income attributable to Tradeweb Markets LLC</w:t>
      </w:r>
      <w:r>
        <w:rPr>
          <w:rFonts w:ascii="Arial" w:cs="Arial" w:eastAsia="Arial" w:hAnsi="Arial"/>
          <w:sz w:val="25"/>
          <w:szCs w:val="25"/>
          <w:color w:val="auto"/>
          <w:vertAlign w:val="superscript"/>
        </w:rPr>
        <w:t>(1)</w:t>
      </w:r>
    </w:p>
    <w:p>
      <w:pPr>
        <w:ind w:left="1280"/>
        <w:spacing w:after="0" w:line="217" w:lineRule="auto"/>
        <w:rPr>
          <w:sz w:val="20"/>
          <w:szCs w:val="20"/>
          <w:color w:val="auto"/>
        </w:rPr>
      </w:pPr>
      <w:r>
        <w:rPr>
          <w:rFonts w:ascii="Arial" w:cs="Arial" w:eastAsia="Arial" w:hAnsi="Arial"/>
          <w:sz w:val="18"/>
          <w:szCs w:val="18"/>
          <w:color w:val="auto"/>
        </w:rPr>
        <w:t>Net income attributable to Tradeweb Markets Inc.</w:t>
      </w:r>
      <w:r>
        <w:rPr>
          <w:rFonts w:ascii="Arial" w:cs="Arial" w:eastAsia="Arial" w:hAnsi="Arial"/>
          <w:sz w:val="26"/>
          <w:szCs w:val="26"/>
          <w:color w:val="auto"/>
          <w:vertAlign w:val="superscript"/>
        </w:rPr>
        <w:t>(1)</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Net income attributable to non-controlling interests</w:t>
      </w:r>
      <w:r>
        <w:rPr>
          <w:rFonts w:ascii="Arial" w:cs="Arial" w:eastAsia="Arial" w:hAnsi="Arial"/>
          <w:sz w:val="26"/>
          <w:szCs w:val="26"/>
          <w:color w:val="auto"/>
          <w:vertAlign w:val="superscript"/>
        </w:rPr>
        <w:t>(1)(2)</w:t>
      </w:r>
    </w:p>
    <w:p>
      <w:pPr>
        <w:spacing w:after="0" w:line="3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Net income</w:t>
      </w:r>
    </w:p>
    <w:p>
      <w:pPr>
        <w:spacing w:after="0" w:line="3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Provision for income taxes</w:t>
      </w:r>
    </w:p>
    <w:p>
      <w:pPr>
        <w:ind w:left="1280"/>
        <w:spacing w:after="0" w:line="236" w:lineRule="auto"/>
        <w:rPr>
          <w:sz w:val="20"/>
          <w:szCs w:val="20"/>
          <w:color w:val="auto"/>
        </w:rPr>
      </w:pPr>
      <w:r>
        <w:rPr>
          <w:rFonts w:ascii="Arial" w:cs="Arial" w:eastAsia="Arial" w:hAnsi="Arial"/>
          <w:sz w:val="18"/>
          <w:szCs w:val="18"/>
          <w:color w:val="auto"/>
        </w:rPr>
        <w:t>Acquisition and Refinitiv Transaction related D&amp;A</w:t>
      </w:r>
      <w:r>
        <w:rPr>
          <w:rFonts w:ascii="Arial" w:cs="Arial" w:eastAsia="Arial" w:hAnsi="Arial"/>
          <w:sz w:val="26"/>
          <w:szCs w:val="26"/>
          <w:color w:val="auto"/>
          <w:vertAlign w:val="superscript"/>
        </w:rPr>
        <w:t>(3)</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Stock-based compensation expense</w:t>
      </w:r>
      <w:r>
        <w:rPr>
          <w:rFonts w:ascii="Arial" w:cs="Arial" w:eastAsia="Arial" w:hAnsi="Arial"/>
          <w:sz w:val="26"/>
          <w:szCs w:val="26"/>
          <w:color w:val="auto"/>
          <w:vertAlign w:val="superscript"/>
        </w:rPr>
        <w:t>(4)</w:t>
      </w:r>
    </w:p>
    <w:p>
      <w:pPr>
        <w:spacing w:after="0" w:line="1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Unrealized foreign exchange (gains) / losses</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Loss from revaluation of foreign denominated cash</w:t>
      </w:r>
      <w:r>
        <w:rPr>
          <w:rFonts w:ascii="Arial" w:cs="Arial" w:eastAsia="Arial" w:hAnsi="Arial"/>
          <w:sz w:val="26"/>
          <w:szCs w:val="26"/>
          <w:color w:val="auto"/>
          <w:vertAlign w:val="superscript"/>
        </w:rPr>
        <w:t>(5)</w:t>
      </w:r>
    </w:p>
    <w:p>
      <w:pPr>
        <w:spacing w:after="0" w:line="4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Adjusted Net Income before income taxes</w:t>
      </w:r>
    </w:p>
    <w:p>
      <w:pPr>
        <w:ind w:left="1280"/>
        <w:spacing w:after="0" w:line="231" w:lineRule="auto"/>
        <w:rPr>
          <w:sz w:val="20"/>
          <w:szCs w:val="20"/>
          <w:color w:val="auto"/>
        </w:rPr>
      </w:pPr>
      <w:r>
        <w:rPr>
          <w:rFonts w:ascii="Arial" w:cs="Arial" w:eastAsia="Arial" w:hAnsi="Arial"/>
          <w:sz w:val="18"/>
          <w:szCs w:val="18"/>
          <w:color w:val="auto"/>
        </w:rPr>
        <w:t>Adjusted income taxes</w:t>
      </w:r>
      <w:r>
        <w:rPr>
          <w:rFonts w:ascii="Arial" w:cs="Arial" w:eastAsia="Arial" w:hAnsi="Arial"/>
          <w:sz w:val="26"/>
          <w:szCs w:val="26"/>
          <w:color w:val="auto"/>
          <w:vertAlign w:val="superscript"/>
        </w:rPr>
        <w:t>(6)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(dollars in thousands, except per share data)</w:t>
      </w:r>
    </w:p>
    <w:p>
      <w:pPr>
        <w:spacing w:after="0" w:line="33" w:lineRule="exact"/>
        <w:rPr>
          <w:sz w:val="20"/>
          <w:szCs w:val="20"/>
          <w:color w:val="auto"/>
        </w:rPr>
      </w:pPr>
    </w:p>
    <w:tbl>
      <w:tblPr>
        <w:tblLayout w:type="fixed"/>
        <w:tblInd w:w="300" w:type="dxa"/>
        <w:tblCellMar>
          <w:top w:w="0" w:type="dxa"/>
          <w:left w:w="0" w:type="dxa"/>
          <w:bottom w:w="0" w:type="dxa"/>
          <w:right w:w="0" w:type="dxa"/>
        </w:tblCellMar>
      </w:tblPr>
      <w:tr>
        <w:trPr>
          <w:trHeight w:val="299"/>
        </w:trPr>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ind w:left="240"/>
              <w:spacing w:after="0"/>
              <w:rPr>
                <w:sz w:val="20"/>
                <w:szCs w:val="20"/>
                <w:color w:val="auto"/>
              </w:rPr>
            </w:pPr>
            <w:r>
              <w:rPr>
                <w:rFonts w:ascii="Arial" w:cs="Arial" w:eastAsia="Arial" w:hAnsi="Arial"/>
                <w:sz w:val="18"/>
                <w:szCs w:val="18"/>
                <w:color w:val="auto"/>
              </w:rPr>
              <w:t>0.25</w:t>
            </w:r>
            <w:r>
              <w:rPr>
                <w:rFonts w:ascii="Arial" w:cs="Arial" w:eastAsia="Arial" w:hAnsi="Arial"/>
                <w:sz w:val="26"/>
                <w:szCs w:val="26"/>
                <w:color w:val="auto"/>
                <w:vertAlign w:val="superscript"/>
              </w:rPr>
              <w:t>(a)</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0.19</w:t>
            </w:r>
            <w:r>
              <w:rPr>
                <w:rFonts w:ascii="Arial" w:cs="Arial" w:eastAsia="Arial" w:hAnsi="Arial"/>
                <w:sz w:val="26"/>
                <w:szCs w:val="26"/>
                <w:color w:val="auto"/>
                <w:vertAlign w:val="superscript"/>
              </w:rPr>
              <w:t>(b)</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42,352</w:t>
            </w:r>
          </w:p>
        </w:tc>
        <w:tc>
          <w:tcPr>
            <w:tcW w:w="140" w:type="dxa"/>
            <w:vAlign w:val="bottom"/>
          </w:tcPr>
          <w:p>
            <w:pPr>
              <w:spacing w:after="0"/>
              <w:rPr>
                <w:sz w:val="19"/>
                <w:szCs w:val="19"/>
                <w:color w:val="auto"/>
              </w:rPr>
            </w:pPr>
          </w:p>
        </w:tc>
      </w:tr>
      <w:tr>
        <w:trPr>
          <w:trHeight w:val="270"/>
        </w:trPr>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43,928</w:t>
            </w: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7"/>
        </w:trPr>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18,557</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1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62,485</w:t>
            </w:r>
          </w:p>
        </w:tc>
        <w:tc>
          <w:tcPr>
            <w:tcW w:w="8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42,352</w:t>
            </w:r>
          </w:p>
        </w:tc>
        <w:tc>
          <w:tcPr>
            <w:tcW w:w="140" w:type="dxa"/>
            <w:vAlign w:val="bottom"/>
          </w:tcPr>
          <w:p>
            <w:pPr>
              <w:spacing w:after="0"/>
              <w:rPr>
                <w:sz w:val="22"/>
                <w:szCs w:val="22"/>
                <w:color w:val="auto"/>
              </w:rPr>
            </w:pPr>
          </w:p>
        </w:tc>
      </w:tr>
      <w:tr>
        <w:trPr>
          <w:trHeight w:val="257"/>
        </w:trPr>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15,829</w:t>
            </w: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4,783</w:t>
            </w:r>
          </w:p>
        </w:tc>
        <w:tc>
          <w:tcPr>
            <w:tcW w:w="140" w:type="dxa"/>
            <w:vAlign w:val="bottom"/>
          </w:tcPr>
          <w:p>
            <w:pPr>
              <w:spacing w:after="0"/>
              <w:rPr>
                <w:sz w:val="22"/>
                <w:szCs w:val="22"/>
                <w:color w:val="auto"/>
              </w:rPr>
            </w:pPr>
          </w:p>
        </w:tc>
      </w:tr>
      <w:tr>
        <w:trPr>
          <w:trHeight w:val="270"/>
        </w:trPr>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26,273</w:t>
            </w: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23,209</w:t>
            </w:r>
          </w:p>
        </w:tc>
        <w:tc>
          <w:tcPr>
            <w:tcW w:w="140" w:type="dxa"/>
            <w:vAlign w:val="bottom"/>
          </w:tcPr>
          <w:p>
            <w:pPr>
              <w:spacing w:after="0"/>
              <w:rPr>
                <w:sz w:val="23"/>
                <w:szCs w:val="23"/>
                <w:color w:val="auto"/>
              </w:rPr>
            </w:pPr>
          </w:p>
        </w:tc>
      </w:tr>
      <w:tr>
        <w:trPr>
          <w:trHeight w:val="270"/>
        </w:trPr>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3,497</w:t>
            </w: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1,164</w:t>
            </w: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r>
    </w:tbl>
    <w:p>
      <w:pPr>
        <w:spacing w:after="0" w:line="40" w:lineRule="exact"/>
        <w:rPr>
          <w:sz w:val="20"/>
          <w:szCs w:val="20"/>
          <w:color w:val="auto"/>
        </w:rPr>
      </w:pPr>
    </w:p>
    <w:p>
      <w:pPr>
        <w:ind w:left="2260" w:hanging="1512"/>
        <w:spacing w:after="0"/>
        <w:tabs>
          <w:tab w:leader="none" w:pos="2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860</w:t>
      </w:r>
    </w:p>
    <w:p>
      <w:pPr>
        <w:spacing w:after="0" w:line="76"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109,446</w:t>
      </w:r>
      <w:r>
        <w:rPr>
          <w:rFonts w:ascii="Arial" w:cs="Arial" w:eastAsia="Arial" w:hAnsi="Arial"/>
          <w:sz w:val="15"/>
          <w:szCs w:val="15"/>
          <w:color w:val="auto"/>
        </w:rPr>
        <w:t>70,911</w:t>
      </w:r>
    </w:p>
    <w:p>
      <w:pPr>
        <w:spacing w:after="0" w:line="6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(24,078)</w:t>
      </w:r>
      <w:r>
        <w:rPr>
          <w:rFonts w:ascii="Arial" w:cs="Arial" w:eastAsia="Arial" w:hAnsi="Arial"/>
          <w:sz w:val="16"/>
          <w:szCs w:val="16"/>
          <w:color w:val="auto"/>
        </w:rPr>
        <w:t>(18,721)</w:t>
      </w:r>
    </w:p>
    <w:p>
      <w:pPr>
        <w:spacing w:after="0" w:line="54" w:lineRule="exact"/>
        <w:rPr>
          <w:sz w:val="20"/>
          <w:szCs w:val="20"/>
          <w:color w:val="auto"/>
        </w:rPr>
      </w:pPr>
    </w:p>
    <w:p>
      <w:pPr>
        <w:sectPr>
          <w:pgSz w:w="11900" w:h="16838" w:orient="portrait"/>
          <w:cols w:equalWidth="0" w:num="2">
            <w:col w:w="5920" w:space="720"/>
            <w:col w:w="3499"/>
          </w:cols>
          <w:pgMar w:left="320" w:top="131" w:right="1440" w:bottom="1440" w:gutter="0" w:footer="0" w:header="0"/>
          <w:type w:val="continuous"/>
        </w:sectPr>
      </w:pPr>
    </w:p>
    <w:tbl>
      <w:tblPr>
        <w:tblLayout w:type="fixed"/>
        <w:tblInd w:w="128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2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85,368</w:t>
            </w: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52,190</w:t>
            </w: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EEFF"/>
              <w:bottom w:val="single" w:sz="8" w:color="CCEEFF"/>
            </w:tcBorders>
            <w:gridSpan w:val="2"/>
            <w:vMerge w:val="restart"/>
          </w:tcPr>
          <w:p>
            <w:pPr>
              <w:spacing w:after="0" w:line="283" w:lineRule="exact"/>
              <w:rPr>
                <w:sz w:val="20"/>
                <w:szCs w:val="20"/>
                <w:color w:val="auto"/>
              </w:rPr>
            </w:pPr>
            <w:r>
              <w:rPr>
                <w:rFonts w:ascii="Arial" w:cs="Arial" w:eastAsia="Arial" w:hAnsi="Arial"/>
                <w:sz w:val="18"/>
                <w:szCs w:val="18"/>
                <w:color w:val="auto"/>
              </w:rPr>
              <w:t>Adjusted Diluted EPS</w:t>
            </w:r>
            <w:r>
              <w:rPr>
                <w:rFonts w:ascii="Arial" w:cs="Arial" w:eastAsia="Arial" w:hAnsi="Arial"/>
                <w:sz w:val="26"/>
                <w:szCs w:val="26"/>
                <w:color w:val="auto"/>
                <w:vertAlign w:val="superscript"/>
              </w:rPr>
              <w:t>(1)(7)</w:t>
            </w:r>
          </w:p>
        </w:tc>
        <w:tc>
          <w:tcPr>
            <w:tcW w:w="1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(a)</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(b)</w:t>
            </w: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800" w:type="dxa"/>
            <w:vAlign w:val="bottom"/>
            <w:gridSpan w:val="2"/>
            <w:vMerge w:val="continue"/>
          </w:tcPr>
          <w:p>
            <w:pPr>
              <w:spacing w:after="0"/>
              <w:rPr>
                <w:sz w:val="21"/>
                <w:szCs w:val="21"/>
                <w:color w:val="auto"/>
              </w:rPr>
            </w:pPr>
          </w:p>
        </w:tc>
        <w:tc>
          <w:tcPr>
            <w:tcW w:w="2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0.37</w:t>
            </w:r>
          </w:p>
        </w:tc>
        <w:tc>
          <w:tcPr>
            <w:tcW w:w="800" w:type="dxa"/>
            <w:vAlign w:val="bottom"/>
            <w:vMerge w:val="continue"/>
          </w:tcPr>
          <w:p>
            <w:pPr>
              <w:spacing w:after="0"/>
              <w:rPr>
                <w:sz w:val="21"/>
                <w:szCs w:val="21"/>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0.23</w:t>
            </w: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18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640" w:right="859" w:hanging="354"/>
        <w:spacing w:after="0" w:line="308" w:lineRule="auto"/>
        <w:tabs>
          <w:tab w:leader="none" w:pos="1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As a result of the Reorganization Transactions and the IPO completed in April 2019, certain earnings information is being presented separately for Tradeweb Markets LLC and Tradeweb Markets Inc.</w:t>
      </w:r>
    </w:p>
    <w:p>
      <w:pPr>
        <w:spacing w:after="0" w:line="38" w:lineRule="exact"/>
        <w:rPr>
          <w:rFonts w:ascii="Arial" w:cs="Arial" w:eastAsia="Arial" w:hAnsi="Arial"/>
          <w:sz w:val="17"/>
          <w:szCs w:val="17"/>
          <w:color w:val="auto"/>
        </w:rPr>
      </w:pPr>
    </w:p>
    <w:p>
      <w:pPr>
        <w:ind w:left="2000" w:hanging="354"/>
        <w:spacing w:after="0"/>
        <w:tabs>
          <w:tab w:leader="none" w:pos="2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Presents information for Tradeweb Markets Inc. (post-IPO period).</w:t>
      </w:r>
    </w:p>
    <w:p>
      <w:pPr>
        <w:spacing w:after="0" w:line="117" w:lineRule="exact"/>
        <w:rPr>
          <w:rFonts w:ascii="Arial" w:cs="Arial" w:eastAsia="Arial" w:hAnsi="Arial"/>
          <w:sz w:val="18"/>
          <w:szCs w:val="18"/>
          <w:color w:val="auto"/>
        </w:rPr>
      </w:pPr>
    </w:p>
    <w:p>
      <w:pPr>
        <w:ind w:left="2000" w:hanging="354"/>
        <w:spacing w:after="0"/>
        <w:tabs>
          <w:tab w:leader="none" w:pos="2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Presents information for Tradeweb Markets LLC (pre-IPO period).</w:t>
      </w:r>
    </w:p>
    <w:p>
      <w:pPr>
        <w:spacing w:after="0" w:line="117" w:lineRule="exact"/>
        <w:rPr>
          <w:sz w:val="20"/>
          <w:szCs w:val="20"/>
          <w:color w:val="auto"/>
        </w:rPr>
      </w:pPr>
    </w:p>
    <w:p>
      <w:pPr>
        <w:ind w:left="1640" w:right="1179"/>
        <w:spacing w:after="0" w:line="263" w:lineRule="auto"/>
        <w:rPr>
          <w:sz w:val="20"/>
          <w:szCs w:val="20"/>
          <w:color w:val="auto"/>
        </w:rPr>
      </w:pPr>
      <w:r>
        <w:rPr>
          <w:rFonts w:ascii="Arial" w:cs="Arial" w:eastAsia="Arial" w:hAnsi="Arial"/>
          <w:sz w:val="18"/>
          <w:szCs w:val="18"/>
          <w:color w:val="auto"/>
        </w:rPr>
        <w:t>See “Basis of Presentation” elsewhere herein and “Note 18 — Earnings Per Share” to the audited consolidated financial statements of Tradeweb Markets Inc. appearing in the 2019 Form 10-K, incorporated by reference in this prospectus.</w:t>
      </w:r>
    </w:p>
    <w:p>
      <w:pPr>
        <w:spacing w:after="0" w:line="89" w:lineRule="exact"/>
        <w:rPr>
          <w:sz w:val="20"/>
          <w:szCs w:val="20"/>
          <w:color w:val="auto"/>
        </w:rPr>
      </w:pPr>
    </w:p>
    <w:p>
      <w:pPr>
        <w:ind w:left="1640" w:right="719" w:hanging="354"/>
        <w:spacing w:after="0" w:line="263" w:lineRule="auto"/>
        <w:tabs>
          <w:tab w:leader="none" w:pos="1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post-IPO periods, represents the reallocation of net income attributable to non-controlling interests from the assumed exchange of all outstanding LLC Interests held by non-controlling interests for shares of Class A or Class B common stock.</w:t>
      </w:r>
    </w:p>
    <w:p>
      <w:pPr>
        <w:spacing w:after="0" w:line="75" w:lineRule="exact"/>
        <w:rPr>
          <w:rFonts w:ascii="Arial" w:cs="Arial" w:eastAsia="Arial" w:hAnsi="Arial"/>
          <w:sz w:val="18"/>
          <w:szCs w:val="18"/>
          <w:color w:val="auto"/>
        </w:rPr>
      </w:pPr>
    </w:p>
    <w:p>
      <w:pPr>
        <w:ind w:left="1640" w:right="719" w:hanging="354"/>
        <w:spacing w:after="0" w:line="259" w:lineRule="auto"/>
        <w:tabs>
          <w:tab w:leader="none" w:pos="1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92" w:lineRule="exact"/>
        <w:rPr>
          <w:rFonts w:ascii="Arial" w:cs="Arial" w:eastAsia="Arial" w:hAnsi="Arial"/>
          <w:sz w:val="18"/>
          <w:szCs w:val="18"/>
          <w:color w:val="auto"/>
        </w:rPr>
      </w:pPr>
    </w:p>
    <w:p>
      <w:pPr>
        <w:ind w:left="1640" w:right="839" w:hanging="354"/>
        <w:spacing w:after="0" w:line="275" w:lineRule="auto"/>
        <w:tabs>
          <w:tab w:leader="none" w:pos="1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Represents non-cash stock-based compensation expense associated with the Special Option Award discussed under “Management’s Discussion and Analysis of Financial Condition and Results of Operations — Critical Accounting Policies and Estimates — Stock-Based Compensation” in the 2019 Form 10-K, incorporated by reference in this prospectus, and post-IPO options awarded in 2019 and payroll taxes associated with exercises of such options during the applicable period.</w:t>
      </w:r>
    </w:p>
    <w:p>
      <w:pPr>
        <w:spacing w:after="0" w:line="81" w:lineRule="exact"/>
        <w:rPr>
          <w:rFonts w:ascii="Arial" w:cs="Arial" w:eastAsia="Arial" w:hAnsi="Arial"/>
          <w:sz w:val="17"/>
          <w:szCs w:val="17"/>
          <w:color w:val="auto"/>
        </w:rPr>
      </w:pPr>
    </w:p>
    <w:p>
      <w:pPr>
        <w:ind w:left="1640" w:right="1179" w:hanging="354"/>
        <w:spacing w:after="0" w:line="277" w:lineRule="auto"/>
        <w:tabs>
          <w:tab w:leader="none" w:pos="1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foreign exchange gain or loss from the revaluation of cash denominated in a different currency than the entity’s functional currency.</w:t>
      </w:r>
    </w:p>
    <w:p>
      <w:pPr>
        <w:spacing w:after="0" w:line="62" w:lineRule="exact"/>
        <w:rPr>
          <w:rFonts w:ascii="Arial" w:cs="Arial" w:eastAsia="Arial" w:hAnsi="Arial"/>
          <w:sz w:val="18"/>
          <w:szCs w:val="18"/>
          <w:color w:val="auto"/>
        </w:rPr>
      </w:pPr>
    </w:p>
    <w:p>
      <w:pPr>
        <w:ind w:left="1640" w:right="879" w:hanging="354"/>
        <w:spacing w:after="0" w:line="263" w:lineRule="auto"/>
        <w:tabs>
          <w:tab w:leader="none" w:pos="1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corporate income taxes at an assumed effective tax rate of 22.0% and 26.4% applied to Adjusted Net Income before income taxes for the three months ended March 31, 2020 and March 31, 2019, respectively.</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40" w:right="739" w:hanging="354"/>
        <w:spacing w:after="0" w:line="255" w:lineRule="auto"/>
        <w:tabs>
          <w:tab w:leader="none" w:pos="1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Due to the Reorganization Transactions and the IPO completed in April 2019, shares outstanding during the three months ended March 31, 2019 represent shares of TWM LLC (pre-IPO period) and shares outstanding during the three months ended March 31, 2020 represent shares of Class A and Class B common stock of Tradeweb Markets, Inc. (post-IPO period). For a summary of the calculation of Adjusted Diluted EPS, see “Reconciliation of Diluted Weighted Average Shares Outstanding to Adjusted Diluted Weighted Average Shares Outstanding” below.</w:t>
      </w:r>
    </w:p>
    <w:p>
      <w:pPr>
        <w:spacing w:after="0" w:line="84"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The following table summarizes the calculation of Adjusted Diluted EPS for the three months ended</w:t>
      </w:r>
    </w:p>
    <w:p>
      <w:pPr>
        <w:spacing w:after="0" w:line="3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March 31, 2020 and 2019:</w:t>
      </w:r>
    </w:p>
    <w:p>
      <w:pPr>
        <w:spacing w:after="0" w:line="135"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136"/>
              <w:spacing w:after="0"/>
              <w:rPr>
                <w:sz w:val="20"/>
                <w:szCs w:val="20"/>
                <w:color w:val="auto"/>
              </w:rPr>
            </w:pPr>
            <w:r>
              <w:rPr>
                <w:rFonts w:ascii="Arial" w:cs="Arial" w:eastAsia="Arial" w:hAnsi="Arial"/>
                <w:sz w:val="14"/>
                <w:szCs w:val="14"/>
                <w:b w:val="1"/>
                <w:bCs w:val="1"/>
                <w:color w:val="auto"/>
              </w:rPr>
              <w:t>Post-IPO</w:t>
            </w:r>
          </w:p>
        </w:tc>
        <w:tc>
          <w:tcPr>
            <w:tcW w:w="10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rPr>
              <w:t>Pre-IPO</w:t>
            </w:r>
          </w:p>
        </w:tc>
      </w:tr>
      <w:tr>
        <w:trPr>
          <w:trHeight w:val="186"/>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rPr>
              <w:t>Period</w:t>
            </w:r>
          </w:p>
        </w:tc>
        <w:tc>
          <w:tcPr>
            <w:tcW w:w="100" w:type="dxa"/>
            <w:vAlign w:val="bottom"/>
          </w:tcPr>
          <w:p>
            <w:pPr>
              <w:spacing w:after="0"/>
              <w:rPr>
                <w:sz w:val="16"/>
                <w:szCs w:val="16"/>
                <w:color w:val="auto"/>
              </w:rPr>
            </w:pPr>
          </w:p>
        </w:tc>
        <w:tc>
          <w:tcPr>
            <w:tcW w:w="900" w:type="dxa"/>
            <w:vAlign w:val="bottom"/>
          </w:tcPr>
          <w:p>
            <w:pPr>
              <w:jc w:val="center"/>
              <w:ind w:right="36"/>
              <w:spacing w:after="0"/>
              <w:rPr>
                <w:sz w:val="20"/>
                <w:szCs w:val="20"/>
                <w:color w:val="auto"/>
              </w:rPr>
            </w:pPr>
            <w:r>
              <w:rPr>
                <w:rFonts w:ascii="Arial" w:cs="Arial" w:eastAsia="Arial" w:hAnsi="Arial"/>
                <w:sz w:val="14"/>
                <w:szCs w:val="14"/>
                <w:b w:val="1"/>
                <w:bCs w:val="1"/>
                <w:color w:val="auto"/>
                <w:w w:val="96"/>
              </w:rPr>
              <w:t>Period</w:t>
            </w:r>
          </w:p>
        </w:tc>
      </w:tr>
      <w:tr>
        <w:trPr>
          <w:trHeight w:val="26"/>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r>
      <w:tr>
        <w:trPr>
          <w:trHeight w:val="173"/>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gridSpan w:val="2"/>
          </w:tcPr>
          <w:p>
            <w:pPr>
              <w:jc w:val="center"/>
              <w:ind w:right="56"/>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Three Months</w:t>
            </w:r>
          </w:p>
        </w:tc>
      </w:tr>
      <w:tr>
        <w:trPr>
          <w:trHeight w:val="162"/>
        </w:trPr>
        <w:tc>
          <w:tcPr>
            <w:tcW w:w="6120" w:type="dxa"/>
            <w:vAlign w:val="bottom"/>
            <w:gridSpan w:val="3"/>
          </w:tcPr>
          <w:p>
            <w:pPr>
              <w:spacing w:after="0"/>
              <w:rPr>
                <w:sz w:val="20"/>
                <w:szCs w:val="20"/>
                <w:color w:val="auto"/>
              </w:rPr>
            </w:pPr>
            <w:r>
              <w:rPr>
                <w:rFonts w:ascii="Arial" w:cs="Arial" w:eastAsia="Arial" w:hAnsi="Arial"/>
                <w:sz w:val="14"/>
                <w:szCs w:val="14"/>
                <w:b w:val="1"/>
                <w:bCs w:val="1"/>
                <w:color w:val="auto"/>
                <w:w w:val="97"/>
              </w:rPr>
              <w:t>Reconciliation of Diluted Weighted Average Shares Outstanding to Adjusted Diluted Weighted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136"/>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w w:val="98"/>
              </w:rPr>
              <w:t>Ended</w:t>
            </w:r>
          </w:p>
        </w:tc>
      </w:tr>
      <w:tr>
        <w:trPr>
          <w:trHeight w:val="186"/>
        </w:trPr>
        <w:tc>
          <w:tcPr>
            <w:tcW w:w="6120" w:type="dxa"/>
            <w:vAlign w:val="bottom"/>
            <w:gridSpan w:val="3"/>
          </w:tcPr>
          <w:p>
            <w:pPr>
              <w:spacing w:after="0"/>
              <w:rPr>
                <w:sz w:val="20"/>
                <w:szCs w:val="20"/>
                <w:color w:val="auto"/>
              </w:rPr>
            </w:pPr>
            <w:r>
              <w:rPr>
                <w:rFonts w:ascii="Arial" w:cs="Arial" w:eastAsia="Arial" w:hAnsi="Arial"/>
                <w:sz w:val="14"/>
                <w:szCs w:val="14"/>
                <w:b w:val="1"/>
                <w:bCs w:val="1"/>
                <w:color w:val="auto"/>
              </w:rPr>
              <w:t>Average Shares Outstanding</w:t>
            </w:r>
          </w:p>
        </w:tc>
        <w:tc>
          <w:tcPr>
            <w:tcW w:w="40" w:type="dxa"/>
            <w:vAlign w:val="bottom"/>
          </w:tcPr>
          <w:p>
            <w:pPr>
              <w:spacing w:after="0"/>
              <w:rPr>
                <w:sz w:val="16"/>
                <w:szCs w:val="16"/>
                <w:color w:val="auto"/>
              </w:rPr>
            </w:pPr>
          </w:p>
        </w:tc>
        <w:tc>
          <w:tcPr>
            <w:tcW w:w="2060" w:type="dxa"/>
            <w:vAlign w:val="bottom"/>
            <w:gridSpan w:val="4"/>
          </w:tcPr>
          <w:p>
            <w:pPr>
              <w:spacing w:after="0"/>
              <w:rPr>
                <w:sz w:val="20"/>
                <w:szCs w:val="20"/>
                <w:color w:val="auto"/>
              </w:rPr>
            </w:pPr>
            <w:r>
              <w:rPr>
                <w:rFonts w:ascii="Arial" w:cs="Arial" w:eastAsia="Arial" w:hAnsi="Arial"/>
                <w:sz w:val="14"/>
                <w:szCs w:val="14"/>
                <w:b w:val="1"/>
                <w:bCs w:val="1"/>
                <w:color w:val="auto"/>
              </w:rPr>
              <w:t>March 31, 2020 March 31, 2019</w:t>
            </w:r>
          </w:p>
        </w:tc>
      </w:tr>
      <w:tr>
        <w:trPr>
          <w:trHeight w:val="26"/>
        </w:trPr>
        <w:tc>
          <w:tcPr>
            <w:tcW w:w="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weighted average TWM LLC shares outstanding</w:t>
            </w:r>
          </w:p>
        </w:tc>
        <w:tc>
          <w:tcPr>
            <w:tcW w:w="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223,320,457</w:t>
            </w:r>
          </w:p>
        </w:tc>
      </w:tr>
      <w:tr>
        <w:trPr>
          <w:trHeight w:val="229"/>
        </w:trPr>
        <w:tc>
          <w:tcPr>
            <w:tcW w:w="6120" w:type="dxa"/>
            <w:vAlign w:val="bottom"/>
            <w:gridSpan w:val="3"/>
          </w:tcPr>
          <w:p>
            <w:pPr>
              <w:spacing w:after="0"/>
              <w:rPr>
                <w:sz w:val="20"/>
                <w:szCs w:val="20"/>
                <w:color w:val="auto"/>
              </w:rPr>
            </w:pPr>
            <w:r>
              <w:rPr>
                <w:rFonts w:ascii="Arial" w:cs="Arial" w:eastAsia="Arial" w:hAnsi="Arial"/>
                <w:sz w:val="18"/>
                <w:szCs w:val="18"/>
                <w:color w:val="auto"/>
              </w:rPr>
              <w:t>Diluted weighted average shares of Class A and Class B common stock</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6100" w:type="dxa"/>
            <w:vAlign w:val="bottom"/>
            <w:gridSpan w:val="2"/>
          </w:tcPr>
          <w:p>
            <w:pPr>
              <w:ind w:left="160"/>
              <w:spacing w:after="0"/>
              <w:rPr>
                <w:sz w:val="20"/>
                <w:szCs w:val="20"/>
                <w:color w:val="auto"/>
              </w:rPr>
            </w:pPr>
            <w:r>
              <w:rPr>
                <w:rFonts w:ascii="Arial" w:cs="Arial" w:eastAsia="Arial" w:hAnsi="Arial"/>
                <w:sz w:val="18"/>
                <w:szCs w:val="18"/>
                <w:color w:val="auto"/>
              </w:rPr>
              <w:t>outstanding</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7"/>
              </w:rPr>
              <w:t>174,517,244</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8"/>
        </w:trPr>
        <w:tc>
          <w:tcPr>
            <w:tcW w:w="20" w:type="dxa"/>
            <w:vAlign w:val="bottom"/>
          </w:tcPr>
          <w:p>
            <w:pPr>
              <w:spacing w:after="0"/>
              <w:rPr>
                <w:sz w:val="17"/>
                <w:szCs w:val="17"/>
                <w:color w:val="auto"/>
              </w:rPr>
            </w:pPr>
          </w:p>
        </w:tc>
        <w:tc>
          <w:tcPr>
            <w:tcW w:w="610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w w:val="97"/>
              </w:rPr>
              <w:t>Assumed exchange of LLC interests for shares of Class A or Class B common</w:t>
            </w:r>
          </w:p>
        </w:tc>
        <w:tc>
          <w:tcPr>
            <w:tcW w:w="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308"/>
        </w:trPr>
        <w:tc>
          <w:tcPr>
            <w:tcW w:w="20" w:type="dxa"/>
            <w:vAlign w:val="bottom"/>
          </w:tcPr>
          <w:p>
            <w:pPr>
              <w:spacing w:after="0"/>
              <w:rPr>
                <w:sz w:val="24"/>
                <w:szCs w:val="24"/>
                <w:color w:val="auto"/>
              </w:rPr>
            </w:pPr>
          </w:p>
        </w:tc>
        <w:tc>
          <w:tcPr>
            <w:tcW w:w="6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stock</w:t>
            </w:r>
            <w:r>
              <w:rPr>
                <w:rFonts w:ascii="Arial" w:cs="Arial" w:eastAsia="Arial" w:hAnsi="Arial"/>
                <w:sz w:val="26"/>
                <w:szCs w:val="26"/>
                <w:color w:val="auto"/>
                <w:vertAlign w:val="superscript"/>
              </w:rPr>
              <w:t>(1)</w:t>
            </w:r>
          </w:p>
        </w:tc>
        <w:tc>
          <w:tcPr>
            <w:tcW w:w="40" w:type="dxa"/>
            <w:vAlign w:val="bottom"/>
            <w:tcBorders>
              <w:right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57,644,547</w:t>
            </w:r>
          </w:p>
        </w:tc>
        <w:tc>
          <w:tcPr>
            <w:tcW w:w="1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6120" w:type="dxa"/>
            <w:vAlign w:val="bottom"/>
            <w:gridSpan w:val="3"/>
          </w:tcPr>
          <w:p>
            <w:pPr>
              <w:spacing w:after="0"/>
              <w:rPr>
                <w:sz w:val="20"/>
                <w:szCs w:val="20"/>
                <w:color w:val="auto"/>
              </w:rPr>
            </w:pPr>
            <w:r>
              <w:rPr>
                <w:rFonts w:ascii="Arial" w:cs="Arial" w:eastAsia="Arial" w:hAnsi="Arial"/>
                <w:sz w:val="18"/>
                <w:szCs w:val="18"/>
                <w:color w:val="auto"/>
              </w:rPr>
              <w:t>Adjusted diluted weighted average shares outstanding</w:t>
            </w: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232,161,791</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223,320,457</w:t>
            </w: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900" w:type="dxa"/>
            <w:vAlign w:val="bottom"/>
            <w:tcBorders>
              <w:top w:val="single" w:sz="8" w:color="CCEEFF"/>
            </w:tcBorders>
            <w:shd w:val="clear" w:color="auto" w:fill="000000"/>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Income (in thousands)</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52,190</w:t>
            </w: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120" w:type="dxa"/>
            <w:vAlign w:val="bottom"/>
            <w:gridSpan w:val="3"/>
          </w:tcPr>
          <w:p>
            <w:pPr>
              <w:spacing w:after="0"/>
              <w:rPr>
                <w:sz w:val="20"/>
                <w:szCs w:val="20"/>
                <w:color w:val="auto"/>
              </w:rPr>
            </w:pPr>
            <w:r>
              <w:rPr>
                <w:rFonts w:ascii="Arial" w:cs="Arial" w:eastAsia="Arial" w:hAnsi="Arial"/>
                <w:sz w:val="18"/>
                <w:szCs w:val="18"/>
                <w:color w:val="auto"/>
              </w:rPr>
              <w:t>Adjusted Diluted EPS</w:t>
            </w: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4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134" w:lineRule="exact"/>
        <w:rPr>
          <w:sz w:val="20"/>
          <w:szCs w:val="20"/>
          <w:color w:val="auto"/>
        </w:rPr>
      </w:pPr>
    </w:p>
    <w:p>
      <w:pPr>
        <w:ind w:left="1640" w:right="719" w:hanging="354"/>
        <w:spacing w:after="0" w:line="263" w:lineRule="auto"/>
        <w:tabs>
          <w:tab w:leader="none" w:pos="1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Assumes the full exchange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Dividend</w:t>
      </w:r>
    </w:p>
    <w:p>
      <w:pPr>
        <w:spacing w:after="0" w:line="104" w:lineRule="exact"/>
        <w:rPr>
          <w:sz w:val="20"/>
          <w:szCs w:val="20"/>
          <w:color w:val="auto"/>
        </w:rPr>
      </w:pPr>
    </w:p>
    <w:p>
      <w:pPr>
        <w:jc w:val="both"/>
        <w:ind w:left="1280" w:right="1019" w:firstLine="360"/>
        <w:spacing w:after="0" w:line="286" w:lineRule="auto"/>
        <w:rPr>
          <w:sz w:val="20"/>
          <w:szCs w:val="20"/>
          <w:color w:val="auto"/>
        </w:rPr>
      </w:pPr>
      <w:r>
        <w:rPr>
          <w:rFonts w:ascii="Arial" w:cs="Arial" w:eastAsia="Arial" w:hAnsi="Arial"/>
          <w:sz w:val="17"/>
          <w:szCs w:val="17"/>
          <w:color w:val="auto"/>
        </w:rPr>
        <w:t>On February 11, 2020, the board of directors of Tradeweb Markets Inc. declared a cash dividend of $0.08 per share of Class A common stock and Class B common stock for the first quarter of 2020. This dividend was paid on March 16, 2020 in an aggregate amount of $13.4 million. See “Dividend Policy.”</w:t>
      </w:r>
    </w:p>
    <w:p>
      <w:pPr>
        <w:spacing w:after="0" w:line="14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Summary of Our Organizational Structure and Related Matters</w:t>
      </w:r>
    </w:p>
    <w:p>
      <w:pPr>
        <w:spacing w:after="0" w:line="108" w:lineRule="exact"/>
        <w:rPr>
          <w:sz w:val="20"/>
          <w:szCs w:val="20"/>
          <w:color w:val="auto"/>
        </w:rPr>
      </w:pPr>
    </w:p>
    <w:p>
      <w:pPr>
        <w:ind w:left="1280" w:right="879" w:firstLine="360"/>
        <w:spacing w:after="0" w:line="271" w:lineRule="auto"/>
        <w:rPr>
          <w:sz w:val="20"/>
          <w:szCs w:val="20"/>
          <w:color w:val="auto"/>
        </w:rPr>
      </w:pPr>
      <w:r>
        <w:rPr>
          <w:rFonts w:ascii="Arial" w:cs="Arial" w:eastAsia="Arial" w:hAnsi="Arial"/>
          <w:sz w:val="17"/>
          <w:szCs w:val="17"/>
          <w:color w:val="auto"/>
        </w:rPr>
        <w:t>On April 8, 2019, we completed our IPO of 46,000,000 shares of Class A common stock at a public offering price of $27.00 per share, which included 6,000,000 shares of Class A common stock issued pursuant to the underwriters’ option to purchase additional shares of Class A common stock. We received $1,161.3 million in net proceeds, after deducting underwriting discounts and commissions, but before deducting offering expenses of $15.9 million, which we used to purchase 46,000,000 LLC Interests from certain of the Bank Stockholders (and the corresponding shares of common stock held by such Bank Stockholders were cancelled), at a purchase price per interest equal to the public offering price of $27.00, less the underwriting discounts and commissions payable thereon.</w:t>
      </w:r>
    </w:p>
    <w:p>
      <w:pPr>
        <w:spacing w:after="0" w:line="70" w:lineRule="exact"/>
        <w:rPr>
          <w:sz w:val="20"/>
          <w:szCs w:val="20"/>
          <w:color w:val="auto"/>
        </w:rPr>
      </w:pPr>
    </w:p>
    <w:p>
      <w:pPr>
        <w:ind w:left="1280" w:right="719" w:firstLine="360"/>
        <w:spacing w:after="0" w:line="257" w:lineRule="auto"/>
        <w:rPr>
          <w:sz w:val="20"/>
          <w:szCs w:val="20"/>
          <w:color w:val="auto"/>
        </w:rPr>
      </w:pPr>
      <w:r>
        <w:rPr>
          <w:rFonts w:ascii="Arial" w:cs="Arial" w:eastAsia="Arial" w:hAnsi="Arial"/>
          <w:sz w:val="18"/>
          <w:szCs w:val="18"/>
          <w:color w:val="auto"/>
        </w:rPr>
        <w:t>Prior to the completion of the IPO and Reorganization Transactions described below, the Original LLC Owners were the only members of TWM LLC. Tradeweb Markets Inc. was incorporated as a Delaware corporation on November 7, 2018 to serve as the issuer of the Class A common stock offered in the IPO. Prior to the closing of the IPO, we consummated the Reorganization Transactions. In connection with the Reorganization Transactions, the following steps occurred:</w:t>
      </w:r>
    </w:p>
    <w:p>
      <w:pPr>
        <w:spacing w:after="0" w:line="107" w:lineRule="exact"/>
        <w:rPr>
          <w:sz w:val="20"/>
          <w:szCs w:val="20"/>
          <w:color w:val="auto"/>
        </w:rPr>
      </w:pPr>
    </w:p>
    <w:p>
      <w:pPr>
        <w:ind w:left="2000" w:right="819" w:hanging="354"/>
        <w:spacing w:after="0" w:line="269" w:lineRule="auto"/>
        <w:tabs>
          <w:tab w:leader="none" w:pos="2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amended and restated the limited liability company agreement of TWM LLC (as so amended, the “TWM LLC Agreement”) to, among other things, (i) provide for LLC Interests that are the single class of common membership interests in TWM LLC, (ii) exchange all of the existing membership interests in TWM LLC for LLC Interests and (iii) appoint us as the sole manager of</w:t>
      </w:r>
    </w:p>
    <w:p>
      <w:pPr>
        <w:spacing w:after="0" w:line="1" w:lineRule="exact"/>
        <w:rPr>
          <w:rFonts w:ascii="Arial" w:cs="Arial" w:eastAsia="Arial" w:hAnsi="Arial"/>
          <w:sz w:val="17"/>
          <w:szCs w:val="17"/>
          <w:color w:val="auto"/>
        </w:rPr>
      </w:pPr>
    </w:p>
    <w:p>
      <w:pPr>
        <w:ind w:left="2000"/>
        <w:spacing w:after="0"/>
        <w:rPr>
          <w:rFonts w:ascii="Arial" w:cs="Arial" w:eastAsia="Arial" w:hAnsi="Arial"/>
          <w:sz w:val="17"/>
          <w:szCs w:val="17"/>
          <w:color w:val="auto"/>
        </w:rPr>
      </w:pPr>
      <w:r>
        <w:rPr>
          <w:rFonts w:ascii="Arial" w:cs="Arial" w:eastAsia="Arial" w:hAnsi="Arial"/>
          <w:sz w:val="18"/>
          <w:szCs w:val="18"/>
          <w:color w:val="auto"/>
        </w:rPr>
        <w:t>TWM LLC;</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0" w:right="739" w:hanging="354"/>
        <w:spacing w:after="0" w:line="253" w:lineRule="auto"/>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amended and restated our certificate of incorporation to, among other things, provide for Class A common stock, Class B common stock, Class C common stock and Class D common stock. Each share of Class A common stock and Class C common stock entitles its holder to one vote on all matters presented to our stockholders generally. Each share of Class B common stock and Class D common stock entitles its holder to ten votes on all matters presented to our stockholders generally. The holders of Class C common stock and Class D common stock have no economic interests in Tradeweb (where “economic interests” means the right to receive any dividends or distributions, whether cash or stock, in connection with common stock). These attributes are summarized in the following table:</w:t>
      </w:r>
    </w:p>
    <w:p>
      <w:pPr>
        <w:spacing w:after="0" w:line="120" w:lineRule="exact"/>
        <w:rPr>
          <w:sz w:val="20"/>
          <w:szCs w:val="20"/>
          <w:color w:val="auto"/>
        </w:rPr>
      </w:pPr>
    </w:p>
    <w:tbl>
      <w:tblPr>
        <w:tblLayout w:type="fixed"/>
        <w:tblInd w:w="200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ind w:left="280"/>
              <w:spacing w:after="0"/>
              <w:rPr>
                <w:sz w:val="20"/>
                <w:szCs w:val="20"/>
                <w:color w:val="auto"/>
              </w:rPr>
            </w:pPr>
            <w:r>
              <w:rPr>
                <w:rFonts w:ascii="Arial" w:cs="Arial" w:eastAsia="Arial" w:hAnsi="Arial"/>
                <w:sz w:val="14"/>
                <w:szCs w:val="14"/>
                <w:b w:val="1"/>
                <w:bCs w:val="1"/>
                <w:color w:val="auto"/>
              </w:rPr>
              <w:t>Economic</w:t>
            </w:r>
          </w:p>
        </w:tc>
      </w:tr>
      <w:tr>
        <w:trPr>
          <w:trHeight w:val="186"/>
        </w:trPr>
        <w:tc>
          <w:tcPr>
            <w:tcW w:w="4940" w:type="dxa"/>
            <w:vAlign w:val="bottom"/>
            <w:gridSpan w:val="2"/>
          </w:tcPr>
          <w:p>
            <w:pPr>
              <w:spacing w:after="0"/>
              <w:rPr>
                <w:sz w:val="20"/>
                <w:szCs w:val="20"/>
                <w:color w:val="auto"/>
              </w:rPr>
            </w:pPr>
            <w:r>
              <w:rPr>
                <w:rFonts w:ascii="Arial" w:cs="Arial" w:eastAsia="Arial" w:hAnsi="Arial"/>
                <w:sz w:val="14"/>
                <w:szCs w:val="14"/>
                <w:b w:val="1"/>
                <w:bCs w:val="1"/>
                <w:color w:val="auto"/>
              </w:rPr>
              <w:t>Class of Common Stock</w:t>
            </w: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Votes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6"/>
              </w:rPr>
              <w:t>Rights</w:t>
            </w:r>
          </w:p>
        </w:tc>
      </w:tr>
      <w:tr>
        <w:trPr>
          <w:trHeight w:val="26"/>
        </w:trPr>
        <w:tc>
          <w:tcPr>
            <w:tcW w:w="4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11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57"/>
        </w:trPr>
        <w:tc>
          <w:tcPr>
            <w:tcW w:w="4940" w:type="dxa"/>
            <w:vAlign w:val="bottom"/>
            <w:gridSpan w:val="2"/>
          </w:tcPr>
          <w:p>
            <w:pPr>
              <w:spacing w:after="0"/>
              <w:rPr>
                <w:sz w:val="20"/>
                <w:szCs w:val="20"/>
                <w:color w:val="auto"/>
              </w:rPr>
            </w:pPr>
            <w:r>
              <w:rPr>
                <w:rFonts w:ascii="Arial" w:cs="Arial" w:eastAsia="Arial" w:hAnsi="Arial"/>
                <w:sz w:val="18"/>
                <w:szCs w:val="18"/>
                <w:color w:val="auto"/>
              </w:rPr>
              <w:t>Class B common stock</w:t>
            </w:r>
          </w:p>
        </w:tc>
        <w:tc>
          <w:tcPr>
            <w:tcW w:w="1120" w:type="dxa"/>
            <w:vAlign w:val="bottom"/>
          </w:tcPr>
          <w:p>
            <w:pPr>
              <w:jc w:val="right"/>
              <w:ind w:right="374"/>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57"/>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common stock</w:t>
            </w:r>
          </w:p>
        </w:tc>
        <w:tc>
          <w:tcPr>
            <w:tcW w:w="11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57"/>
        </w:trPr>
        <w:tc>
          <w:tcPr>
            <w:tcW w:w="4940" w:type="dxa"/>
            <w:vAlign w:val="bottom"/>
            <w:gridSpan w:val="2"/>
          </w:tcPr>
          <w:p>
            <w:pPr>
              <w:spacing w:after="0"/>
              <w:rPr>
                <w:sz w:val="20"/>
                <w:szCs w:val="20"/>
                <w:color w:val="auto"/>
              </w:rPr>
            </w:pPr>
            <w:r>
              <w:rPr>
                <w:rFonts w:ascii="Arial" w:cs="Arial" w:eastAsia="Arial" w:hAnsi="Arial"/>
                <w:sz w:val="18"/>
                <w:szCs w:val="18"/>
                <w:color w:val="auto"/>
              </w:rPr>
              <w:t>Class D common stock</w:t>
            </w:r>
          </w:p>
        </w:tc>
        <w:tc>
          <w:tcPr>
            <w:tcW w:w="1120" w:type="dxa"/>
            <w:vAlign w:val="bottom"/>
          </w:tcPr>
          <w:p>
            <w:pPr>
              <w:jc w:val="right"/>
              <w:ind w:right="374"/>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spacing w:after="0" w:line="94" w:lineRule="exact"/>
        <w:rPr>
          <w:sz w:val="20"/>
          <w:szCs w:val="20"/>
          <w:color w:val="auto"/>
        </w:rPr>
      </w:pPr>
    </w:p>
    <w:p>
      <w:pPr>
        <w:ind w:left="1280" w:right="679" w:firstLine="360"/>
        <w:spacing w:after="0" w:line="263" w:lineRule="auto"/>
        <w:rPr>
          <w:sz w:val="20"/>
          <w:szCs w:val="20"/>
          <w:color w:val="auto"/>
        </w:rPr>
      </w:pPr>
      <w:r>
        <w:rPr>
          <w:rFonts w:ascii="Arial" w:cs="Arial" w:eastAsia="Arial" w:hAnsi="Arial"/>
          <w:sz w:val="18"/>
          <w:szCs w:val="18"/>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pacing w:after="0" w:line="89" w:lineRule="exact"/>
        <w:rPr>
          <w:sz w:val="20"/>
          <w:szCs w:val="20"/>
          <w:color w:val="auto"/>
        </w:rPr>
      </w:pPr>
    </w:p>
    <w:p>
      <w:pPr>
        <w:ind w:left="2000" w:right="999" w:hanging="354"/>
        <w:spacing w:after="0" w:line="311" w:lineRule="auto"/>
        <w:tabs>
          <w:tab w:leader="none" w:pos="2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assumed sponsorship of the Option Plan (as defined herein) and the PRSU Plan (as defined herein) that were previously sponsored by TWM LLC. Accordingly, all options and PRSUs granted under such plans were converted into economically equivalent awards of Tradeweb;</w:t>
      </w:r>
    </w:p>
    <w:p>
      <w:pPr>
        <w:spacing w:after="0" w:line="67" w:lineRule="exact"/>
        <w:rPr>
          <w:rFonts w:ascii="Arial" w:cs="Arial" w:eastAsia="Arial" w:hAnsi="Arial"/>
          <w:sz w:val="16"/>
          <w:szCs w:val="16"/>
          <w:color w:val="auto"/>
        </w:rPr>
      </w:pPr>
    </w:p>
    <w:p>
      <w:pPr>
        <w:ind w:left="2000" w:right="659" w:hanging="354"/>
        <w:spacing w:after="0" w:line="254" w:lineRule="auto"/>
        <w:tabs>
          <w:tab w:leader="none" w:pos="2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issued 20,000,000 shares of Class C common stock and 105,289,005 shares of Class D common stock to the Original LLC Owners that received LLC Interests on a one-to-one basis with the number of LLC Interests they owned immediately following the amendment and restatement of the TWM LLC Agreement, for nominal consideration (we subsequently canceled 9,993,731 shares of such Class C common stock and 36,006,269 shares of such Class D common stock in connection with our purchase of LLC Interests from certain of the Bank Stockholders using the net proceeds of the IPO);</w:t>
      </w:r>
    </w:p>
    <w:p>
      <w:pPr>
        <w:spacing w:after="0" w:line="100" w:lineRule="exact"/>
        <w:rPr>
          <w:rFonts w:ascii="Arial" w:cs="Arial" w:eastAsia="Arial" w:hAnsi="Arial"/>
          <w:sz w:val="18"/>
          <w:szCs w:val="18"/>
          <w:color w:val="auto"/>
        </w:rPr>
      </w:pPr>
    </w:p>
    <w:p>
      <w:pPr>
        <w:ind w:left="2000" w:right="659" w:hanging="354"/>
        <w:spacing w:after="0" w:line="255" w:lineRule="auto"/>
        <w:tabs>
          <w:tab w:leader="none" w:pos="2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a result of the Refinitiv Contribution, the Refinitiv Direct Owner received 96,933,192 shares of Class B common stock and we received 96,933,192 LLC Interests. The Refinitiv Direct Owner and other future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w:t>
      </w:r>
    </w:p>
    <w:p>
      <w:pPr>
        <w:spacing w:after="0" w:line="111" w:lineRule="exact"/>
        <w:rPr>
          <w:rFonts w:ascii="Arial" w:cs="Arial" w:eastAsia="Arial" w:hAnsi="Arial"/>
          <w:sz w:val="18"/>
          <w:szCs w:val="18"/>
          <w:color w:val="auto"/>
        </w:rPr>
      </w:pPr>
    </w:p>
    <w:p>
      <w:pPr>
        <w:ind w:left="2000" w:right="659" w:hanging="354"/>
        <w:spacing w:after="0" w:line="252" w:lineRule="auto"/>
        <w:tabs>
          <w:tab w:leader="none" w:pos="2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LLC Interests held by the Continuing LLC Owners are redeemable in accordance with the terms of the TWM LLC Agreement, at the election of such holders, for newly issued shares of Class A common stock or Class B common stock, as the case may be, on a one-for-one basis (and such holders’ shares of Class C common stock or Class D common stock, as the case may be, will be cancelled on a one-for-one basis upon any such issuance). The Continuing LLC Owners that hold shares of Class D common stock may also from time to time exchange all or a portion of their shares of our Class D common stock for newly issued shares of Class C common stock on a one-for-one basis (in which case their shares of Class D common stock will be cancelled on a one-for-one basis upon such issuance). In addition, with respect to each Bank Stockholder that holds shares of Class D common stock, immediately prior to the occurrence of any event that would cause the combined voting power held by such Bank Stockholder to exceed 4.9%, the minimum number of shares of Class D common stock of such Bank Stockholder that would need to convert into shares of Class C common stock such that the combined voting power held by such Bank Stockholder would not exceed 4.9% will automatically convert into shares of Class C common stock;</w:t>
      </w:r>
    </w:p>
    <w:p>
      <w:pPr>
        <w:spacing w:after="0" w:line="114" w:lineRule="exact"/>
        <w:rPr>
          <w:rFonts w:ascii="Arial" w:cs="Arial" w:eastAsia="Arial" w:hAnsi="Arial"/>
          <w:sz w:val="18"/>
          <w:szCs w:val="18"/>
          <w:color w:val="auto"/>
        </w:rPr>
      </w:pPr>
    </w:p>
    <w:p>
      <w:pPr>
        <w:ind w:left="2000" w:hanging="354"/>
        <w:spacing w:after="0"/>
        <w:tabs>
          <w:tab w:leader="none" w:pos="2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the event of such election by a Continuing LLC Owner, we may, at our option, effect a direct</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0" w:right="659"/>
        <w:spacing w:after="0" w:line="271" w:lineRule="auto"/>
        <w:rPr>
          <w:sz w:val="20"/>
          <w:szCs w:val="20"/>
          <w:color w:val="auto"/>
        </w:rPr>
      </w:pPr>
      <w:r>
        <w:rPr>
          <w:rFonts w:ascii="Arial" w:cs="Arial" w:eastAsia="Arial" w:hAnsi="Arial"/>
          <w:sz w:val="17"/>
          <w:szCs w:val="17"/>
          <w:color w:val="auto"/>
        </w:rPr>
        <w:t>exchange of Class A common stock or Class B common stock, as the case may be, for such LLC Interests of such Continuing LLC Owner in lieu of such redemption. In addition, Tradeweb’s board of directors, which includes directors who hold LLC Interests or are affiliated with holders of LLC Interests and may include such directors in the future, may, at its option, instead of the foregoing redemptions or exchanges of LLC Interests, cause the Company to make a cash payment equal to a volume weighted average market price of one share of Class A common stock for each LLC Interest redeemed or exchanged (subject to customary adjustments, including for stock splits, stock dividends and reclassifications) in accordance with the terms of the TWM LLC Agreement;</w:t>
      </w:r>
    </w:p>
    <w:p>
      <w:pPr>
        <w:spacing w:after="0" w:line="57" w:lineRule="exact"/>
        <w:rPr>
          <w:sz w:val="20"/>
          <w:szCs w:val="20"/>
          <w:color w:val="auto"/>
        </w:rPr>
      </w:pPr>
    </w:p>
    <w:p>
      <w:pPr>
        <w:ind w:left="2000" w:right="659" w:hanging="354"/>
        <w:spacing w:after="0" w:line="253" w:lineRule="auto"/>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share of our Class B common stock will automatically convert into one share of Class A common stock and each share of our Class D common stock will automatically convert into one share of our Class C common stock (i) immediately prior to any sale or other transfer of such share by a holder or its permitted transferees to a non-permitted transferee, or (ii) once the Refinitiv Owners and their affiliates together no longer beneficially own a number of shares of our common stock and LLC Interests that together entitle them to at least 10% of TWM LLC’s economic interest. Holders of LLC Interests that receive shares of Class C common stock upon any such conversion may continue to elect to have their LLC Interests redeemed for newly issued shares of Class A common stock as described above (in which case their shares of Class C common stock will be cancelled on a one-for-one basis upon such issuance). See “Description of Capital Stock;” and</w:t>
      </w:r>
    </w:p>
    <w:p>
      <w:pPr>
        <w:spacing w:after="0" w:line="83" w:lineRule="exact"/>
        <w:rPr>
          <w:rFonts w:ascii="Arial" w:cs="Arial" w:eastAsia="Arial" w:hAnsi="Arial"/>
          <w:sz w:val="18"/>
          <w:szCs w:val="18"/>
          <w:color w:val="auto"/>
        </w:rPr>
      </w:pPr>
    </w:p>
    <w:p>
      <w:pPr>
        <w:ind w:left="2000" w:right="739" w:hanging="354"/>
        <w:spacing w:after="0" w:line="259" w:lineRule="auto"/>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Tradeweb entered into (i) a tax receivable agreement (the “Tax Receivable Agreement”) with TWM LLC and the Continuing LLC Owners, (ii) a stockholders agreement (the “Stockholders Agreement”) with the Refinitiv Owners and (iii) a registration rights agreement (the “Registration Rights Agreement”) with the Refinitiv Owners and the Bank Stockholders.</w:t>
      </w:r>
    </w:p>
    <w:p>
      <w:pPr>
        <w:spacing w:after="0" w:line="79" w:lineRule="exact"/>
        <w:rPr>
          <w:sz w:val="20"/>
          <w:szCs w:val="20"/>
          <w:color w:val="auto"/>
        </w:rPr>
      </w:pPr>
    </w:p>
    <w:p>
      <w:pPr>
        <w:ind w:left="1280" w:right="679" w:firstLine="360"/>
        <w:spacing w:after="0" w:line="270" w:lineRule="auto"/>
        <w:rPr>
          <w:sz w:val="20"/>
          <w:szCs w:val="20"/>
          <w:color w:val="auto"/>
        </w:rPr>
      </w:pPr>
      <w:r>
        <w:rPr>
          <w:rFonts w:ascii="Arial" w:cs="Arial" w:eastAsia="Arial" w:hAnsi="Arial"/>
          <w:sz w:val="17"/>
          <w:szCs w:val="17"/>
          <w:color w:val="auto"/>
        </w:rPr>
        <w:t>In October 2019, we completed a follow-on offering of 19,881,059 shares of Class A common stock at a public offering price of $42.00 per share, which included 2,593,181 shares of Class A common stock issued pursuant to the underwriters’ option to purchase additional shares of Class A common stock. We received $810.0 million in net proceeds, after deducting underwriting discounts and commissions but before deducting offering expenses, which were used to purchase LLC Interests from certain Bank Stockholders and executive officers (and the corresponding shares of common stock were cancelled) and shares of Class A common stock from certain executive officers (and such shares of Class A common stock were cancelled), at a purchase price per interest and share equal to the public offering price of $42.00 per share, less the underwriting discounts and commissions payable thereon.</w:t>
      </w:r>
    </w:p>
    <w:p>
      <w:pPr>
        <w:spacing w:after="0" w:line="73" w:lineRule="exact"/>
        <w:rPr>
          <w:sz w:val="20"/>
          <w:szCs w:val="20"/>
          <w:color w:val="auto"/>
        </w:rPr>
      </w:pPr>
    </w:p>
    <w:p>
      <w:pPr>
        <w:ind w:left="1280" w:right="679" w:firstLine="360"/>
        <w:spacing w:after="0" w:line="254" w:lineRule="auto"/>
        <w:rPr>
          <w:sz w:val="20"/>
          <w:szCs w:val="20"/>
          <w:color w:val="auto"/>
        </w:rPr>
      </w:pPr>
      <w:r>
        <w:rPr>
          <w:rFonts w:ascii="Arial" w:cs="Arial" w:eastAsia="Arial" w:hAnsi="Arial"/>
          <w:sz w:val="18"/>
          <w:szCs w:val="18"/>
          <w:color w:val="auto"/>
        </w:rPr>
        <w:t>In addition to the IPO and the October 2019 follow-on offering transactions described above, during the year ended December 31, 2019, certain Continuing LLC Owners exercised their redemption rights under the TWM LLC Agreement, pursuant to which 271,184 LLC Interests were exchanged for 271,184 newly-issued shares of Class A common stock. Simultaneously, and in connection with these exchanges, 271,184 shares of Class D common stock were surrendered by these Continuing LLC Owners and cancelled. Additionally, in connection with these exchanges, Tradeweb Markets Inc. received 271,184 LLC Interests, increasing its total ownership interest in TWM LLC.</w:t>
      </w:r>
    </w:p>
    <w:p>
      <w:pPr>
        <w:spacing w:after="0" w:line="87" w:lineRule="exact"/>
        <w:rPr>
          <w:sz w:val="20"/>
          <w:szCs w:val="20"/>
          <w:color w:val="auto"/>
        </w:rPr>
      </w:pPr>
    </w:p>
    <w:p>
      <w:pPr>
        <w:ind w:left="1280" w:right="779" w:firstLine="360"/>
        <w:spacing w:after="0" w:line="270" w:lineRule="auto"/>
        <w:rPr>
          <w:sz w:val="20"/>
          <w:szCs w:val="20"/>
          <w:color w:val="auto"/>
        </w:rPr>
      </w:pPr>
      <w:r>
        <w:rPr>
          <w:rFonts w:ascii="Arial" w:cs="Arial" w:eastAsia="Arial" w:hAnsi="Arial"/>
          <w:sz w:val="17"/>
          <w:szCs w:val="17"/>
          <w:color w:val="auto"/>
        </w:rPr>
        <w:t>We will issue 10,950,000 shares of Class A common stock (or 12,592,500 shares of Class A common stock, if the underwriters exercise in full their option to purchase additional shares of Class A common stock) to the purchasers in this offering in exchange for approximately $566.1 million of net proceeds (or approximately $651.0 million, if the underwriters exercise in full their option to purchase additional shares of Class A common stock) based on assumed price of $53.16 per share of our Class A common stock (the closing price for our shares of Class A common stock on Nasdaq on April 16, 2020), after deducting underwriting discounts, but before deducting estimated offering expenses. We estimate that the offering expenses (other than the underwriting discounts and commissions) will be approximately $3.1 million. All of such offering expenses will be paid for or otherwise borne by TWM LLC.</w:t>
      </w:r>
    </w:p>
    <w:p>
      <w:pPr>
        <w:spacing w:after="0" w:line="73" w:lineRule="exact"/>
        <w:rPr>
          <w:sz w:val="20"/>
          <w:szCs w:val="20"/>
          <w:color w:val="auto"/>
        </w:rPr>
      </w:pPr>
    </w:p>
    <w:p>
      <w:pPr>
        <w:ind w:left="1280" w:right="739" w:firstLine="360"/>
        <w:spacing w:after="0" w:line="263" w:lineRule="auto"/>
        <w:rPr>
          <w:sz w:val="20"/>
          <w:szCs w:val="20"/>
          <w:color w:val="auto"/>
        </w:rPr>
      </w:pPr>
      <w:r>
        <w:rPr>
          <w:rFonts w:ascii="Arial" w:cs="Arial" w:eastAsia="Arial" w:hAnsi="Arial"/>
          <w:sz w:val="18"/>
          <w:szCs w:val="18"/>
          <w:color w:val="auto"/>
        </w:rPr>
        <w:t>After the completion of this offering, in order to facilitate the disposition of equity interests held by certain of our equityholders, we intend to use the net proceeds from this offering to purchase (i) 10,633,603 issued and outstanding LLC Interests (or 12,228,645 LLC Interests, if the underwriters</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99"/>
        <w:spacing w:after="0" w:line="253" w:lineRule="auto"/>
        <w:rPr>
          <w:sz w:val="20"/>
          <w:szCs w:val="20"/>
          <w:color w:val="auto"/>
        </w:rPr>
      </w:pPr>
      <w:r>
        <w:rPr>
          <w:rFonts w:ascii="Arial" w:cs="Arial" w:eastAsia="Arial" w:hAnsi="Arial"/>
          <w:sz w:val="18"/>
          <w:szCs w:val="18"/>
          <w:color w:val="auto"/>
        </w:rPr>
        <w:t>exercise in full their option to purchase additional shares of Class A common stock) from certain of the Bank Stockholders (collectively, the “Selling LLC Owners”) (and cancel the corresponding shares of common stock held by such Selling LLC Owners) and (ii) 316,397 issued and outstanding shares of Class A common stock (or 363,855 shares of Class A common stock, if the underwriters exercise in full their option to purchase additional shares of Class A common stock) from certain executive officers following the Net Exercise, as applicable (and cancel such shares of Class A common stock), at a purchase price per interest and share equal to the public offering price per share of Class A common stock, less the underwriting discounts and commissions payable thereon. The LLC Interests and shares of Class A common stock we intend to purchase collectively represent a 4.9% economic interest in TWM LLC (or 5.6%, if the underwriters exercise in full their option to purchase additional shares of Class A common stock). See “Use of Proceeds.”</w:t>
      </w:r>
    </w:p>
    <w:p>
      <w:pPr>
        <w:spacing w:after="0" w:line="84" w:lineRule="exact"/>
        <w:rPr>
          <w:sz w:val="20"/>
          <w:szCs w:val="20"/>
          <w:color w:val="auto"/>
        </w:rPr>
      </w:pPr>
    </w:p>
    <w:p>
      <w:pPr>
        <w:ind w:left="1280" w:right="819" w:firstLine="360"/>
        <w:spacing w:after="0" w:line="263" w:lineRule="auto"/>
        <w:rPr>
          <w:sz w:val="20"/>
          <w:szCs w:val="20"/>
          <w:color w:val="auto"/>
        </w:rPr>
      </w:pPr>
      <w:r>
        <w:rPr>
          <w:rFonts w:ascii="Arial" w:cs="Arial" w:eastAsia="Arial" w:hAnsi="Arial"/>
          <w:sz w:val="18"/>
          <w:szCs w:val="18"/>
          <w:color w:val="auto"/>
        </w:rPr>
        <w:t>For more information regarding the Reorganization Transactions and our organizational structure, see “The IPO and Reorganization Transactions.” For more information regarding this offering and the application of the net proceeds therefrom, see “Use of Proceeds.”</w:t>
      </w:r>
    </w:p>
    <w:p>
      <w:pPr>
        <w:spacing w:after="0" w:line="76" w:lineRule="exact"/>
        <w:rPr>
          <w:sz w:val="20"/>
          <w:szCs w:val="20"/>
          <w:color w:val="auto"/>
        </w:rPr>
      </w:pPr>
    </w:p>
    <w:p>
      <w:pPr>
        <w:ind w:left="1280" w:right="779" w:firstLine="360"/>
        <w:spacing w:after="0" w:line="253" w:lineRule="auto"/>
        <w:rPr>
          <w:sz w:val="20"/>
          <w:szCs w:val="20"/>
          <w:color w:val="auto"/>
        </w:rPr>
      </w:pPr>
      <w:r>
        <w:rPr>
          <w:rFonts w:ascii="Arial" w:cs="Arial" w:eastAsia="Arial" w:hAnsi="Arial"/>
          <w:sz w:val="18"/>
          <w:szCs w:val="18"/>
          <w:color w:val="auto"/>
        </w:rPr>
        <w:t>Tradeweb is a holding company whose principal assets consist of its equity interest in TWM LLC it primarily acquired from certain of the Bank Stockholders using the net proceeds from the IPO and the October 2019 follow-on offering as described above and the LLC Interests it received as a result of the Refinitiv Contribution, and related deferred tax assets. As the sole manager of TWM LLC, we operate and control all of the business and affairs of TWM LLC and, through TWM LLC and its subsidiaries, conduct our business. As a result of this control, and because we have a substantial financial interest in TWM LLC, we consolidate TWM LLC in our consolidated financial statements and report a non-controlling interest related to the LLC Interests held by the Continuing LLC Owners on our consolidated financial statements for post-IPO periods.</w:t>
      </w:r>
    </w:p>
    <w:p>
      <w:pPr>
        <w:spacing w:after="0" w:line="88" w:lineRule="exact"/>
        <w:rPr>
          <w:sz w:val="20"/>
          <w:szCs w:val="20"/>
          <w:color w:val="auto"/>
        </w:rPr>
      </w:pPr>
    </w:p>
    <w:p>
      <w:pPr>
        <w:ind w:left="1280" w:right="699" w:firstLine="360"/>
        <w:spacing w:after="0" w:line="255" w:lineRule="auto"/>
        <w:rPr>
          <w:sz w:val="20"/>
          <w:szCs w:val="20"/>
          <w:color w:val="auto"/>
        </w:rPr>
      </w:pPr>
      <w:r>
        <w:rPr>
          <w:rFonts w:ascii="Arial" w:cs="Arial" w:eastAsia="Arial" w:hAnsi="Arial"/>
          <w:sz w:val="18"/>
          <w:szCs w:val="18"/>
          <w:color w:val="auto"/>
        </w:rPr>
        <w:t>See “Description of Capital Stock” for more information about our amended and restated certificate of incorporation and the terms of the Class A common stock, Class B common stock, Class C common stock and Class D common stock. See “Certain Relationships and Related Party Transactions” for more information about the TWM LLC Agreement, including the terms of the LLC Interests and the redemption rights of the Continuing LLC Owners; the Tax Receivable Agreement; the Stockholders Agreement; and the Registration Rights Agreement.</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1280" w:right="659" w:firstLine="360"/>
        <w:spacing w:after="0" w:line="259" w:lineRule="auto"/>
        <w:rPr>
          <w:sz w:val="20"/>
          <w:szCs w:val="20"/>
          <w:color w:val="auto"/>
        </w:rPr>
      </w:pPr>
      <w:r>
        <w:rPr>
          <w:rFonts w:ascii="Arial" w:cs="Arial" w:eastAsia="Arial" w:hAnsi="Arial"/>
          <w:sz w:val="18"/>
          <w:szCs w:val="18"/>
          <w:color w:val="auto"/>
        </w:rPr>
        <w:t>The following diagram shows our simplified organizational structure as of March 31, 2020, after giving effect to the Net Exercise and this offering and the application of the net proceeds therefrom as described in “Use of Proceeds,” assuming no exercise by the underwriters of their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640" w:hanging="354"/>
        <w:spacing w:after="0"/>
        <w:tabs>
          <w:tab w:leader="none" w:pos="1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economic interest in Tradeweb Markets Inc. and not Tradeweb Markets LLC.</w:t>
      </w:r>
    </w:p>
    <w:p>
      <w:pPr>
        <w:spacing w:after="0" w:line="185" w:lineRule="exact"/>
        <w:rPr>
          <w:sz w:val="20"/>
          <w:szCs w:val="20"/>
          <w:color w:val="auto"/>
        </w:rPr>
      </w:pPr>
    </w:p>
    <w:p>
      <w:pPr>
        <w:ind w:left="1640" w:right="759" w:hanging="354"/>
        <w:spacing w:after="0" w:line="279" w:lineRule="auto"/>
        <w:tabs>
          <w:tab w:leader="none" w:pos="1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After giving effect to this offering, the Refinitiv Owners will collectively hold 83.0% of the combined voting power in Tradeweb Markets Inc. The Refinitiv Owners will, directly and indirectly, hold 54.3% of the economic interest in Tradeweb Markets Inc. and 53.2% of the economic interest in Tradeweb Markets LLC (including through their ownership of Tradeweb Markets Inc.).</w:t>
      </w:r>
    </w:p>
    <w:p>
      <w:pPr>
        <w:spacing w:after="0" w:line="63" w:lineRule="exact"/>
        <w:rPr>
          <w:rFonts w:ascii="Arial" w:cs="Arial" w:eastAsia="Arial" w:hAnsi="Arial"/>
          <w:sz w:val="17"/>
          <w:szCs w:val="17"/>
          <w:color w:val="auto"/>
        </w:rPr>
      </w:pPr>
    </w:p>
    <w:p>
      <w:pPr>
        <w:ind w:left="1640" w:right="919" w:hanging="354"/>
        <w:spacing w:after="0" w:line="308" w:lineRule="auto"/>
        <w:tabs>
          <w:tab w:leader="none" w:pos="1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shares of Class A common stock held by certain of our executive officers, representing less than 1% of the combined voting power and economic interest in Tradeweb Markets Inc.</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LSEG Transaction</w:t>
      </w:r>
    </w:p>
    <w:p>
      <w:pPr>
        <w:spacing w:after="0" w:line="108" w:lineRule="exact"/>
        <w:rPr>
          <w:sz w:val="20"/>
          <w:szCs w:val="20"/>
          <w:color w:val="auto"/>
        </w:rPr>
      </w:pPr>
    </w:p>
    <w:p>
      <w:pPr>
        <w:ind w:left="1280" w:right="679" w:firstLine="360"/>
        <w:spacing w:after="0" w:line="259" w:lineRule="auto"/>
        <w:rPr>
          <w:sz w:val="20"/>
          <w:szCs w:val="20"/>
          <w:color w:val="auto"/>
        </w:rPr>
      </w:pPr>
      <w:r>
        <w:rPr>
          <w:rFonts w:ascii="Arial" w:cs="Arial" w:eastAsia="Arial" w:hAnsi="Arial"/>
          <w:sz w:val="18"/>
          <w:szCs w:val="18"/>
          <w:color w:val="auto"/>
        </w:rPr>
        <w:t>On August 1, 2019, London Stock Exchange Group plc announced that it has agreed to definitive terms with a consortium including certain investment funds affiliated with Blackstone as well as Thomson Reuters to acquire the Refinitiv business in an all share transaction for a total enterprise value of approximately $27 billion (the “LSEG Transaction”).</w:t>
      </w:r>
    </w:p>
    <w:p>
      <w:pPr>
        <w:spacing w:after="0" w:line="79" w:lineRule="exact"/>
        <w:rPr>
          <w:sz w:val="20"/>
          <w:szCs w:val="20"/>
          <w:color w:val="auto"/>
        </w:rPr>
      </w:pPr>
    </w:p>
    <w:p>
      <w:pPr>
        <w:ind w:left="1280" w:right="759" w:firstLine="360"/>
        <w:spacing w:after="0" w:line="269" w:lineRule="auto"/>
        <w:rPr>
          <w:sz w:val="20"/>
          <w:szCs w:val="20"/>
          <w:color w:val="auto"/>
        </w:rPr>
      </w:pPr>
      <w:r>
        <w:rPr>
          <w:rFonts w:ascii="Arial" w:cs="Arial" w:eastAsia="Arial" w:hAnsi="Arial"/>
          <w:sz w:val="17"/>
          <w:szCs w:val="17"/>
          <w:color w:val="auto"/>
        </w:rPr>
        <w:t>If the LSEG Transaction is consummated, any change of control of Refinitiv could in turn affect us, because Refinitiv is our controlling shareholder. However, following the consummation of the LSEG Transaction, Tradeweb is expected to remain a standalone, publicly-traded company, and we do not expect the LSEG Transaction to result in any changes to our stockholder voting rights in the near-term, and we do not foresee any material impact on our strategy, day-to-day operations or Tradeweb management as a result of the LSEG Transaction. Our existing market data license agreement with Refinitiv is also expected to remain unchanged immediately following the consummation of the LSEG Transaction, however the non-compete period applicable to Refinitiv in their restrictive covenant agreement with us is expected to terminate immediately following the consummation of the LSEG Transaction. For descriptions of the market data license agreement and restrictive covenant agreement, see “Certain Relationships and Related Party Transactions — Transactions With Refinitiv/Thomson Reuters.”</w:t>
      </w:r>
    </w:p>
    <w:p>
      <w:pPr>
        <w:spacing w:after="0" w:line="74" w:lineRule="exact"/>
        <w:rPr>
          <w:sz w:val="20"/>
          <w:szCs w:val="20"/>
          <w:color w:val="auto"/>
        </w:rPr>
      </w:pPr>
    </w:p>
    <w:p>
      <w:pPr>
        <w:ind w:left="1280" w:right="719" w:firstLine="360"/>
        <w:spacing w:after="0" w:line="263" w:lineRule="auto"/>
        <w:rPr>
          <w:sz w:val="20"/>
          <w:szCs w:val="20"/>
          <w:color w:val="auto"/>
        </w:rPr>
      </w:pPr>
      <w:r>
        <w:rPr>
          <w:rFonts w:ascii="Arial" w:cs="Arial" w:eastAsia="Arial" w:hAnsi="Arial"/>
          <w:sz w:val="18"/>
          <w:szCs w:val="18"/>
          <w:color w:val="auto"/>
        </w:rPr>
        <w:t>The LSEG Transaction is subject to customary regulatory approvals and closing conditions, and is expected to close during the second half of 2020. There can be no assurance that the LSEG Transaction will be consummated on the expected timing or at all.</w:t>
      </w:r>
    </w:p>
    <w:p>
      <w:pPr>
        <w:spacing w:after="0" w:line="76" w:lineRule="exact"/>
        <w:rPr>
          <w:sz w:val="20"/>
          <w:szCs w:val="20"/>
          <w:color w:val="auto"/>
        </w:rPr>
      </w:pPr>
    </w:p>
    <w:p>
      <w:pPr>
        <w:ind w:left="1280" w:right="679" w:firstLine="360"/>
        <w:spacing w:after="0" w:line="277" w:lineRule="auto"/>
        <w:rPr>
          <w:sz w:val="20"/>
          <w:szCs w:val="20"/>
          <w:color w:val="auto"/>
        </w:rPr>
      </w:pPr>
      <w:r>
        <w:rPr>
          <w:rFonts w:ascii="Arial" w:cs="Arial" w:eastAsia="Arial" w:hAnsi="Arial"/>
          <w:sz w:val="18"/>
          <w:szCs w:val="18"/>
          <w:color w:val="auto"/>
        </w:rPr>
        <w:t>During the fourth quarter of 2019, we entered into an amendment to the credit agreement governing the Revolving Credit Facility to permit the LSEG Transaction.</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Risks Associated with Our Business</w:t>
      </w:r>
    </w:p>
    <w:p>
      <w:pPr>
        <w:spacing w:after="0" w:line="108" w:lineRule="exact"/>
        <w:rPr>
          <w:sz w:val="20"/>
          <w:szCs w:val="20"/>
          <w:color w:val="auto"/>
        </w:rPr>
      </w:pPr>
    </w:p>
    <w:p>
      <w:pPr>
        <w:ind w:left="1280" w:right="739" w:firstLine="360"/>
        <w:spacing w:after="0" w:line="259" w:lineRule="auto"/>
        <w:rPr>
          <w:sz w:val="20"/>
          <w:szCs w:val="20"/>
          <w:color w:val="auto"/>
        </w:rPr>
      </w:pPr>
      <w:r>
        <w:rPr>
          <w:rFonts w:ascii="Arial" w:cs="Arial" w:eastAsia="Arial" w:hAnsi="Arial"/>
          <w:sz w:val="18"/>
          <w:szCs w:val="18"/>
          <w:color w:val="auto"/>
        </w:rPr>
        <w:t>Our business is subject to numerous risks described in “Risk Factors” immediately following this prospectus summary and elsewhere in this prospectus. These risks represent challenges to the successful implementation of our strategy and to the growth and future profitability of our business. Some of the more significant risks we face include:</w:t>
      </w:r>
    </w:p>
    <w:p>
      <w:pPr>
        <w:spacing w:after="0" w:line="79" w:lineRule="exact"/>
        <w:rPr>
          <w:sz w:val="20"/>
          <w:szCs w:val="20"/>
          <w:color w:val="auto"/>
        </w:rPr>
      </w:pPr>
    </w:p>
    <w:p>
      <w:pPr>
        <w:ind w:left="2000" w:right="899" w:hanging="354"/>
        <w:spacing w:after="0" w:line="277" w:lineRule="auto"/>
        <w:tabs>
          <w:tab w:leader="none" w:pos="2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economic, political, social and market conditions and the impact of these changes on trading volumes;</w:t>
      </w:r>
    </w:p>
    <w:p>
      <w:pPr>
        <w:spacing w:after="0" w:line="75" w:lineRule="exact"/>
        <w:rPr>
          <w:rFonts w:ascii="Arial" w:cs="Arial" w:eastAsia="Arial" w:hAnsi="Arial"/>
          <w:sz w:val="18"/>
          <w:szCs w:val="18"/>
          <w:color w:val="auto"/>
        </w:rPr>
      </w:pPr>
    </w:p>
    <w:p>
      <w:pPr>
        <w:ind w:left="2000" w:hanging="354"/>
        <w:spacing w:after="0"/>
        <w:tabs>
          <w:tab w:leader="none" w:pos="2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117" w:lineRule="exact"/>
        <w:rPr>
          <w:rFonts w:ascii="Arial" w:cs="Arial" w:eastAsia="Arial" w:hAnsi="Arial"/>
          <w:sz w:val="18"/>
          <w:szCs w:val="18"/>
          <w:color w:val="auto"/>
        </w:rPr>
      </w:pPr>
    </w:p>
    <w:p>
      <w:pPr>
        <w:ind w:left="2000" w:hanging="354"/>
        <w:spacing w:after="0"/>
        <w:tabs>
          <w:tab w:leader="none" w:pos="2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117" w:lineRule="exact"/>
        <w:rPr>
          <w:rFonts w:ascii="Arial" w:cs="Arial" w:eastAsia="Arial" w:hAnsi="Arial"/>
          <w:sz w:val="18"/>
          <w:szCs w:val="18"/>
          <w:color w:val="auto"/>
        </w:rPr>
      </w:pPr>
    </w:p>
    <w:p>
      <w:pPr>
        <w:ind w:left="2000" w:hanging="354"/>
        <w:spacing w:after="0"/>
        <w:tabs>
          <w:tab w:leader="none" w:pos="2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117" w:lineRule="exact"/>
        <w:rPr>
          <w:rFonts w:ascii="Arial" w:cs="Arial" w:eastAsia="Arial" w:hAnsi="Arial"/>
          <w:sz w:val="18"/>
          <w:szCs w:val="18"/>
          <w:color w:val="auto"/>
        </w:rPr>
      </w:pPr>
    </w:p>
    <w:p>
      <w:pPr>
        <w:ind w:left="2000" w:hanging="354"/>
        <w:spacing w:after="0"/>
        <w:tabs>
          <w:tab w:leader="none" w:pos="2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dependence on dealer clients, including those that are also current or former stockholders;</w:t>
      </w:r>
    </w:p>
    <w:p>
      <w:pPr>
        <w:spacing w:after="0" w:line="142" w:lineRule="exact"/>
        <w:rPr>
          <w:rFonts w:ascii="Arial" w:cs="Arial" w:eastAsia="Arial" w:hAnsi="Arial"/>
          <w:sz w:val="17"/>
          <w:szCs w:val="17"/>
          <w:color w:val="auto"/>
        </w:rPr>
      </w:pPr>
    </w:p>
    <w:p>
      <w:pPr>
        <w:ind w:left="2000" w:right="719" w:hanging="354"/>
        <w:spacing w:after="0" w:line="277" w:lineRule="auto"/>
        <w:tabs>
          <w:tab w:leader="none" w:pos="2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systems failures, interruptions, delays in services, cybersecurity incidents, catastrophic events and any resulting interruptions;</w:t>
      </w:r>
    </w:p>
    <w:p>
      <w:pPr>
        <w:spacing w:after="0" w:line="62" w:lineRule="exact"/>
        <w:rPr>
          <w:rFonts w:ascii="Arial" w:cs="Arial" w:eastAsia="Arial" w:hAnsi="Arial"/>
          <w:sz w:val="18"/>
          <w:szCs w:val="18"/>
          <w:color w:val="auto"/>
        </w:rPr>
      </w:pPr>
    </w:p>
    <w:p>
      <w:pPr>
        <w:ind w:left="2000" w:hanging="354"/>
        <w:spacing w:after="0"/>
        <w:tabs>
          <w:tab w:leader="none" w:pos="2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extensive regulation of our industry; and</w:t>
      </w:r>
    </w:p>
    <w:p>
      <w:pPr>
        <w:spacing w:after="0" w:line="117" w:lineRule="exact"/>
        <w:rPr>
          <w:rFonts w:ascii="Arial" w:cs="Arial" w:eastAsia="Arial" w:hAnsi="Arial"/>
          <w:sz w:val="18"/>
          <w:szCs w:val="18"/>
          <w:color w:val="auto"/>
        </w:rPr>
      </w:pPr>
    </w:p>
    <w:p>
      <w:pPr>
        <w:ind w:left="2000" w:hanging="354"/>
        <w:spacing w:after="0"/>
        <w:tabs>
          <w:tab w:leader="none" w:pos="2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Refinitiv’s control of us and our status as a controlled company.</w:t>
      </w:r>
    </w:p>
    <w:p>
      <w:pPr>
        <w:spacing w:after="0" w:line="117" w:lineRule="exact"/>
        <w:rPr>
          <w:sz w:val="20"/>
          <w:szCs w:val="20"/>
          <w:color w:val="auto"/>
        </w:rPr>
      </w:pPr>
    </w:p>
    <w:p>
      <w:pPr>
        <w:ind w:left="1280" w:right="779" w:firstLine="360"/>
        <w:spacing w:after="0" w:line="277" w:lineRule="auto"/>
        <w:rPr>
          <w:sz w:val="20"/>
          <w:szCs w:val="20"/>
          <w:color w:val="auto"/>
        </w:rPr>
      </w:pPr>
      <w:r>
        <w:rPr>
          <w:rFonts w:ascii="Arial" w:cs="Arial" w:eastAsia="Arial" w:hAnsi="Arial"/>
          <w:sz w:val="18"/>
          <w:szCs w:val="18"/>
          <w:color w:val="auto"/>
        </w:rPr>
        <w:t>See “Risk Factors” immediately following this prospectus summary for a more thorough discussion of these and other risks and uncertainties we face.</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08" w:lineRule="exact"/>
        <w:rPr>
          <w:sz w:val="20"/>
          <w:szCs w:val="20"/>
          <w:color w:val="auto"/>
        </w:rPr>
      </w:pPr>
    </w:p>
    <w:p>
      <w:pPr>
        <w:ind w:left="1280" w:right="1019" w:firstLine="360"/>
        <w:spacing w:after="0" w:line="279" w:lineRule="auto"/>
        <w:rPr>
          <w:sz w:val="20"/>
          <w:szCs w:val="20"/>
          <w:color w:val="auto"/>
        </w:rPr>
      </w:pPr>
      <w:r>
        <w:rPr>
          <w:rFonts w:ascii="Arial" w:cs="Arial" w:eastAsia="Arial" w:hAnsi="Arial"/>
          <w:sz w:val="17"/>
          <w:szCs w:val="17"/>
          <w:color w:val="auto"/>
        </w:rPr>
        <w:t>As a company with less than $1.07 billion in revenue during our last fiscal year, we qualify as an “emerging growth company” as defined in the Jumpstart Our Business Startups Act of 2012 (the “JOBS Act”). An emerging growth company may take advantage of specified reduced reporting and other requirements that are otherwise applicable generally to public companies. These provisions include:</w:t>
      </w:r>
    </w:p>
    <w:p>
      <w:pPr>
        <w:spacing w:after="0" w:line="77" w:lineRule="exact"/>
        <w:rPr>
          <w:sz w:val="20"/>
          <w:szCs w:val="20"/>
          <w:color w:val="auto"/>
        </w:rPr>
      </w:pPr>
    </w:p>
    <w:p>
      <w:pPr>
        <w:ind w:left="2000" w:right="819" w:hanging="354"/>
        <w:spacing w:after="0" w:line="308" w:lineRule="auto"/>
        <w:tabs>
          <w:tab w:leader="none" w:pos="2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are not required to engage an auditor to report on our internal control over financial reporting pursuant to Section 404(b) of the Sarbanes-Oxley Act of 2002 (the “Sarbanes-Oxley Act”);</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0" w:right="819" w:hanging="354"/>
        <w:spacing w:after="0" w:line="259" w:lineRule="auto"/>
        <w:tabs>
          <w:tab w:leader="none" w:pos="2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not required to comply with any requirement that may be adopted by the Public Company Accounting Oversight Board (the “PCAOB”) regarding mandatory audit firm rotation or a supplement to the auditor’s report providing additional information about the audit and the financial statements (i.e., an auditor discussion and analysis);</w:t>
      </w:r>
    </w:p>
    <w:p>
      <w:pPr>
        <w:spacing w:after="0" w:line="146" w:lineRule="exact"/>
        <w:rPr>
          <w:rFonts w:ascii="Arial" w:cs="Arial" w:eastAsia="Arial" w:hAnsi="Arial"/>
          <w:sz w:val="18"/>
          <w:szCs w:val="18"/>
          <w:color w:val="auto"/>
        </w:rPr>
      </w:pPr>
    </w:p>
    <w:p>
      <w:pPr>
        <w:ind w:left="2000" w:right="1079" w:hanging="354"/>
        <w:spacing w:after="0" w:line="308" w:lineRule="auto"/>
        <w:tabs>
          <w:tab w:leader="none" w:pos="2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are not required to submit certain executive compensation matters to stockholder advisory votes, such as “say-on-pay,” “say-on-frequency” and “say-on-golden parachutes”; and</w:t>
      </w:r>
    </w:p>
    <w:p>
      <w:pPr>
        <w:spacing w:after="0" w:line="119" w:lineRule="exact"/>
        <w:rPr>
          <w:rFonts w:ascii="Arial" w:cs="Arial" w:eastAsia="Arial" w:hAnsi="Arial"/>
          <w:sz w:val="17"/>
          <w:szCs w:val="17"/>
          <w:color w:val="auto"/>
        </w:rPr>
      </w:pPr>
    </w:p>
    <w:p>
      <w:pPr>
        <w:ind w:left="2000" w:right="1239" w:hanging="354"/>
        <w:spacing w:after="0" w:line="263" w:lineRule="auto"/>
        <w:tabs>
          <w:tab w:leader="none" w:pos="2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not required to disclose certain executive compensation related items such as the correlation between executive compensation and performance and comparisons of the chief executive officer’s compensation to median employee compensation.</w:t>
      </w:r>
    </w:p>
    <w:p>
      <w:pPr>
        <w:spacing w:after="0" w:line="76" w:lineRule="exact"/>
        <w:rPr>
          <w:sz w:val="20"/>
          <w:szCs w:val="20"/>
          <w:color w:val="auto"/>
        </w:rPr>
      </w:pPr>
    </w:p>
    <w:p>
      <w:pPr>
        <w:ind w:left="1280" w:right="679" w:firstLine="360"/>
        <w:spacing w:after="0" w:line="267" w:lineRule="auto"/>
        <w:rPr>
          <w:sz w:val="20"/>
          <w:szCs w:val="20"/>
          <w:color w:val="auto"/>
        </w:rPr>
      </w:pPr>
      <w:r>
        <w:rPr>
          <w:rFonts w:ascii="Arial" w:cs="Arial" w:eastAsia="Arial" w:hAnsi="Arial"/>
          <w:sz w:val="17"/>
          <w:szCs w:val="17"/>
          <w:color w:val="auto"/>
        </w:rPr>
        <w:t>We may take advantage of these provisions until the last day of our fiscal year following the fifth anniversary of the completion of the IPO or such earlier time that we are no longer an emerging growth company. We would cease to be an emerging growth company upon the earliest of: (i) the last day of the first fiscal year in which our annual gross revenues are $1.07 billion or more; (ii) the date on which we have, during the previous three-year period, issued more than $1.0 billion in non-convertible debt securities; or (iii) the date on which we are deemed to be a “large accelerated filer,” which will occur as of the end of any fiscal year in which we (x) have an aggregate market value of our common stock held by non-affiliates of $700 million or more as of the last business day of our most recently completed second fiscal quarter,</w:t>
      </w:r>
    </w:p>
    <w:p>
      <w:pPr>
        <w:spacing w:after="0" w:line="3" w:lineRule="exact"/>
        <w:rPr>
          <w:sz w:val="20"/>
          <w:szCs w:val="20"/>
          <w:color w:val="auto"/>
        </w:rPr>
      </w:pPr>
    </w:p>
    <w:p>
      <w:pPr>
        <w:ind w:left="1280" w:right="939" w:firstLine="6"/>
        <w:spacing w:after="0" w:line="255" w:lineRule="auto"/>
        <w:tabs>
          <w:tab w:leader="none" w:pos="15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have been required to file annual and quarterly reports under the Securities Exchange Act of 1934, as amended (the “Exchange Act”), for a period of at least 12 months and (z) have filed at least one annual report pursuant to the Exchange Act.</w:t>
      </w:r>
    </w:p>
    <w:p>
      <w:pPr>
        <w:spacing w:after="0" w:line="82" w:lineRule="exact"/>
        <w:rPr>
          <w:sz w:val="20"/>
          <w:szCs w:val="20"/>
          <w:color w:val="auto"/>
        </w:rPr>
      </w:pPr>
    </w:p>
    <w:p>
      <w:pPr>
        <w:ind w:left="1280" w:right="859" w:firstLine="360"/>
        <w:spacing w:after="0" w:line="257" w:lineRule="auto"/>
        <w:rPr>
          <w:sz w:val="20"/>
          <w:szCs w:val="20"/>
          <w:color w:val="auto"/>
        </w:rPr>
      </w:pPr>
      <w:r>
        <w:rPr>
          <w:rFonts w:ascii="Arial" w:cs="Arial" w:eastAsia="Arial" w:hAnsi="Arial"/>
          <w:sz w:val="18"/>
          <w:szCs w:val="18"/>
          <w:color w:val="auto"/>
        </w:rPr>
        <w:t>We have elected to take advantage of some of the reduced disclosure obligations listed above in this prospectus, and may elect to take advantage of other reduced reporting requirements in future filings. In particular, we have elected to adopt the reduced disclosure with respect to our executive compensation disclosure. As a result of this election, the information that we provide stockholders may be different than you might get from other public companies.</w:t>
      </w:r>
    </w:p>
    <w:p>
      <w:pPr>
        <w:spacing w:after="0" w:line="80" w:lineRule="exact"/>
        <w:rPr>
          <w:sz w:val="20"/>
          <w:szCs w:val="20"/>
          <w:color w:val="auto"/>
        </w:rPr>
      </w:pPr>
    </w:p>
    <w:p>
      <w:pPr>
        <w:ind w:left="1280" w:right="659" w:firstLine="360"/>
        <w:spacing w:after="0" w:line="255" w:lineRule="auto"/>
        <w:rPr>
          <w:sz w:val="20"/>
          <w:szCs w:val="20"/>
          <w:color w:val="auto"/>
        </w:rPr>
      </w:pPr>
      <w:r>
        <w:rPr>
          <w:rFonts w:ascii="Arial" w:cs="Arial" w:eastAsia="Arial" w:hAnsi="Arial"/>
          <w:sz w:val="18"/>
          <w:szCs w:val="18"/>
          <w:color w:val="auto"/>
        </w:rPr>
        <w:t>The JOBS Act permits an emerging growth company like us to take advantage of an extended transition period to comply with new or revised accounting standards applicable to public companies. We have elected to “opt out” of this provision and, as a result, we will comply with new or revised accounting standards on the relevant dates on which adoption of such standards is required for public companies that are not emerging growth companies. This decision to opt out of the extended transition period under the JOBS Act is irrevocable.</w:t>
      </w:r>
    </w:p>
    <w:p>
      <w:pPr>
        <w:spacing w:after="0" w:line="17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ind w:left="1280" w:right="739" w:firstLine="360"/>
        <w:spacing w:after="0" w:line="257" w:lineRule="auto"/>
        <w:rPr>
          <w:sz w:val="20"/>
          <w:szCs w:val="20"/>
          <w:color w:val="auto"/>
        </w:rPr>
      </w:pPr>
      <w:r>
        <w:rPr>
          <w:rFonts w:ascii="Arial" w:cs="Arial" w:eastAsia="Arial" w:hAnsi="Arial"/>
          <w:sz w:val="18"/>
          <w:szCs w:val="18"/>
          <w:color w:val="auto"/>
        </w:rPr>
        <w:t xml:space="preserve">Tradeweb Markets Inc. was incorporated as a Delaware corporation on November 7, 2018. Our corporate headquarters are located at 1177 Avenue of the Americas, New York, New York 10036. Our telephone number is (646) 430-6000. Our principal website address is </w:t>
      </w:r>
      <w:r>
        <w:rPr>
          <w:rFonts w:ascii="Arial" w:cs="Arial" w:eastAsia="Arial" w:hAnsi="Arial"/>
          <w:sz w:val="18"/>
          <w:szCs w:val="18"/>
          <w:i w:val="1"/>
          <w:iCs w:val="1"/>
          <w:color w:val="auto"/>
        </w:rPr>
        <w:t>www.tradeweb.com</w:t>
      </w:r>
      <w:r>
        <w:rPr>
          <w:rFonts w:ascii="Arial" w:cs="Arial" w:eastAsia="Arial" w:hAnsi="Arial"/>
          <w:sz w:val="18"/>
          <w:szCs w:val="18"/>
          <w:color w:val="auto"/>
        </w:rPr>
        <w:t>. The information contained on, or that can be accessed through, our website is deemed not to be incorporated in this prospectus or to be part of this prospectus.</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ind w:left="1460" w:right="120" w:hanging="179"/>
        <w:spacing w:after="0" w:line="277" w:lineRule="auto"/>
        <w:rPr>
          <w:sz w:val="20"/>
          <w:szCs w:val="20"/>
          <w:color w:val="auto"/>
        </w:rPr>
      </w:pPr>
      <w:r>
        <w:rPr>
          <w:rFonts w:ascii="Arial" w:cs="Arial" w:eastAsia="Arial" w:hAnsi="Arial"/>
          <w:sz w:val="18"/>
          <w:szCs w:val="18"/>
          <w:color w:val="auto"/>
        </w:rPr>
        <w:t>Class A common stock offered by us</w:t>
      </w:r>
    </w:p>
    <w:p>
      <w:pPr>
        <w:spacing w:after="0" w:line="62" w:lineRule="exact"/>
        <w:rPr>
          <w:sz w:val="20"/>
          <w:szCs w:val="20"/>
          <w:color w:val="auto"/>
        </w:rPr>
      </w:pPr>
    </w:p>
    <w:p>
      <w:pPr>
        <w:ind w:left="1460" w:right="60" w:hanging="179"/>
        <w:spacing w:after="0" w:line="342" w:lineRule="auto"/>
        <w:rPr>
          <w:sz w:val="20"/>
          <w:szCs w:val="20"/>
          <w:color w:val="auto"/>
        </w:rPr>
      </w:pPr>
      <w:r>
        <w:rPr>
          <w:rFonts w:ascii="Arial" w:cs="Arial" w:eastAsia="Arial" w:hAnsi="Arial"/>
          <w:sz w:val="16"/>
          <w:szCs w:val="16"/>
          <w:color w:val="auto"/>
        </w:rPr>
        <w:t>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460" w:right="240" w:hanging="179"/>
        <w:spacing w:after="0" w:line="308" w:lineRule="auto"/>
        <w:rPr>
          <w:sz w:val="20"/>
          <w:szCs w:val="20"/>
          <w:color w:val="auto"/>
        </w:rPr>
      </w:pPr>
      <w:r>
        <w:rPr>
          <w:rFonts w:ascii="Arial" w:cs="Arial" w:eastAsia="Arial" w:hAnsi="Arial"/>
          <w:sz w:val="17"/>
          <w:szCs w:val="17"/>
          <w:color w:val="auto"/>
        </w:rPr>
        <w:t>Class A common stock to be outstanding after this offering</w:t>
      </w:r>
    </w:p>
    <w:p>
      <w:pPr>
        <w:spacing w:after="0" w:line="200" w:lineRule="exact"/>
        <w:rPr>
          <w:sz w:val="20"/>
          <w:szCs w:val="20"/>
          <w:color w:val="auto"/>
        </w:rPr>
      </w:pPr>
    </w:p>
    <w:p>
      <w:pPr>
        <w:spacing w:after="0" w:line="270" w:lineRule="exact"/>
        <w:rPr>
          <w:sz w:val="20"/>
          <w:szCs w:val="20"/>
          <w:color w:val="auto"/>
        </w:rPr>
      </w:pPr>
    </w:p>
    <w:p>
      <w:pPr>
        <w:ind w:left="1460" w:right="240" w:hanging="179"/>
        <w:spacing w:after="0" w:line="308" w:lineRule="auto"/>
        <w:rPr>
          <w:sz w:val="20"/>
          <w:szCs w:val="20"/>
          <w:color w:val="auto"/>
        </w:rPr>
      </w:pPr>
      <w:r>
        <w:rPr>
          <w:rFonts w:ascii="Arial" w:cs="Arial" w:eastAsia="Arial" w:hAnsi="Arial"/>
          <w:sz w:val="17"/>
          <w:szCs w:val="17"/>
          <w:color w:val="auto"/>
        </w:rPr>
        <w:t>Class B common stock to be outstanding after this offering</w:t>
      </w:r>
    </w:p>
    <w:p>
      <w:pPr>
        <w:spacing w:after="0" w:line="254" w:lineRule="exact"/>
        <w:rPr>
          <w:sz w:val="20"/>
          <w:szCs w:val="20"/>
          <w:color w:val="auto"/>
        </w:rPr>
      </w:pPr>
    </w:p>
    <w:p>
      <w:pPr>
        <w:ind w:left="1460" w:right="240" w:hanging="179"/>
        <w:spacing w:after="0" w:line="291" w:lineRule="auto"/>
        <w:rPr>
          <w:sz w:val="20"/>
          <w:szCs w:val="20"/>
          <w:color w:val="auto"/>
        </w:rPr>
      </w:pPr>
      <w:r>
        <w:rPr>
          <w:rFonts w:ascii="Arial" w:cs="Arial" w:eastAsia="Arial" w:hAnsi="Arial"/>
          <w:sz w:val="17"/>
          <w:szCs w:val="17"/>
          <w:color w:val="auto"/>
        </w:rPr>
        <w:t>Class C common stock to be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60" w:right="240" w:hanging="179"/>
        <w:spacing w:after="0" w:line="308" w:lineRule="auto"/>
        <w:rPr>
          <w:sz w:val="20"/>
          <w:szCs w:val="20"/>
          <w:color w:val="auto"/>
        </w:rPr>
      </w:pPr>
      <w:r>
        <w:rPr>
          <w:rFonts w:ascii="Arial" w:cs="Arial" w:eastAsia="Arial" w:hAnsi="Arial"/>
          <w:sz w:val="17"/>
          <w:szCs w:val="17"/>
          <w:color w:val="auto"/>
        </w:rPr>
        <w:t>Class D common stock to be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60" w:hanging="179"/>
        <w:spacing w:after="0" w:line="277" w:lineRule="auto"/>
        <w:rPr>
          <w:sz w:val="20"/>
          <w:szCs w:val="20"/>
          <w:color w:val="auto"/>
        </w:rPr>
      </w:pPr>
      <w:r>
        <w:rPr>
          <w:rFonts w:ascii="Arial" w:cs="Arial" w:eastAsia="Arial" w:hAnsi="Arial"/>
          <w:sz w:val="18"/>
          <w:szCs w:val="18"/>
          <w:color w:val="auto"/>
        </w:rPr>
        <w:t>LLC Interests to be held by us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460" w:right="240" w:hanging="179"/>
        <w:spacing w:after="0" w:line="308" w:lineRule="auto"/>
        <w:rPr>
          <w:sz w:val="20"/>
          <w:szCs w:val="20"/>
          <w:color w:val="auto"/>
        </w:rPr>
      </w:pPr>
      <w:r>
        <w:rPr>
          <w:rFonts w:ascii="Arial" w:cs="Arial" w:eastAsia="Arial" w:hAnsi="Arial"/>
          <w:sz w:val="17"/>
          <w:szCs w:val="17"/>
          <w:color w:val="auto"/>
        </w:rPr>
        <w:t>Total LLC Interests to be outstanding after this offering</w:t>
      </w:r>
    </w:p>
    <w:p>
      <w:pPr>
        <w:spacing w:after="0" w:line="3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The Offering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Tradeweb Markets Inc., a Delaware corporation.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10,950,000 shares.</w:t>
      </w:r>
    </w:p>
    <w:p>
      <w:pPr>
        <w:spacing w:after="0" w:line="333" w:lineRule="exact"/>
        <w:rPr>
          <w:sz w:val="20"/>
          <w:szCs w:val="20"/>
          <w:color w:val="auto"/>
        </w:rPr>
      </w:pPr>
    </w:p>
    <w:p>
      <w:pPr>
        <w:ind w:right="679"/>
        <w:spacing w:after="0" w:line="275" w:lineRule="auto"/>
        <w:rPr>
          <w:sz w:val="20"/>
          <w:szCs w:val="20"/>
          <w:color w:val="auto"/>
        </w:rPr>
      </w:pPr>
      <w:r>
        <w:rPr>
          <w:rFonts w:ascii="Arial" w:cs="Arial" w:eastAsia="Arial" w:hAnsi="Arial"/>
          <w:sz w:val="17"/>
          <w:szCs w:val="17"/>
          <w:color w:val="auto"/>
        </w:rPr>
        <w:t>The underwriters have an option to purchase up to an aggregate of 1,642,500 additional shares of Class A common stock from us at the public offering price, less underwriting discounts and commissions. The underwriters can exercise this option at any time within 30 days from the date of this prospectus.</w:t>
      </w:r>
    </w:p>
    <w:p>
      <w:pPr>
        <w:spacing w:after="0" w:line="284" w:lineRule="exact"/>
        <w:rPr>
          <w:sz w:val="20"/>
          <w:szCs w:val="20"/>
          <w:color w:val="auto"/>
        </w:rPr>
      </w:pPr>
    </w:p>
    <w:p>
      <w:pPr>
        <w:jc w:val="both"/>
        <w:ind w:right="1139"/>
        <w:spacing w:after="0" w:line="263" w:lineRule="auto"/>
        <w:rPr>
          <w:sz w:val="20"/>
          <w:szCs w:val="20"/>
          <w:color w:val="auto"/>
        </w:rPr>
      </w:pPr>
      <w:r>
        <w:rPr>
          <w:rFonts w:ascii="Arial" w:cs="Arial" w:eastAsia="Arial" w:hAnsi="Arial"/>
          <w:sz w:val="18"/>
          <w:szCs w:val="18"/>
          <w:color w:val="auto"/>
        </w:rPr>
        <w:t>81,662,221 shares (or 83,257,263 shares, if the underwriters exercise in full their option to purchase additional shares of Class A common stock).</w:t>
      </w:r>
    </w:p>
    <w:p>
      <w:pPr>
        <w:spacing w:after="0" w:line="292" w:lineRule="exact"/>
        <w:rPr>
          <w:sz w:val="20"/>
          <w:szCs w:val="20"/>
          <w:color w:val="auto"/>
        </w:rPr>
      </w:pPr>
    </w:p>
    <w:p>
      <w:pPr>
        <w:ind w:right="739"/>
        <w:spacing w:after="0" w:line="277" w:lineRule="auto"/>
        <w:rPr>
          <w:sz w:val="20"/>
          <w:szCs w:val="20"/>
          <w:color w:val="auto"/>
        </w:rPr>
      </w:pPr>
      <w:r>
        <w:rPr>
          <w:rFonts w:ascii="Arial" w:cs="Arial" w:eastAsia="Arial" w:hAnsi="Arial"/>
          <w:sz w:val="18"/>
          <w:szCs w:val="18"/>
          <w:color w:val="auto"/>
        </w:rPr>
        <w:t>96,933,192 shares, all of which are owned by the Refinitiv Direct Owner.</w:t>
      </w:r>
    </w:p>
    <w:p>
      <w:pPr>
        <w:spacing w:after="0" w:line="251" w:lineRule="exact"/>
        <w:rPr>
          <w:sz w:val="20"/>
          <w:szCs w:val="20"/>
          <w:color w:val="auto"/>
        </w:rPr>
      </w:pPr>
    </w:p>
    <w:p>
      <w:pPr>
        <w:ind w:right="719"/>
        <w:spacing w:after="0" w:line="259" w:lineRule="auto"/>
        <w:rPr>
          <w:sz w:val="20"/>
          <w:szCs w:val="20"/>
          <w:color w:val="auto"/>
        </w:rPr>
      </w:pPr>
      <w:r>
        <w:rPr>
          <w:rFonts w:ascii="Arial" w:cs="Arial" w:eastAsia="Arial" w:hAnsi="Arial"/>
          <w:sz w:val="18"/>
          <w:szCs w:val="18"/>
          <w:color w:val="auto"/>
        </w:rPr>
        <w:t>7,989,983 shares, all of which are owned by certain Bank Stockholders (or 8,079,983 shares, if the underwriters exercise in full their option to purchase additional shares of Class A common stock).</w:t>
      </w:r>
    </w:p>
    <w:p>
      <w:pPr>
        <w:spacing w:after="0" w:line="295" w:lineRule="exact"/>
        <w:rPr>
          <w:sz w:val="20"/>
          <w:szCs w:val="20"/>
          <w:color w:val="auto"/>
        </w:rPr>
      </w:pPr>
    </w:p>
    <w:p>
      <w:pPr>
        <w:ind w:right="759"/>
        <w:spacing w:after="0" w:line="259" w:lineRule="auto"/>
        <w:rPr>
          <w:sz w:val="20"/>
          <w:szCs w:val="20"/>
          <w:color w:val="auto"/>
        </w:rPr>
      </w:pPr>
      <w:r>
        <w:rPr>
          <w:rFonts w:ascii="Arial" w:cs="Arial" w:eastAsia="Arial" w:hAnsi="Arial"/>
          <w:sz w:val="18"/>
          <w:szCs w:val="18"/>
          <w:color w:val="auto"/>
        </w:rPr>
        <w:t>38,637,628 shares, all of which are owned by Continuing LLC Owners (or 36,952,586 shares, if the underwriters exercise in full their option to purchase additional shares of Class A common stock).</w:t>
      </w:r>
    </w:p>
    <w:p>
      <w:pPr>
        <w:spacing w:after="0" w:line="295" w:lineRule="exact"/>
        <w:rPr>
          <w:sz w:val="20"/>
          <w:szCs w:val="20"/>
          <w:color w:val="auto"/>
        </w:rPr>
      </w:pPr>
    </w:p>
    <w:p>
      <w:pPr>
        <w:ind w:right="659"/>
        <w:spacing w:after="0" w:line="257" w:lineRule="auto"/>
        <w:rPr>
          <w:sz w:val="20"/>
          <w:szCs w:val="20"/>
          <w:color w:val="auto"/>
        </w:rPr>
      </w:pPr>
      <w:r>
        <w:rPr>
          <w:rFonts w:ascii="Arial" w:cs="Arial" w:eastAsia="Arial" w:hAnsi="Arial"/>
          <w:sz w:val="18"/>
          <w:szCs w:val="18"/>
          <w:color w:val="auto"/>
        </w:rPr>
        <w:t>178,595,413 LLC Interests, representing a 79.3% economic interest in TWM LLC (or 180,190,455 LLC Interests, representing a 80.0% economic interest in TWM LLC, if the underwriters exercise in full their option to purchase additional shares of Class A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225,223,024 LLC Interests.</w:t>
      </w:r>
    </w:p>
    <w:p>
      <w:pPr>
        <w:spacing w:after="0" w:line="117" w:lineRule="exact"/>
        <w:rPr>
          <w:sz w:val="20"/>
          <w:szCs w:val="20"/>
          <w:color w:val="auto"/>
        </w:rPr>
      </w:pPr>
    </w:p>
    <w:p>
      <w:pPr>
        <w:ind w:right="799"/>
        <w:spacing w:after="0" w:line="293" w:lineRule="auto"/>
        <w:rPr>
          <w:sz w:val="20"/>
          <w:szCs w:val="20"/>
          <w:color w:val="auto"/>
        </w:rPr>
      </w:pPr>
      <w:r>
        <w:rPr>
          <w:rFonts w:ascii="Arial" w:cs="Arial" w:eastAsia="Arial" w:hAnsi="Arial"/>
          <w:sz w:val="16"/>
          <w:szCs w:val="16"/>
          <w:color w:val="auto"/>
        </w:rPr>
        <w:t>Each share of Class A common stock entitles its holder to one vote on all matters presented to our stockholders generally, representing an aggregate of 5.6% of the combined voting power of our issued and outstanding common stock upon completion of this offering (or 5.8%, if the underwriters exercise in full their option to purchase additional shares of Class A common stock).</w:t>
      </w:r>
    </w:p>
    <w:p>
      <w:pPr>
        <w:spacing w:after="0" w:line="56" w:lineRule="exact"/>
        <w:rPr>
          <w:sz w:val="20"/>
          <w:szCs w:val="20"/>
          <w:color w:val="auto"/>
        </w:rPr>
      </w:pPr>
    </w:p>
    <w:p>
      <w:pPr>
        <w:ind w:right="699"/>
        <w:spacing w:after="0" w:line="254" w:lineRule="auto"/>
        <w:rPr>
          <w:sz w:val="20"/>
          <w:szCs w:val="20"/>
          <w:color w:val="auto"/>
        </w:rPr>
      </w:pPr>
      <w:r>
        <w:rPr>
          <w:rFonts w:ascii="Arial" w:cs="Arial" w:eastAsia="Arial" w:hAnsi="Arial"/>
          <w:sz w:val="18"/>
          <w:szCs w:val="18"/>
          <w:color w:val="auto"/>
        </w:rPr>
        <w:t>Each share of Class B common stock entitles its holder to ten votes on all matters presented to our stockholders generally, representing an aggregate of 67.1% of the combined voting power of our issued and outstanding common stock upon completion of this offering (or 67.8%, if the underwriters exercise in full their option to purchase additional shares of Class A common stock). The Refinitiv Direct Owner owns all of our outstanding Class B common stock.</w:t>
      </w:r>
    </w:p>
    <w:p>
      <w:pPr>
        <w:spacing w:after="0" w:line="200" w:lineRule="exact"/>
        <w:rPr>
          <w:sz w:val="20"/>
          <w:szCs w:val="20"/>
          <w:color w:val="auto"/>
        </w:rPr>
      </w:pPr>
    </w:p>
    <w:p>
      <w:pPr>
        <w:sectPr>
          <w:pgSz w:w="11900" w:h="16838" w:orient="portrait"/>
          <w:cols w:equalWidth="0" w:num="2">
            <w:col w:w="3960" w:space="500"/>
            <w:col w:w="5679"/>
          </w:cols>
          <w:pgMar w:left="320" w:top="131" w:right="1440"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460" w:hanging="179"/>
        <w:spacing w:after="0" w:line="277" w:lineRule="auto"/>
        <w:rPr>
          <w:sz w:val="20"/>
          <w:szCs w:val="20"/>
          <w:color w:val="auto"/>
        </w:rPr>
      </w:pPr>
      <w:r>
        <w:rPr>
          <w:rFonts w:ascii="Arial" w:cs="Arial" w:eastAsia="Arial" w:hAnsi="Arial"/>
          <w:sz w:val="18"/>
          <w:szCs w:val="18"/>
          <w:color w:val="auto"/>
        </w:rPr>
        <w:t>Combined voting power held by the Refinitiv Owners</w:t>
      </w:r>
    </w:p>
    <w:p>
      <w:pPr>
        <w:spacing w:after="0" w:line="278" w:lineRule="exact"/>
        <w:rPr>
          <w:sz w:val="20"/>
          <w:szCs w:val="20"/>
          <w:color w:val="auto"/>
        </w:rPr>
      </w:pPr>
    </w:p>
    <w:p>
      <w:pPr>
        <w:ind w:left="1460" w:hanging="179"/>
        <w:spacing w:after="0" w:line="277" w:lineRule="auto"/>
        <w:rPr>
          <w:sz w:val="20"/>
          <w:szCs w:val="20"/>
          <w:color w:val="auto"/>
        </w:rPr>
      </w:pPr>
      <w:r>
        <w:rPr>
          <w:rFonts w:ascii="Arial" w:cs="Arial" w:eastAsia="Arial" w:hAnsi="Arial"/>
          <w:sz w:val="18"/>
          <w:szCs w:val="18"/>
          <w:color w:val="auto"/>
        </w:rPr>
        <w:t>Combined voting power held by the Bank Stockholders</w:t>
      </w:r>
    </w:p>
    <w:p>
      <w:pPr>
        <w:spacing w:after="0" w:line="278" w:lineRule="exact"/>
        <w:rPr>
          <w:sz w:val="20"/>
          <w:szCs w:val="20"/>
          <w:color w:val="auto"/>
        </w:rPr>
      </w:pPr>
    </w:p>
    <w:p>
      <w:pPr>
        <w:ind w:left="1460" w:right="280" w:hanging="179"/>
        <w:spacing w:after="0" w:line="277" w:lineRule="auto"/>
        <w:rPr>
          <w:sz w:val="20"/>
          <w:szCs w:val="20"/>
          <w:color w:val="auto"/>
        </w:rPr>
      </w:pPr>
      <w:r>
        <w:rPr>
          <w:rFonts w:ascii="Arial" w:cs="Arial" w:eastAsia="Arial" w:hAnsi="Arial"/>
          <w:sz w:val="18"/>
          <w:szCs w:val="18"/>
          <w:color w:val="auto"/>
        </w:rPr>
        <w:t>Combined voting power held by management</w:t>
      </w:r>
    </w:p>
    <w:p>
      <w:pPr>
        <w:spacing w:after="0" w:line="27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Controlled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Dividend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799"/>
        <w:spacing w:after="0" w:line="271" w:lineRule="auto"/>
        <w:rPr>
          <w:sz w:val="20"/>
          <w:szCs w:val="20"/>
          <w:color w:val="auto"/>
        </w:rPr>
      </w:pPr>
      <w:r>
        <w:rPr>
          <w:rFonts w:ascii="Arial" w:cs="Arial" w:eastAsia="Arial" w:hAnsi="Arial"/>
          <w:sz w:val="17"/>
          <w:szCs w:val="17"/>
          <w:color w:val="auto"/>
        </w:rPr>
        <w:t>Each share of Class C common stock entitles its holder to one vote on all matters presented to our stockholders generally representing an aggregate of 0.6% of the combined voting power of our issued and outstanding common stock upon completion of this offering (or 0.6%, if the underwriters exercise in full their option to purchase additional shares of Class A common stock). Certain Bank Stockholders own all of our outstanding Class C common stock.</w:t>
      </w:r>
    </w:p>
    <w:p>
      <w:pPr>
        <w:spacing w:after="0" w:line="70" w:lineRule="exact"/>
        <w:rPr>
          <w:sz w:val="20"/>
          <w:szCs w:val="20"/>
          <w:color w:val="auto"/>
        </w:rPr>
      </w:pPr>
    </w:p>
    <w:p>
      <w:pPr>
        <w:ind w:right="679"/>
        <w:spacing w:after="0" w:line="254" w:lineRule="auto"/>
        <w:rPr>
          <w:sz w:val="20"/>
          <w:szCs w:val="20"/>
          <w:color w:val="auto"/>
        </w:rPr>
      </w:pPr>
      <w:r>
        <w:rPr>
          <w:rFonts w:ascii="Arial" w:cs="Arial" w:eastAsia="Arial" w:hAnsi="Arial"/>
          <w:sz w:val="18"/>
          <w:szCs w:val="18"/>
          <w:color w:val="auto"/>
        </w:rPr>
        <w:t>Each share of Class D common stock entitles its holder to ten votes on all matters presented to our stockholders generally, representing an aggregate of 26.7% of the combined voting power of our issued and outstanding common stock upon consummation of this offering (or 25.8%, if the underwriters exercise in full their option to purchase additional shares of Class A common stock). Continuing LLC Owners own all of our outstanding Class D common stock.</w:t>
      </w:r>
    </w:p>
    <w:p>
      <w:pPr>
        <w:spacing w:after="0" w:line="84" w:lineRule="exact"/>
        <w:rPr>
          <w:sz w:val="20"/>
          <w:szCs w:val="20"/>
          <w:color w:val="auto"/>
        </w:rPr>
      </w:pPr>
    </w:p>
    <w:p>
      <w:pPr>
        <w:ind w:right="719"/>
        <w:spacing w:after="0" w:line="255" w:lineRule="auto"/>
        <w:rPr>
          <w:sz w:val="20"/>
          <w:szCs w:val="20"/>
          <w:color w:val="auto"/>
        </w:rPr>
      </w:pPr>
      <w:r>
        <w:rPr>
          <w:rFonts w:ascii="Arial" w:cs="Arial" w:eastAsia="Arial" w:hAnsi="Arial"/>
          <w:sz w:val="18"/>
          <w:szCs w:val="18"/>
          <w:color w:val="auto"/>
        </w:rPr>
        <w:t>Holders of all outstanding shares of our Class A common stock, Class B common stock, Class C common stock and Class D common stock will vote together as a single class on all matters presented to our stockholders for their vote or approval, except as otherwise required by applicable law. See “Description of Capital Stock.”</w:t>
      </w:r>
    </w:p>
    <w:p>
      <w:pPr>
        <w:spacing w:after="0" w:line="300" w:lineRule="exact"/>
        <w:rPr>
          <w:sz w:val="20"/>
          <w:szCs w:val="20"/>
          <w:color w:val="auto"/>
        </w:rPr>
      </w:pPr>
    </w:p>
    <w:p>
      <w:pPr>
        <w:ind w:right="819"/>
        <w:spacing w:after="0" w:line="308" w:lineRule="auto"/>
        <w:rPr>
          <w:sz w:val="20"/>
          <w:szCs w:val="20"/>
          <w:color w:val="auto"/>
        </w:rPr>
      </w:pPr>
      <w:r>
        <w:rPr>
          <w:rFonts w:ascii="Arial" w:cs="Arial" w:eastAsia="Arial" w:hAnsi="Arial"/>
          <w:sz w:val="17"/>
          <w:szCs w:val="17"/>
          <w:color w:val="auto"/>
        </w:rPr>
        <w:t>83.0% (or 83.8%, if the underwriters exercise in full their option to purchase additional shares of Class A common stock).</w:t>
      </w:r>
    </w:p>
    <w:p>
      <w:pPr>
        <w:spacing w:after="0" w:line="254" w:lineRule="exact"/>
        <w:rPr>
          <w:sz w:val="20"/>
          <w:szCs w:val="20"/>
          <w:color w:val="auto"/>
        </w:rPr>
      </w:pPr>
    </w:p>
    <w:p>
      <w:pPr>
        <w:ind w:right="819"/>
        <w:spacing w:after="0" w:line="308" w:lineRule="auto"/>
        <w:rPr>
          <w:sz w:val="20"/>
          <w:szCs w:val="20"/>
          <w:color w:val="auto"/>
        </w:rPr>
      </w:pPr>
      <w:r>
        <w:rPr>
          <w:rFonts w:ascii="Arial" w:cs="Arial" w:eastAsia="Arial" w:hAnsi="Arial"/>
          <w:sz w:val="17"/>
          <w:szCs w:val="17"/>
          <w:color w:val="auto"/>
        </w:rPr>
        <w:t>11.3% (or 10.2%, if the underwriters exercise in full their option to purchase additional shares of Class A common stock).</w:t>
      </w:r>
    </w:p>
    <w:p>
      <w:pPr>
        <w:spacing w:after="0" w:line="254" w:lineRule="exact"/>
        <w:rPr>
          <w:sz w:val="20"/>
          <w:szCs w:val="20"/>
          <w:color w:val="auto"/>
        </w:rPr>
      </w:pPr>
    </w:p>
    <w:p>
      <w:pPr>
        <w:ind w:right="799"/>
        <w:spacing w:after="0" w:line="277" w:lineRule="auto"/>
        <w:rPr>
          <w:sz w:val="20"/>
          <w:szCs w:val="20"/>
          <w:color w:val="auto"/>
        </w:rPr>
      </w:pPr>
      <w:r>
        <w:rPr>
          <w:rFonts w:ascii="Arial" w:cs="Arial" w:eastAsia="Arial" w:hAnsi="Arial"/>
          <w:sz w:val="18"/>
          <w:szCs w:val="18"/>
          <w:color w:val="auto"/>
        </w:rPr>
        <w:t>0.1% (or 0.1%, if the underwriters exercise in full their option to purchase additional shares of Class A common stock).</w:t>
      </w:r>
    </w:p>
    <w:p>
      <w:pPr>
        <w:spacing w:after="0" w:line="62" w:lineRule="exact"/>
        <w:rPr>
          <w:sz w:val="20"/>
          <w:szCs w:val="20"/>
          <w:color w:val="auto"/>
        </w:rPr>
      </w:pPr>
    </w:p>
    <w:p>
      <w:pPr>
        <w:ind w:right="659"/>
        <w:spacing w:after="0" w:line="257" w:lineRule="auto"/>
        <w:rPr>
          <w:sz w:val="20"/>
          <w:szCs w:val="20"/>
          <w:color w:val="auto"/>
        </w:rPr>
      </w:pPr>
      <w:r>
        <w:rPr>
          <w:rFonts w:ascii="Arial" w:cs="Arial" w:eastAsia="Arial" w:hAnsi="Arial"/>
          <w:sz w:val="18"/>
          <w:szCs w:val="18"/>
          <w:color w:val="auto"/>
        </w:rPr>
        <w:t>The Refinitiv Owners own a majority of the combined voting power in us. As a result, we are a “controlled company” within the meaning of the corporate governance standards of Nasdaq. See “Management — Director Independence and Controlled Company Exception.”</w:t>
      </w:r>
    </w:p>
    <w:p>
      <w:pPr>
        <w:spacing w:after="0" w:line="80" w:lineRule="exact"/>
        <w:rPr>
          <w:sz w:val="20"/>
          <w:szCs w:val="20"/>
          <w:color w:val="auto"/>
        </w:rPr>
      </w:pPr>
    </w:p>
    <w:p>
      <w:pPr>
        <w:ind w:right="919"/>
        <w:spacing w:after="0" w:line="263" w:lineRule="auto"/>
        <w:rPr>
          <w:sz w:val="20"/>
          <w:szCs w:val="20"/>
          <w:color w:val="auto"/>
        </w:rPr>
      </w:pPr>
      <w:r>
        <w:rPr>
          <w:rFonts w:ascii="Arial" w:cs="Arial" w:eastAsia="Arial" w:hAnsi="Arial"/>
          <w:sz w:val="18"/>
          <w:szCs w:val="18"/>
          <w:color w:val="auto"/>
        </w:rPr>
        <w:t>Subject to legally available funds, we intend to continue to pay quarterly cash dividends on our Class A common stock and Class B common stock equal to $0.08 per share.</w:t>
      </w:r>
    </w:p>
    <w:p>
      <w:pPr>
        <w:spacing w:after="0" w:line="76" w:lineRule="exact"/>
        <w:rPr>
          <w:sz w:val="20"/>
          <w:szCs w:val="20"/>
          <w:color w:val="auto"/>
        </w:rPr>
      </w:pPr>
    </w:p>
    <w:p>
      <w:pPr>
        <w:ind w:right="679"/>
        <w:spacing w:after="0" w:line="269" w:lineRule="auto"/>
        <w:rPr>
          <w:sz w:val="20"/>
          <w:szCs w:val="20"/>
          <w:color w:val="auto"/>
        </w:rPr>
      </w:pPr>
      <w:r>
        <w:rPr>
          <w:rFonts w:ascii="Arial" w:cs="Arial" w:eastAsia="Arial" w:hAnsi="Arial"/>
          <w:sz w:val="17"/>
          <w:szCs w:val="17"/>
          <w:color w:val="auto"/>
        </w:rPr>
        <w:t>Because we are a holding company and all of our business is conducted through our subsidiaries, we expect to pay dividends, if any, from funds we receive from our subsidiaries. As the sole manager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If TWM LLC is unable to cause these subsidiaries to make distributions, it may have inadequate funds to distribute to us and we may be unable to fund our dividends.</w:t>
      </w:r>
    </w:p>
    <w:p>
      <w:pPr>
        <w:spacing w:after="0" w:line="200" w:lineRule="exact"/>
        <w:rPr>
          <w:sz w:val="20"/>
          <w:szCs w:val="20"/>
          <w:color w:val="auto"/>
        </w:rPr>
      </w:pPr>
    </w:p>
    <w:p>
      <w:pPr>
        <w:sectPr>
          <w:pgSz w:w="11900" w:h="16838" w:orient="portrait"/>
          <w:cols w:equalWidth="0" w:num="2">
            <w:col w:w="4000" w:space="460"/>
            <w:col w:w="5679"/>
          </w:cols>
          <w:pgMar w:left="320" w:top="131" w:right="1440"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60" w:right="40" w:hanging="179"/>
        <w:spacing w:after="0" w:line="277" w:lineRule="auto"/>
        <w:rPr>
          <w:sz w:val="20"/>
          <w:szCs w:val="20"/>
          <w:color w:val="auto"/>
        </w:rPr>
      </w:pPr>
      <w:r>
        <w:rPr>
          <w:rFonts w:ascii="Arial" w:cs="Arial" w:eastAsia="Arial" w:hAnsi="Arial"/>
          <w:sz w:val="18"/>
          <w:szCs w:val="18"/>
          <w:color w:val="auto"/>
        </w:rPr>
        <w:t>Ratio of shares of common stock to LLC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460" w:hanging="179"/>
        <w:spacing w:after="0" w:line="279" w:lineRule="auto"/>
        <w:rPr>
          <w:sz w:val="20"/>
          <w:szCs w:val="20"/>
          <w:color w:val="auto"/>
        </w:rPr>
      </w:pPr>
      <w:r>
        <w:rPr>
          <w:rFonts w:ascii="Arial" w:cs="Arial" w:eastAsia="Arial" w:hAnsi="Arial"/>
          <w:sz w:val="17"/>
          <w:szCs w:val="17"/>
          <w:color w:val="auto"/>
        </w:rPr>
        <w:t>Redemption rights of holders of LLC Interests/exchange rights of holders of Class B common stock and Class D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779"/>
        <w:spacing w:after="0" w:line="263" w:lineRule="auto"/>
        <w:rPr>
          <w:sz w:val="20"/>
          <w:szCs w:val="20"/>
          <w:color w:val="auto"/>
        </w:rPr>
      </w:pPr>
      <w:r>
        <w:rPr>
          <w:rFonts w:ascii="Arial" w:cs="Arial" w:eastAsia="Arial" w:hAnsi="Arial"/>
          <w:sz w:val="18"/>
          <w:szCs w:val="18"/>
          <w:color w:val="auto"/>
        </w:rPr>
        <w:t>The declaration, amount and payment of any dividends will be at the discretion of our board of directors and subject to certain considerations. See “Dividend Policy.”</w:t>
      </w:r>
    </w:p>
    <w:p>
      <w:pPr>
        <w:spacing w:after="0" w:line="292" w:lineRule="exact"/>
        <w:rPr>
          <w:sz w:val="20"/>
          <w:szCs w:val="20"/>
          <w:color w:val="auto"/>
        </w:rPr>
      </w:pPr>
    </w:p>
    <w:p>
      <w:pPr>
        <w:ind w:right="699"/>
        <w:spacing w:after="0" w:line="254" w:lineRule="auto"/>
        <w:rPr>
          <w:sz w:val="20"/>
          <w:szCs w:val="20"/>
          <w:color w:val="auto"/>
        </w:rPr>
      </w:pPr>
      <w:r>
        <w:rPr>
          <w:rFonts w:ascii="Arial" w:cs="Arial" w:eastAsia="Arial" w:hAnsi="Arial"/>
          <w:sz w:val="18"/>
          <w:szCs w:val="18"/>
          <w:color w:val="auto"/>
        </w:rPr>
        <w:t>The TWM LLC Agreement requires that TWM LLC at all times maintain (i) a one-to-one ratio between the number of shares of Class A common stock and Class B common stock issued by us and the number of LLC Interests owned by us and (ii) a one-to-one ratio between the number of shares of Class C common stock and Class D common stock issued by us and the number of LLC Interests owned by the holders of such Class C common stock and Class D common stock.</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79"/>
        <w:spacing w:after="0" w:line="272" w:lineRule="auto"/>
        <w:rPr>
          <w:sz w:val="20"/>
          <w:szCs w:val="20"/>
          <w:color w:val="auto"/>
        </w:rPr>
      </w:pPr>
      <w:r>
        <w:rPr>
          <w:rFonts w:ascii="Arial" w:cs="Arial" w:eastAsia="Arial" w:hAnsi="Arial"/>
          <w:sz w:val="17"/>
          <w:szCs w:val="17"/>
          <w:color w:val="auto"/>
        </w:rPr>
        <w:t>The Continuing LLC Owners, from time to time, may require TWM LLC to redeem all or a portion of their LLC Interests for newly issued shares of Class A common stock or Class B common stock on a one-for-one basis in accordance with the terms of the TWM LLC Agreement (and such holders’ shares of Class C common stock or Class D common stock, as the case may be, will be cancelled on a one-for-one basis upon any such issuance).</w:t>
      </w:r>
    </w:p>
    <w:p>
      <w:pPr>
        <w:spacing w:after="0" w:line="69" w:lineRule="exact"/>
        <w:rPr>
          <w:sz w:val="20"/>
          <w:szCs w:val="20"/>
          <w:color w:val="auto"/>
        </w:rPr>
      </w:pPr>
    </w:p>
    <w:p>
      <w:pPr>
        <w:ind w:right="699"/>
        <w:spacing w:after="0" w:line="267" w:lineRule="auto"/>
        <w:rPr>
          <w:sz w:val="20"/>
          <w:szCs w:val="20"/>
          <w:color w:val="auto"/>
        </w:rPr>
      </w:pPr>
      <w:r>
        <w:rPr>
          <w:rFonts w:ascii="Arial" w:cs="Arial" w:eastAsia="Arial" w:hAnsi="Arial"/>
          <w:sz w:val="17"/>
          <w:szCs w:val="17"/>
          <w:color w:val="auto"/>
        </w:rPr>
        <w:t>In the event of such election by a Continuing LLC Owner, we may, at our option, effect a direct exchange of Class A common stock or Class B common stock, as the case may be, for such LLC Interests of such Continuing LLC Owner in lieu of such redemption. In addition, Tradeweb’s board of directors, which includes directors who hold LLC Interests or are affiliated with holders of LLC Interests and may include such directors in the future, may, at its option, instead of the foregoing redemptions of LLC Interests, cause the Company to make a cash payment equal to the volume weighted average market price of one share of our Class A common stock for each LLC Interest redeemed or exchanged (subject to customary adjustments, including for stock splits, stock dividends and reclassifications) in accordance with the terms of the TWM LLC Agreement. See “Certain Relationships and Related Party Transactions — Related Party Transactions Entered Into in Connection With the IPO — TWM LLC Agreement.”</w:t>
      </w:r>
    </w:p>
    <w:p>
      <w:pPr>
        <w:spacing w:after="0" w:line="83" w:lineRule="exact"/>
        <w:rPr>
          <w:sz w:val="20"/>
          <w:szCs w:val="20"/>
          <w:color w:val="auto"/>
        </w:rPr>
      </w:pPr>
    </w:p>
    <w:p>
      <w:pPr>
        <w:ind w:right="699"/>
        <w:spacing w:after="0" w:line="269" w:lineRule="auto"/>
        <w:rPr>
          <w:sz w:val="20"/>
          <w:szCs w:val="20"/>
          <w:color w:val="auto"/>
        </w:rPr>
      </w:pPr>
      <w:r>
        <w:rPr>
          <w:rFonts w:ascii="Arial" w:cs="Arial" w:eastAsia="Arial" w:hAnsi="Arial"/>
          <w:sz w:val="17"/>
          <w:szCs w:val="17"/>
          <w:color w:val="auto"/>
        </w:rPr>
        <w:t>The Refinitiv Direct Owner and other future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 Furthermore, the Continuing LLC Owners that hold shares of Class D common stock may from time to time exchange all or a portion of their shares of our Class D common stock for newly issued shares of Class C common stock on a one-for-one basis (in which case their shares of Class D common stock will be cancelled on a one-for-one basis upon such issuance).</w:t>
      </w:r>
    </w:p>
    <w:p>
      <w:pPr>
        <w:spacing w:after="0" w:line="200" w:lineRule="exact"/>
        <w:rPr>
          <w:sz w:val="20"/>
          <w:szCs w:val="20"/>
          <w:color w:val="auto"/>
        </w:rPr>
      </w:pPr>
    </w:p>
    <w:p>
      <w:pPr>
        <w:sectPr>
          <w:pgSz w:w="11900" w:h="16838" w:orient="portrait"/>
          <w:cols w:equalWidth="0" w:num="2">
            <w:col w:w="4000" w:space="460"/>
            <w:col w:w="567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color w:val="auto"/>
        </w:rPr>
        <w:t>Conversion</w:t>
      </w:r>
      <w:r>
        <w:rPr>
          <w:sz w:val="20"/>
          <w:szCs w:val="20"/>
          <w:color w:val="auto"/>
        </w:rPr>
        <w:tab/>
      </w:r>
      <w:r>
        <w:rPr>
          <w:rFonts w:ascii="Arial" w:cs="Arial" w:eastAsia="Arial" w:hAnsi="Arial"/>
          <w:sz w:val="18"/>
          <w:szCs w:val="18"/>
          <w:color w:val="auto"/>
        </w:rPr>
        <w:t>Each share of our Class B common stock will automatically</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convert into one share of Class A common stock and each share of</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our Class D common stock will automatically convert into one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share of our Class C common stock (i) immediately prior to any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sale or other transfer of such share by a holder or its permitted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transferees to a non-permitted transferee, or (ii) once the Refinitiv</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Owners and their affiliates together no longer beneficially own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number of shares of our common stock and LLC Interests that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together entitle them to at least 10% of TWM LLC’s economic</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interests. In addition, with respect to each Bank Stockholder that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holds shares of Class D common stock, immediately prior to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occurrence of any event that would cause the combined voting</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power held by such Bank Stockholder to exceed 4.9%,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minimum number of shares of Class D common stock of such</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Bank Stockholder that would need to convert into shares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Class C common stock such that the combined voting power held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such Bank Stockholder would not exceed 4.9% will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automatically convert into shares of Class C common stock.</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Holders of LLC Interests that receive shares of Class C common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stock upon any such conversion may continue to elect to have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their LLC Interests redeemed for newly issued shares of Class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common stock as described above (in which case their shares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Class C common stock will be cancelled on a one-for-one basis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upon such issuance). See “Description of Capital Stock.”</w:t>
      </w:r>
    </w:p>
    <w:p>
      <w:pPr>
        <w:spacing w:after="0" w:line="103"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color w:val="auto"/>
        </w:rPr>
        <w:t>Tax Receivable Agreement</w:t>
      </w:r>
      <w:r>
        <w:rPr>
          <w:sz w:val="20"/>
          <w:szCs w:val="20"/>
          <w:color w:val="auto"/>
        </w:rPr>
        <w:tab/>
      </w:r>
      <w:r>
        <w:rPr>
          <w:rFonts w:ascii="Arial" w:cs="Arial" w:eastAsia="Arial" w:hAnsi="Arial"/>
          <w:sz w:val="17"/>
          <w:szCs w:val="17"/>
          <w:color w:val="auto"/>
        </w:rPr>
        <w:t>We entered into the Tax Receivable Agreement with TWM LLC</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and the Continuing LLC Owners that provides for the payment by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Tradeweb to a Continuing LLC Owner of 50% of the amount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U.S. federal, state and local income or franchise tax savings, if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any, that Tradeweb actually realizes (or in some circumstances is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deemed to realize) as a result of (i) increases in the tax basis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TWM LLC’s assets resulting from (a) the purchase of LLC</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Interests from such Continuing LLC Owner, including with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net proceeds from the IPO, the October 2019 follow-on offering</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and this offering or (b) redemptions or exchanges by such</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Continuing LLC Owner of LLC Interests for shares of our Class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common stock or Class B common stock or for cash, as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applicable, as described above under “— Redemption rights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holders of LLC Interests/exchange rights of holders of Class B</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common stock and Class D common stock” and (ii) certain other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tax benefits related to our making payments under the Tax</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Receivable Agreement. See “Certain Relationships and Related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Party Transactions — Related Party Transactions Entered Into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Connection With the IPO — Tax Receivable Agreement.”</w:t>
      </w:r>
    </w:p>
    <w:p>
      <w:pPr>
        <w:spacing w:after="0" w:line="103"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color w:val="auto"/>
        </w:rPr>
        <w:t>Registration Rights Agreement</w:t>
      </w:r>
      <w:r>
        <w:rPr>
          <w:sz w:val="20"/>
          <w:szCs w:val="20"/>
          <w:color w:val="auto"/>
        </w:rPr>
        <w:tab/>
      </w:r>
      <w:r>
        <w:rPr>
          <w:rFonts w:ascii="Arial" w:cs="Arial" w:eastAsia="Arial" w:hAnsi="Arial"/>
          <w:sz w:val="16"/>
          <w:szCs w:val="16"/>
          <w:color w:val="auto"/>
        </w:rPr>
        <w:t>Pursuant to the Registration Rights Agreement, we granted the</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Refinitiv Owners, the Bank Stockholders, their affiliates and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certain of their transferees the right, under certain circumstances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and subject to certain restrictions, to require us to register under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the Securities Act shares of Class A common stock. See “Certain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Relationships and Related Party Transactions — Related Party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Transactions Entered Into in Connection With the IPO —</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Registration Rights Agreement.”</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7"/>
          <w:szCs w:val="17"/>
          <w:color w:val="auto"/>
        </w:rPr>
        <w:t>We estimate that the net proceeds to us from this offering, after</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deducting underwriting discounts, but before deducting estimated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offering expenses, will be approximately $566.1 million (or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approximately $651.0 million, if the underwriters exercise in full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their option to purchase additional shares of Class A common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stock), based on an assumed price of $53.16 per share of our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Class A common stock (the closing price for our shares of Class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common stock on Nasdaq on April 16, 2020).</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We intend to use the net proceeds that we receive from this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offering to purchase (i) 10,633,603 issued and outstanding LLC</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Interests (or 12,228,645 LLC Interests, if the underwriters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exercise in full their option to purchase additional shares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Class A common stock) from the Selling LLC Owners (and cancel</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the corresponding shares of common stock held by such Selling</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LLC Owners) and (ii) 316,397 issued and outstanding shares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Class A common stock (or 363,855 shares of Class A common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stock, if the underwriters exercise in full their option to purchase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additional shares of Class A common stock) from certain of our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executive officers following the Net Exercise, as applicable (and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cancel such shares of Class A common stock), at a purchase price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per interest and share equal to the public offering price per share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of our Class A common stock, less the underwriting discounts and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commissions payable thereon. See “Use of Proceeds” and “Certain</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Relationships and Related Party Transactions — Transactions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With Certain Original LLC Owners” for additional information.</w:t>
      </w:r>
    </w:p>
    <w:p>
      <w:pPr>
        <w:spacing w:after="0" w:line="103"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color w:val="auto"/>
        </w:rPr>
        <w:t>Conflicts of interest</w:t>
      </w:r>
      <w:r>
        <w:rPr>
          <w:sz w:val="20"/>
          <w:szCs w:val="20"/>
          <w:color w:val="auto"/>
        </w:rPr>
        <w:tab/>
      </w:r>
      <w:r>
        <w:rPr>
          <w:rFonts w:ascii="Arial" w:cs="Arial" w:eastAsia="Arial" w:hAnsi="Arial"/>
          <w:sz w:val="17"/>
          <w:szCs w:val="17"/>
          <w:color w:val="auto"/>
        </w:rPr>
        <w:t>Because affiliates of Barclays Capital Inc., Citigroup Global</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Markets Inc., Goldman Sachs &amp; Co. LLC and Morgan Stanley &amp;</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 LLC will each receive more than 5.0% of the net proceeds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from this offering, Barclays Capital Inc., Citigroup Global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Markets Inc., Goldman Sachs &amp; Co. LLC and Morgan Stanley &amp;</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 LLC are deemed to have a “conflict of interest” pursuant to</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FINRA Rule 5121(f)(5)(C)(ii). See “Use of Proceeds.”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Accordingly, this offering will be made in compliance with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applicable provisions of Rule 5121. As such, any underwriter that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has a conflict of interest pursuant to Rule 5121 will not confirm</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sales to accounts in which it exercises discretionary authority</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without the prior written consent of the customer.</w:t>
      </w:r>
    </w:p>
    <w:p>
      <w:pPr>
        <w:spacing w:after="0" w:line="103"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color w:val="auto"/>
        </w:rPr>
        <w:t>Nasdaq symbol</w:t>
      </w:r>
      <w:r>
        <w:rPr>
          <w:sz w:val="20"/>
          <w:szCs w:val="20"/>
          <w:color w:val="auto"/>
        </w:rPr>
        <w:tab/>
      </w:r>
      <w:r>
        <w:rPr>
          <w:rFonts w:ascii="Arial" w:cs="Arial" w:eastAsia="Arial" w:hAnsi="Arial"/>
          <w:sz w:val="18"/>
          <w:szCs w:val="18"/>
          <w:color w:val="auto"/>
        </w:rPr>
        <w:t>“TW.”</w:t>
      </w:r>
    </w:p>
    <w:p>
      <w:pPr>
        <w:spacing w:after="0" w:line="117"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7"/>
          <w:szCs w:val="17"/>
          <w:color w:val="auto"/>
        </w:rPr>
        <w:t>Investing in our Class A common stock involves a high degree of</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risk. See “Risk Factors” in this prospectus for a discussion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factors you should carefully consider before investing in our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Class A common stock.</w:t>
      </w:r>
    </w:p>
    <w:p>
      <w:pPr>
        <w:spacing w:after="0" w:line="103" w:lineRule="exact"/>
        <w:rPr>
          <w:sz w:val="20"/>
          <w:szCs w:val="20"/>
          <w:color w:val="auto"/>
        </w:rPr>
      </w:pPr>
    </w:p>
    <w:p>
      <w:pPr>
        <w:ind w:left="1280" w:right="759" w:firstLine="360"/>
        <w:spacing w:after="0" w:line="263" w:lineRule="auto"/>
        <w:rPr>
          <w:sz w:val="20"/>
          <w:szCs w:val="20"/>
          <w:color w:val="auto"/>
        </w:rPr>
      </w:pPr>
      <w:r>
        <w:rPr>
          <w:rFonts w:ascii="Arial" w:cs="Arial" w:eastAsia="Arial" w:hAnsi="Arial"/>
          <w:sz w:val="18"/>
          <w:szCs w:val="18"/>
          <w:color w:val="auto"/>
        </w:rPr>
        <w:t>The number of shares of our common stock to be issued and outstanding after this offering and related ownership information (i) is based on 224,864,846 shares of common stock outstanding as of March 31, 2020, (ii) gives effect to the Net Exercise and (iii) excludes approximately:</w:t>
      </w:r>
    </w:p>
    <w:p>
      <w:pPr>
        <w:spacing w:after="0" w:line="76" w:lineRule="exact"/>
        <w:rPr>
          <w:sz w:val="20"/>
          <w:szCs w:val="20"/>
          <w:color w:val="auto"/>
        </w:rPr>
      </w:pPr>
    </w:p>
    <w:p>
      <w:pPr>
        <w:ind w:left="2000" w:right="979" w:hanging="354"/>
        <w:spacing w:after="0" w:line="259" w:lineRule="auto"/>
        <w:tabs>
          <w:tab w:leader="none" w:pos="2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14,307,415 shares of Class A common stock issuable upon the exercise of outstanding options under our Amended and Restated Tradeweb Markets Inc. 2018 Stock Option Plan (the “Option Plan”) as of April 16, 2020 at a weighted-average exercise price of $21.86 per share, which options may be exercised on a cashless or net settlement basis;</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2000" w:right="739" w:hanging="354"/>
        <w:spacing w:after="0" w:line="263" w:lineRule="auto"/>
        <w:tabs>
          <w:tab w:leader="none" w:pos="2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105,365 shares of Class A common stock issued as of April 16, 2020 following the net exercise of vested options pursuant to the Option Plan, which do not include shares of Class A common stock issued in the Net Exercise;</w:t>
      </w:r>
    </w:p>
    <w:p>
      <w:pPr>
        <w:spacing w:after="0" w:line="75" w:lineRule="exact"/>
        <w:rPr>
          <w:rFonts w:ascii="Arial" w:cs="Arial" w:eastAsia="Arial" w:hAnsi="Arial"/>
          <w:sz w:val="18"/>
          <w:szCs w:val="18"/>
          <w:color w:val="auto"/>
        </w:rPr>
      </w:pPr>
    </w:p>
    <w:p>
      <w:pPr>
        <w:ind w:left="2000" w:right="939" w:hanging="354"/>
        <w:spacing w:after="0" w:line="342" w:lineRule="auto"/>
        <w:tabs>
          <w:tab w:leader="none" w:pos="2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3,006,901 shares of Class A common stock underlying performance based restricted share units issued under our Amended &amp; Restated Tradeweb Markets Inc. PRSU Plan (the “PRSU Plan”);</w:t>
      </w:r>
    </w:p>
    <w:p>
      <w:pPr>
        <w:spacing w:after="0" w:line="15" w:lineRule="exact"/>
        <w:rPr>
          <w:rFonts w:ascii="Arial" w:cs="Arial" w:eastAsia="Arial" w:hAnsi="Arial"/>
          <w:sz w:val="16"/>
          <w:szCs w:val="16"/>
          <w:color w:val="auto"/>
        </w:rPr>
      </w:pPr>
    </w:p>
    <w:p>
      <w:pPr>
        <w:ind w:left="2000" w:right="699" w:hanging="354"/>
        <w:spacing w:after="0" w:line="277" w:lineRule="auto"/>
        <w:tabs>
          <w:tab w:leader="none" w:pos="2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9,312,374 shares of Class A common stock reserved for future issuance under our Option Plan and our 2019 Omnibus Equity Incentive Plan (the “2019 Equity Incentive Plan”);</w:t>
      </w:r>
    </w:p>
    <w:p>
      <w:pPr>
        <w:spacing w:after="0" w:line="62" w:lineRule="exact"/>
        <w:rPr>
          <w:rFonts w:ascii="Arial" w:cs="Arial" w:eastAsia="Arial" w:hAnsi="Arial"/>
          <w:sz w:val="18"/>
          <w:szCs w:val="18"/>
          <w:color w:val="auto"/>
        </w:rPr>
      </w:pPr>
    </w:p>
    <w:p>
      <w:pPr>
        <w:jc w:val="both"/>
        <w:ind w:left="2000" w:right="819" w:hanging="354"/>
        <w:spacing w:after="0" w:line="263" w:lineRule="auto"/>
        <w:tabs>
          <w:tab w:leader="none" w:pos="2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 respect to the Refinitiv Direct Owner, 96,933,192 shares of Class A common stock reserved for future issuance upon (i) exchange of Class B common stock by the Refinitiv Direct Owner or (ii) conversion of the Class B common stock; and</w:t>
      </w:r>
    </w:p>
    <w:p>
      <w:pPr>
        <w:spacing w:after="0" w:line="75" w:lineRule="exact"/>
        <w:rPr>
          <w:rFonts w:ascii="Arial" w:cs="Arial" w:eastAsia="Arial" w:hAnsi="Arial"/>
          <w:sz w:val="18"/>
          <w:szCs w:val="18"/>
          <w:color w:val="auto"/>
        </w:rPr>
      </w:pPr>
    </w:p>
    <w:p>
      <w:pPr>
        <w:ind w:left="2000" w:right="839" w:hanging="354"/>
        <w:spacing w:after="0" w:line="254" w:lineRule="auto"/>
        <w:tabs>
          <w:tab w:leader="none" w:pos="2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 respect to the Continuing LLC Owners, (i) 46,627,611 shares of Class A common stock and 38,637,628 shares of Class B common stock reserved for future issuance upon the redemption or exchange of LLC Interests by Continuing LLC Owners and (ii) 38,637,628 shares of Class C common stock reserved for future issuance upon (x) exchange of Class D common stock by Continuing LLC Owners or (y) conversion of the Class D common stock. See “— Redemption rights of holders of LLC Interests/exchange rights of holders of Class B common stock and Class D common stock.”</w:t>
      </w:r>
    </w:p>
    <w:p>
      <w:pPr>
        <w:spacing w:after="0" w:line="87"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Unless otherwise stated or the context otherwise requires, all information contained in this prospectus:</w:t>
      </w:r>
    </w:p>
    <w:p>
      <w:pPr>
        <w:spacing w:after="0" w:line="129" w:lineRule="exact"/>
        <w:rPr>
          <w:sz w:val="20"/>
          <w:szCs w:val="20"/>
          <w:color w:val="auto"/>
        </w:rPr>
      </w:pPr>
    </w:p>
    <w:p>
      <w:pPr>
        <w:ind w:left="2000" w:hanging="354"/>
        <w:spacing w:after="0"/>
        <w:tabs>
          <w:tab w:leader="none" w:pos="2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assumes no exercise of outstanding options (other than the Net Exercise);</w:t>
      </w:r>
    </w:p>
    <w:p>
      <w:pPr>
        <w:spacing w:after="0" w:line="117" w:lineRule="exact"/>
        <w:rPr>
          <w:rFonts w:ascii="Arial" w:cs="Arial" w:eastAsia="Arial" w:hAnsi="Arial"/>
          <w:sz w:val="18"/>
          <w:szCs w:val="18"/>
          <w:color w:val="auto"/>
        </w:rPr>
      </w:pPr>
    </w:p>
    <w:p>
      <w:pPr>
        <w:ind w:left="2000" w:right="839" w:hanging="354"/>
        <w:spacing w:after="0" w:line="277" w:lineRule="auto"/>
        <w:tabs>
          <w:tab w:leader="none" w:pos="2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assumes the underwriters’ option to purchase additional shares of Class A common stock has not been exercised; and</w:t>
      </w:r>
    </w:p>
    <w:p>
      <w:pPr>
        <w:spacing w:after="0" w:line="62" w:lineRule="exact"/>
        <w:rPr>
          <w:rFonts w:ascii="Arial" w:cs="Arial" w:eastAsia="Arial" w:hAnsi="Arial"/>
          <w:sz w:val="18"/>
          <w:szCs w:val="18"/>
          <w:color w:val="auto"/>
        </w:rPr>
      </w:pPr>
    </w:p>
    <w:p>
      <w:pPr>
        <w:ind w:left="2000" w:right="959" w:hanging="354"/>
        <w:spacing w:after="0" w:line="277" w:lineRule="auto"/>
        <w:tabs>
          <w:tab w:leader="none" w:pos="2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gives effect to the application of the net proceeds from this offering as described under “Use of Proceeds.”</w:t>
      </w:r>
    </w:p>
    <w:p>
      <w:pPr>
        <w:spacing w:after="0" w:line="62" w:lineRule="exact"/>
        <w:rPr>
          <w:sz w:val="20"/>
          <w:szCs w:val="20"/>
          <w:color w:val="auto"/>
        </w:rPr>
      </w:pPr>
    </w:p>
    <w:p>
      <w:pPr>
        <w:jc w:val="both"/>
        <w:ind w:left="1280" w:right="779" w:firstLine="360"/>
        <w:spacing w:after="0" w:line="263" w:lineRule="auto"/>
        <w:rPr>
          <w:sz w:val="20"/>
          <w:szCs w:val="20"/>
          <w:color w:val="auto"/>
        </w:rPr>
      </w:pPr>
      <w:r>
        <w:rPr>
          <w:rFonts w:ascii="Arial" w:cs="Arial" w:eastAsia="Arial" w:hAnsi="Arial"/>
          <w:sz w:val="18"/>
          <w:szCs w:val="18"/>
          <w:color w:val="auto"/>
        </w:rPr>
        <w:t>Unless otherwise stated or the context otherwise requires, references in this prospectus to the exercise of the underwriters’ option to purchase additional shares of Class A common stock give effect to the use of the net proceeds therefrom.</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Summary Historical and Pro Forma Consolidated Financial and Other Data</w:t>
      </w:r>
    </w:p>
    <w:p>
      <w:pPr>
        <w:spacing w:after="0" w:line="108" w:lineRule="exact"/>
        <w:rPr>
          <w:sz w:val="20"/>
          <w:szCs w:val="20"/>
          <w:color w:val="auto"/>
        </w:rPr>
      </w:pPr>
    </w:p>
    <w:p>
      <w:pPr>
        <w:ind w:left="1280" w:right="699" w:firstLine="360"/>
        <w:spacing w:after="0" w:line="268" w:lineRule="auto"/>
        <w:rPr>
          <w:sz w:val="20"/>
          <w:szCs w:val="20"/>
          <w:color w:val="auto"/>
        </w:rPr>
      </w:pPr>
      <w:r>
        <w:rPr>
          <w:rFonts w:ascii="Arial" w:cs="Arial" w:eastAsia="Arial" w:hAnsi="Arial"/>
          <w:sz w:val="17"/>
          <w:szCs w:val="17"/>
          <w:color w:val="auto"/>
        </w:rPr>
        <w:t>The following tables present the summary historical and pro forma consolidated financial and other data for Tradeweb Markets Inc. and its subsidiaries and Tradeweb Markets LLC and its subsidiaries for the periods indicated below. TWM LLC is the predecessor of the issuer, Tradeweb Markets Inc., for financial reporting purposes. Prior to the consummation of the Reorganization Transactions, Tradeweb Markets Inc. did not conduct any activities other than those incident to its formation and the IPO. As a result of the Reorganization Transactions completed in connection with the IPO, Tradeweb Markets Inc. became the sole manager of Tradeweb Markets LLC whose only material assets consist of its equity interest in Tradeweb Markets LLC and related deferred tax assets. As a result, Tradeweb Markets Inc. consolidates the financial results of Tradeweb Markets LLC and its subsidiaries. Accordingly, the historical consolidated financial data presented below relating to periods prior to and including March 31, 2019 reflect the results of operations, financial position and cash flows of Tradeweb Markets LLC and its subsidiaries. The historical consolidated financial data presented below relating to periods beginning on April 1, 2019, and through and including December 31, 2019 reflect the results of operations, financial position and cash flows of Tradeweb Markets Inc. and its subsidiaries, including the consolidation of its investment in Tradeweb Markets LLC. See “Basis of Presentation.”</w:t>
      </w:r>
    </w:p>
    <w:p>
      <w:pPr>
        <w:spacing w:after="0" w:line="74" w:lineRule="exact"/>
        <w:rPr>
          <w:sz w:val="20"/>
          <w:szCs w:val="20"/>
          <w:color w:val="auto"/>
        </w:rPr>
      </w:pPr>
    </w:p>
    <w:p>
      <w:pPr>
        <w:ind w:left="1280" w:right="739" w:firstLine="360"/>
        <w:spacing w:after="0" w:line="254" w:lineRule="auto"/>
        <w:rPr>
          <w:sz w:val="20"/>
          <w:szCs w:val="20"/>
          <w:color w:val="auto"/>
        </w:rPr>
      </w:pPr>
      <w:r>
        <w:rPr>
          <w:rFonts w:ascii="Arial" w:cs="Arial" w:eastAsia="Arial" w:hAnsi="Arial"/>
          <w:sz w:val="18"/>
          <w:szCs w:val="18"/>
          <w:color w:val="auto"/>
        </w:rPr>
        <w:t>The summary consolidated statement of income data for the year ended December 31, 2019, the 2018 Successor Period, the 2018 Predecessor Period and the year ended December 31, 2017 and the summary consolidated statement of financial condition data as of December 31, 2019 and 2018 are derived from the audited consolidated financial statements of Tradeweb Markets Inc. incorporated by reference in this prospectus. The summary consolidated statement of financial condition as of December 31, 2017 is derived from the consolidated financial statements of Tradeweb Markets LLC not included or incorporated by reference in this prospectus.</w:t>
      </w:r>
    </w:p>
    <w:p>
      <w:pPr>
        <w:spacing w:after="0" w:line="87" w:lineRule="exact"/>
        <w:rPr>
          <w:sz w:val="20"/>
          <w:szCs w:val="20"/>
          <w:color w:val="auto"/>
        </w:rPr>
      </w:pPr>
    </w:p>
    <w:p>
      <w:pPr>
        <w:ind w:left="1280" w:right="679" w:firstLine="360"/>
        <w:spacing w:after="0" w:line="252" w:lineRule="auto"/>
        <w:rPr>
          <w:sz w:val="20"/>
          <w:szCs w:val="20"/>
          <w:color w:val="auto"/>
        </w:rPr>
      </w:pPr>
      <w:r>
        <w:rPr>
          <w:rFonts w:ascii="Arial" w:cs="Arial" w:eastAsia="Arial" w:hAnsi="Arial"/>
          <w:sz w:val="18"/>
          <w:szCs w:val="18"/>
          <w:color w:val="auto"/>
        </w:rPr>
        <w:t>As discussed elsewhere in this prospectus, as a result of the Refinitiv Transaction, we revalued our assets and liabilities based on their fair values as of the closing date of the Refinitiv Transaction in accordance with the acquisition method of accounting. Due to the change in the basis of accounting resulting from the application of pushdown accounting, we are required to present separately the financial information for the period beginning on October 1, 2018, and through and including December 31, 2019, which we refer to as the “Successor period,” and the financial information for the periods prior to, and including, September 30, 2018, which we refer to as the “Predecessor period.” Certain financial information of the Successor period is not comparable to that of the Predecessor period. For a discussion of our Successor and Predecessor periods, see “Basis of Presentation” elsewhere herein and “Management’s Discussion and Analysis of Financial Condition and Results of Operations — Effects of Pushdown Accounting on our Financial Statements” in the 2019 Form 10-K, incorporated by reference in this prospectus.</w:t>
      </w:r>
    </w:p>
    <w:p>
      <w:pPr>
        <w:spacing w:after="0" w:line="92" w:lineRule="exact"/>
        <w:rPr>
          <w:sz w:val="20"/>
          <w:szCs w:val="20"/>
          <w:color w:val="auto"/>
        </w:rPr>
      </w:pPr>
    </w:p>
    <w:p>
      <w:pPr>
        <w:ind w:left="1280" w:right="719" w:firstLine="360"/>
        <w:spacing w:after="0" w:line="257" w:lineRule="auto"/>
        <w:rPr>
          <w:sz w:val="20"/>
          <w:szCs w:val="20"/>
          <w:color w:val="auto"/>
        </w:rPr>
      </w:pPr>
      <w:r>
        <w:rPr>
          <w:rFonts w:ascii="Arial" w:cs="Arial" w:eastAsia="Arial" w:hAnsi="Arial"/>
          <w:sz w:val="18"/>
          <w:szCs w:val="18"/>
          <w:color w:val="auto"/>
        </w:rPr>
        <w:t>The results of operations for the periods presented below are not necessarily indicative of the results to be expected for any future period. The information set forth below should be read together with “Basis of Presentation” elsewhere herein and “Management’s Discussion and Analysis of Financial Condition and Results of Operations ” and our consolidated financial statements and related notes thereto appearing in the 2019 Form 10-K, incorporated by reference in this prospectus.</w:t>
      </w:r>
    </w:p>
    <w:p>
      <w:pPr>
        <w:spacing w:after="0" w:line="80" w:lineRule="exact"/>
        <w:rPr>
          <w:sz w:val="20"/>
          <w:szCs w:val="20"/>
          <w:color w:val="auto"/>
        </w:rPr>
      </w:pPr>
    </w:p>
    <w:p>
      <w:pPr>
        <w:ind w:left="1280" w:right="659" w:firstLine="360"/>
        <w:spacing w:after="0" w:line="269" w:lineRule="auto"/>
        <w:rPr>
          <w:sz w:val="20"/>
          <w:szCs w:val="20"/>
          <w:color w:val="auto"/>
        </w:rPr>
      </w:pPr>
      <w:r>
        <w:rPr>
          <w:rFonts w:ascii="Arial" w:cs="Arial" w:eastAsia="Arial" w:hAnsi="Arial"/>
          <w:sz w:val="17"/>
          <w:szCs w:val="17"/>
          <w:color w:val="auto"/>
        </w:rPr>
        <w:t>The summary unaudited pro forma consolidated financial data of Tradeweb Markets Inc. presented below have been derived from our unaudited pro forma consolidated financial statements included elsewhere in this prospectus. The summary unaudited pro forma consolidated financial data as of and for the year ended December 31, 2019 give effect to the Transactions, including this offering, as if all such transactions had occurred on January 1, 2019, in the case of the summary unaudited pro forma consolidated statement of income data, and as of December 31, 2019, in the case of the summary unaudited pro forma consolidated statement of financial condition data. The unaudited pro forma consolidated financial data includes various estimates which are subject to material change and may not be indicative of what our operations or financial position would have been had the Transactions, including this offering, taken place on the dates indicated, or that may be expected to occur in the future. See “Unaudited Pro Forma Consolidated Financial Information” for a complete description of the adjustments and assumptions underlying the summary unaudited pro forma consolidated financial data.</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2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4"/>
                <w:szCs w:val="14"/>
                <w:b w:val="1"/>
                <w:bCs w:val="1"/>
                <w:color w:val="auto"/>
              </w:rPr>
              <w:t>Historical</w:t>
            </w: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Borders>
              <w:bottom w:val="single" w:sz="8" w:color="auto"/>
            </w:tcBorders>
            <w:gridSpan w:val="4"/>
          </w:tcPr>
          <w:p>
            <w:pPr>
              <w:jc w:val="center"/>
              <w:spacing w:after="0" w:line="216" w:lineRule="exact"/>
              <w:rPr>
                <w:sz w:val="20"/>
                <w:szCs w:val="20"/>
                <w:color w:val="auto"/>
              </w:rPr>
            </w:pPr>
            <w:r>
              <w:rPr>
                <w:rFonts w:ascii="Arial" w:cs="Arial" w:eastAsia="Arial" w:hAnsi="Arial"/>
                <w:sz w:val="14"/>
                <w:szCs w:val="14"/>
                <w:b w:val="1"/>
                <w:bCs w:val="1"/>
                <w:color w:val="auto"/>
                <w:w w:val="94"/>
              </w:rPr>
              <w:t>Pro Forma</w:t>
            </w:r>
            <w:r>
              <w:rPr>
                <w:rFonts w:ascii="Arial" w:cs="Arial" w:eastAsia="Arial" w:hAnsi="Arial"/>
                <w:sz w:val="21"/>
                <w:szCs w:val="21"/>
                <w:b w:val="1"/>
                <w:bCs w:val="1"/>
                <w:color w:val="auto"/>
                <w:w w:val="94"/>
                <w:vertAlign w:val="superscript"/>
              </w:rPr>
              <w:t>(1)</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right w:val="single" w:sz="8" w:color="auto"/>
            </w:tcBorders>
            <w:gridSpan w:val="7"/>
          </w:tcPr>
          <w:p>
            <w:pPr>
              <w:jc w:val="right"/>
              <w:ind w:right="76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4"/>
                <w:szCs w:val="14"/>
                <w:b w:val="1"/>
                <w:bCs w:val="1"/>
                <w:color w:val="auto"/>
              </w:rPr>
              <w:t>Predecessor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Borders>
              <w:right w:val="single" w:sz="8" w:color="auto"/>
            </w:tcBorders>
            <w:gridSpan w:val="4"/>
          </w:tcPr>
          <w:p>
            <w:pPr>
              <w:ind w:left="140"/>
              <w:spacing w:after="0" w:line="160" w:lineRule="exact"/>
              <w:rPr>
                <w:sz w:val="20"/>
                <w:szCs w:val="20"/>
                <w:color w:val="auto"/>
              </w:rPr>
            </w:pPr>
            <w:r>
              <w:rPr>
                <w:rFonts w:ascii="Arial" w:cs="Arial" w:eastAsia="Arial" w:hAnsi="Arial"/>
                <w:sz w:val="14"/>
                <w:szCs w:val="14"/>
                <w:b w:val="1"/>
                <w:bCs w:val="1"/>
                <w:color w:val="auto"/>
              </w:rPr>
              <w:t>October 1,</w:t>
            </w:r>
          </w:p>
        </w:tc>
        <w:tc>
          <w:tcPr>
            <w:tcW w:w="20" w:type="dxa"/>
            <w:vAlign w:val="bottom"/>
          </w:tcPr>
          <w:p>
            <w:pPr>
              <w:spacing w:after="0"/>
              <w:rPr>
                <w:sz w:val="13"/>
                <w:szCs w:val="13"/>
                <w:color w:val="auto"/>
              </w:rPr>
            </w:pPr>
          </w:p>
        </w:tc>
        <w:tc>
          <w:tcPr>
            <w:tcW w:w="980" w:type="dxa"/>
            <w:vAlign w:val="bottom"/>
            <w:gridSpan w:val="4"/>
          </w:tcPr>
          <w:p>
            <w:pPr>
              <w:ind w:left="120"/>
              <w:spacing w:after="0" w:line="160" w:lineRule="exact"/>
              <w:rPr>
                <w:sz w:val="20"/>
                <w:szCs w:val="20"/>
                <w:color w:val="auto"/>
              </w:rPr>
            </w:pPr>
            <w:r>
              <w:rPr>
                <w:rFonts w:ascii="Arial" w:cs="Arial" w:eastAsia="Arial" w:hAnsi="Arial"/>
                <w:sz w:val="14"/>
                <w:szCs w:val="14"/>
                <w:b w:val="1"/>
                <w:bCs w:val="1"/>
                <w:color w:val="auto"/>
              </w:rPr>
              <w:t>January 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6"/>
              </w:rPr>
              <w:t>Year Ended</w:t>
            </w:r>
          </w:p>
        </w:tc>
        <w:tc>
          <w:tcPr>
            <w:tcW w:w="60" w:type="dxa"/>
            <w:vAlign w:val="bottom"/>
          </w:tcPr>
          <w:p>
            <w:pPr>
              <w:spacing w:after="0"/>
              <w:rPr>
                <w:sz w:val="14"/>
                <w:szCs w:val="14"/>
                <w:color w:val="auto"/>
              </w:rPr>
            </w:pPr>
          </w:p>
        </w:tc>
        <w:tc>
          <w:tcPr>
            <w:tcW w:w="9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6"/>
              </w:rPr>
              <w:t>Year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5"/>
              </w:rPr>
              <w:t>2018 to</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2018 to</w:t>
            </w:r>
          </w:p>
        </w:tc>
        <w:tc>
          <w:tcPr>
            <w:tcW w:w="60" w:type="dxa"/>
            <w:vAlign w:val="bottom"/>
          </w:tcPr>
          <w:p>
            <w:pPr>
              <w:spacing w:after="0"/>
              <w:rPr>
                <w:sz w:val="14"/>
                <w:szCs w:val="14"/>
                <w:color w:val="auto"/>
              </w:rPr>
            </w:pPr>
          </w:p>
        </w:tc>
        <w:tc>
          <w:tcPr>
            <w:tcW w:w="10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December 31,</w:t>
            </w:r>
          </w:p>
        </w:tc>
        <w:tc>
          <w:tcPr>
            <w:tcW w:w="60" w:type="dxa"/>
            <w:vAlign w:val="bottom"/>
          </w:tcPr>
          <w:p>
            <w:pPr>
              <w:spacing w:after="0"/>
              <w:rPr>
                <w:sz w:val="14"/>
                <w:szCs w:val="14"/>
                <w:color w:val="auto"/>
              </w:rPr>
            </w:pPr>
          </w:p>
        </w:tc>
        <w:tc>
          <w:tcPr>
            <w:tcW w:w="9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December 31,</w:t>
            </w:r>
          </w:p>
        </w:tc>
        <w:tc>
          <w:tcPr>
            <w:tcW w:w="60" w:type="dxa"/>
            <w:vAlign w:val="bottom"/>
          </w:tcPr>
          <w:p>
            <w:pPr>
              <w:spacing w:after="0"/>
              <w:rPr>
                <w:sz w:val="14"/>
                <w:szCs w:val="14"/>
                <w:color w:val="auto"/>
              </w:rPr>
            </w:pPr>
          </w:p>
        </w:tc>
        <w:tc>
          <w:tcPr>
            <w:tcW w:w="104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4"/>
              </w:rPr>
              <w:t>December 31,</w:t>
            </w:r>
          </w:p>
        </w:tc>
        <w:tc>
          <w:tcPr>
            <w:tcW w:w="20" w:type="dxa"/>
            <w:vAlign w:val="bottom"/>
          </w:tcPr>
          <w:p>
            <w:pPr>
              <w:spacing w:after="0"/>
              <w:rPr>
                <w:sz w:val="14"/>
                <w:szCs w:val="14"/>
                <w:color w:val="auto"/>
              </w:rPr>
            </w:pPr>
          </w:p>
        </w:tc>
        <w:tc>
          <w:tcPr>
            <w:tcW w:w="9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6"/>
              </w:rPr>
              <w:t>September 30,</w:t>
            </w:r>
          </w:p>
        </w:tc>
        <w:tc>
          <w:tcPr>
            <w:tcW w:w="60" w:type="dxa"/>
            <w:vAlign w:val="bottom"/>
          </w:tcPr>
          <w:p>
            <w:pPr>
              <w:spacing w:after="0"/>
              <w:rPr>
                <w:sz w:val="14"/>
                <w:szCs w:val="14"/>
                <w:color w:val="auto"/>
              </w:rPr>
            </w:pPr>
          </w:p>
        </w:tc>
        <w:tc>
          <w:tcPr>
            <w:tcW w:w="10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Borders>
              <w:bottom w:val="single" w:sz="8" w:color="auto"/>
              <w:right w:val="single" w:sz="8" w:color="auto"/>
            </w:tcBorders>
            <w:gridSpan w:val="4"/>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ind w:left="60"/>
              <w:spacing w:after="0"/>
              <w:rPr>
                <w:sz w:val="20"/>
                <w:szCs w:val="20"/>
                <w:color w:val="auto"/>
              </w:rPr>
            </w:pPr>
            <w:r>
              <w:rPr>
                <w:rFonts w:ascii="Arial" w:cs="Arial" w:eastAsia="Arial" w:hAnsi="Arial"/>
                <w:sz w:val="14"/>
                <w:szCs w:val="14"/>
                <w:b w:val="1"/>
                <w:bCs w:val="1"/>
                <w:color w:val="auto"/>
                <w:w w:val="97"/>
              </w:rPr>
              <w:t>(in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Transaction fees</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423,583</w:t>
            </w:r>
          </w:p>
        </w:tc>
        <w:tc>
          <w:tcPr>
            <w:tcW w:w="1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423,583</w:t>
            </w:r>
          </w:p>
        </w:tc>
        <w:tc>
          <w:tcPr>
            <w:tcW w:w="1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97,130</w:t>
            </w:r>
          </w:p>
        </w:tc>
        <w:tc>
          <w:tcPr>
            <w:tcW w:w="200" w:type="dxa"/>
            <w:vAlign w:val="bottom"/>
            <w:tcBorders>
              <w:right w:val="single" w:sz="8" w:color="auto"/>
            </w:tcBorders>
            <w:shd w:val="clear" w:color="auto" w:fill="CCEEFF"/>
          </w:tcPr>
          <w:p>
            <w:pPr>
              <w:spacing w:after="0"/>
              <w:rPr>
                <w:sz w:val="21"/>
                <w:szCs w:val="21"/>
                <w:color w:val="auto"/>
              </w:rPr>
            </w:pPr>
          </w:p>
        </w:tc>
        <w:tc>
          <w:tcPr>
            <w:tcW w:w="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273,751</w:t>
            </w:r>
          </w:p>
        </w:tc>
        <w:tc>
          <w:tcPr>
            <w:tcW w:w="1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267,020</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80" w:type="dxa"/>
            <w:vAlign w:val="bottom"/>
          </w:tcPr>
          <w:p>
            <w:pPr>
              <w:ind w:left="160"/>
              <w:spacing w:after="0" w:line="256" w:lineRule="exact"/>
              <w:rPr>
                <w:sz w:val="20"/>
                <w:szCs w:val="20"/>
                <w:color w:val="auto"/>
              </w:rPr>
            </w:pPr>
            <w:r>
              <w:rPr>
                <w:rFonts w:ascii="Arial" w:cs="Arial" w:eastAsia="Arial" w:hAnsi="Arial"/>
                <w:sz w:val="18"/>
                <w:szCs w:val="18"/>
                <w:color w:val="auto"/>
              </w:rPr>
              <w:t>Subscription fees</w:t>
            </w:r>
            <w:r>
              <w:rPr>
                <w:rFonts w:ascii="Arial" w:cs="Arial" w:eastAsia="Arial" w:hAnsi="Arial"/>
                <w:sz w:val="26"/>
                <w:szCs w:val="26"/>
                <w:color w:val="auto"/>
                <w:vertAlign w:val="superscript"/>
              </w:rPr>
              <w:t>(2)</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194,366</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194,366</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46,519</w:t>
            </w:r>
          </w:p>
        </w:tc>
        <w:tc>
          <w:tcPr>
            <w:tcW w:w="2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143,981</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194,534</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Commissions</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149,365</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149,365</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32,840</w:t>
            </w:r>
          </w:p>
        </w:tc>
        <w:tc>
          <w:tcPr>
            <w:tcW w:w="20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79,830</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96,745</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8,252</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8,252</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w:t>
            </w:r>
          </w:p>
        </w:tc>
        <w:tc>
          <w:tcPr>
            <w:tcW w:w="200" w:type="dxa"/>
            <w:vAlign w:val="bottom"/>
            <w:tcBorders>
              <w:bottom w:val="single" w:sz="8" w:color="CCEEFF"/>
              <w:right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8,209</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4,669</w:t>
            </w:r>
          </w:p>
        </w:tc>
        <w:tc>
          <w:tcPr>
            <w:tcW w:w="1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revenue</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775,566</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775,566</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178,637</w:t>
            </w:r>
          </w:p>
        </w:tc>
        <w:tc>
          <w:tcPr>
            <w:tcW w:w="20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505,771</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562,968</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980" w:type="dxa"/>
            <w:vAlign w:val="bottom"/>
          </w:tcPr>
          <w:p>
            <w:pPr>
              <w:ind w:left="160"/>
              <w:spacing w:after="0" w:line="270" w:lineRule="exact"/>
              <w:rPr>
                <w:sz w:val="20"/>
                <w:szCs w:val="20"/>
                <w:color w:val="auto"/>
              </w:rPr>
            </w:pPr>
            <w:r>
              <w:rPr>
                <w:rFonts w:ascii="Arial" w:cs="Arial" w:eastAsia="Arial" w:hAnsi="Arial"/>
                <w:sz w:val="18"/>
                <w:szCs w:val="18"/>
                <w:color w:val="auto"/>
              </w:rPr>
              <w:t>Contingent consideration</w:t>
            </w:r>
            <w:r>
              <w:rPr>
                <w:rFonts w:ascii="Arial" w:cs="Arial" w:eastAsia="Arial" w:hAnsi="Arial"/>
                <w:sz w:val="26"/>
                <w:szCs w:val="26"/>
                <w:color w:val="auto"/>
                <w:vertAlign w:val="superscript"/>
              </w:rPr>
              <w:t>(3)</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(26,830)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(58,520)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775,566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775,566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178,637</w:t>
            </w:r>
          </w:p>
        </w:tc>
        <w:tc>
          <w:tcPr>
            <w:tcW w:w="20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478,941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504,448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compensation and</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benefits</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329,457</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329,457</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80,436</w:t>
            </w:r>
          </w:p>
        </w:tc>
        <w:tc>
          <w:tcPr>
            <w:tcW w:w="200" w:type="dxa"/>
            <w:vAlign w:val="bottom"/>
            <w:tcBorders>
              <w:right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209,053</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248,963</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139,330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139,330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33,020</w:t>
            </w:r>
          </w:p>
        </w:tc>
        <w:tc>
          <w:tcPr>
            <w:tcW w:w="2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48,808</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68,615</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 and communications</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39,285</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39,285</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9,907</w:t>
            </w:r>
          </w:p>
        </w:tc>
        <w:tc>
          <w:tcPr>
            <w:tcW w:w="20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26,598</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30,013</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34,960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34,960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11,837</w:t>
            </w:r>
          </w:p>
        </w:tc>
        <w:tc>
          <w:tcPr>
            <w:tcW w:w="2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23,056</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33,973</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Professional fees</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28,029</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28,029</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8,194</w:t>
            </w:r>
          </w:p>
        </w:tc>
        <w:tc>
          <w:tcPr>
            <w:tcW w:w="20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19,351</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Occupancy</w:t>
            </w: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14,686</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14,686</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200" w:type="dxa"/>
            <w:vAlign w:val="bottom"/>
            <w:tcBorders>
              <w:bottom w:val="single" w:sz="8" w:color="CCEEFF"/>
              <w:right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10,732</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14,441</w:t>
            </w:r>
          </w:p>
        </w:tc>
        <w:tc>
          <w:tcPr>
            <w:tcW w:w="1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expenses</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585,747</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585,747</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146,702</w:t>
            </w:r>
          </w:p>
        </w:tc>
        <w:tc>
          <w:tcPr>
            <w:tcW w:w="200" w:type="dxa"/>
            <w:vAlign w:val="bottom"/>
            <w:tcBorders>
              <w:bottom w:val="single" w:sz="8" w:color="CCEEFF"/>
              <w:right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338,607</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415,356</w:t>
            </w:r>
          </w:p>
        </w:tc>
        <w:tc>
          <w:tcPr>
            <w:tcW w:w="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0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189,819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189,819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31,935</w:t>
            </w:r>
          </w:p>
        </w:tc>
        <w:tc>
          <w:tcPr>
            <w:tcW w:w="2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140,334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89,092</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receivable agreement liability</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33,134</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33,134</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000" w:type="dxa"/>
            <w:vAlign w:val="bottom"/>
            <w:gridSpan w:val="2"/>
          </w:tcPr>
          <w:p>
            <w:pPr>
              <w:spacing w:after="0"/>
              <w:rPr>
                <w:sz w:val="20"/>
                <w:szCs w:val="20"/>
                <w:color w:val="auto"/>
              </w:rPr>
            </w:pPr>
            <w:r>
              <w:rPr>
                <w:rFonts w:ascii="Arial" w:cs="Arial" w:eastAsia="Arial" w:hAnsi="Arial"/>
                <w:sz w:val="18"/>
                <w:szCs w:val="18"/>
                <w:color w:val="auto"/>
              </w:rPr>
              <w:t>Net interest income</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2,373</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2,373</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787</w:t>
            </w:r>
          </w:p>
        </w:tc>
        <w:tc>
          <w:tcPr>
            <w:tcW w:w="2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1,726</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685</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before taxes</w:t>
            </w: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225,326</w:t>
            </w: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225,326</w:t>
            </w: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32,722</w:t>
            </w:r>
          </w:p>
        </w:tc>
        <w:tc>
          <w:tcPr>
            <w:tcW w:w="200" w:type="dxa"/>
            <w:vAlign w:val="bottom"/>
            <w:tcBorders>
              <w:top w:val="single" w:sz="8" w:color="CCEEFF"/>
              <w:right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142,060</w:t>
            </w: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89,777</w:t>
            </w:r>
          </w:p>
        </w:tc>
        <w:tc>
          <w:tcPr>
            <w:tcW w:w="1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(60,838)</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(52,302)</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(3,415)</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(11,900)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(6,129)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00" w:type="dxa"/>
            <w:vAlign w:val="bottom"/>
            <w:gridSpan w:val="2"/>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164,488</w:t>
            </w:r>
          </w:p>
        </w:tc>
        <w:tc>
          <w:tcPr>
            <w:tcW w:w="1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173,024</w:t>
            </w:r>
          </w:p>
        </w:tc>
        <w:tc>
          <w:tcPr>
            <w:tcW w:w="1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29,307</w:t>
            </w:r>
          </w:p>
        </w:tc>
        <w:tc>
          <w:tcPr>
            <w:tcW w:w="200" w:type="dxa"/>
            <w:vAlign w:val="bottom"/>
            <w:tcBorders>
              <w:right w:val="single" w:sz="8" w:color="auto"/>
            </w:tcBorders>
            <w:shd w:val="clear" w:color="auto" w:fill="CCEEFF"/>
          </w:tcPr>
          <w:p>
            <w:pPr>
              <w:spacing w:after="0"/>
              <w:rPr>
                <w:sz w:val="21"/>
                <w:szCs w:val="21"/>
                <w:color w:val="auto"/>
              </w:rPr>
            </w:pPr>
          </w:p>
        </w:tc>
        <w:tc>
          <w:tcPr>
            <w:tcW w:w="160" w:type="dxa"/>
            <w:vAlign w:val="bottom"/>
            <w:gridSpan w:val="2"/>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130,160</w:t>
            </w:r>
          </w:p>
        </w:tc>
        <w:tc>
          <w:tcPr>
            <w:tcW w:w="1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w:t>
            </w: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40,112</w:t>
            </w:r>
          </w:p>
        </w:tc>
        <w:tc>
          <w:tcPr>
            <w:tcW w:w="14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46,903</w:t>
            </w:r>
          </w:p>
        </w:tc>
        <w:tc>
          <w:tcPr>
            <w:tcW w:w="140" w:type="dxa"/>
            <w:vAlign w:val="bottom"/>
          </w:tcPr>
          <w:p>
            <w:pPr>
              <w:spacing w:after="0"/>
              <w:rPr>
                <w:sz w:val="24"/>
                <w:szCs w:val="24"/>
                <w:color w:val="auto"/>
              </w:rPr>
            </w:pP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3"/>
          </w:tcPr>
          <w:p>
            <w:pPr>
              <w:ind w:left="16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tcBorders>
              <w:top w:val="single" w:sz="8" w:color="CCEEFF"/>
            </w:tcBorders>
            <w:shd w:val="clear" w:color="auto" w:fill="CCEEFF"/>
          </w:tcPr>
          <w:p>
            <w:pPr>
              <w:ind w:left="160"/>
              <w:spacing w:after="0" w:line="189" w:lineRule="exact"/>
              <w:rPr>
                <w:sz w:val="20"/>
                <w:szCs w:val="20"/>
                <w:color w:val="auto"/>
              </w:rPr>
            </w:pPr>
            <w:r>
              <w:rPr>
                <w:rFonts w:ascii="Arial" w:cs="Arial" w:eastAsia="Arial" w:hAnsi="Arial"/>
                <w:sz w:val="18"/>
                <w:szCs w:val="18"/>
                <w:color w:val="auto"/>
                <w:w w:val="96"/>
              </w:rPr>
              <w:t>Net income attributable to Tradeweb</w:t>
            </w: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right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Markets Inc.</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124,376</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83,769</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29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Statement of Financial Condition Data:</w:t>
      </w:r>
    </w:p>
    <w:p>
      <w:pPr>
        <w:ind w:left="1280"/>
        <w:spacing w:after="0" w:line="238" w:lineRule="auto"/>
        <w:rPr>
          <w:sz w:val="20"/>
          <w:szCs w:val="20"/>
          <w:color w:val="auto"/>
        </w:rPr>
      </w:pPr>
      <w:r>
        <w:rPr>
          <w:rFonts w:ascii="Arial" w:cs="Arial" w:eastAsia="Arial" w:hAnsi="Arial"/>
          <w:sz w:val="18"/>
          <w:szCs w:val="18"/>
          <w:color w:val="auto"/>
        </w:rPr>
        <w:t>Cash and cash equivalents</w:t>
      </w:r>
      <w:r>
        <w:rPr>
          <w:rFonts w:ascii="Arial" w:cs="Arial" w:eastAsia="Arial" w:hAnsi="Arial"/>
          <w:sz w:val="26"/>
          <w:szCs w:val="26"/>
          <w:color w:val="auto"/>
          <w:vertAlign w:val="superscript"/>
        </w:rPr>
        <w:t>(4)</w:t>
      </w:r>
    </w:p>
    <w:p>
      <w:pPr>
        <w:ind w:left="1280"/>
        <w:spacing w:after="0" w:line="227" w:lineRule="auto"/>
        <w:rPr>
          <w:sz w:val="20"/>
          <w:szCs w:val="20"/>
          <w:color w:val="auto"/>
        </w:rPr>
      </w:pPr>
      <w:r>
        <w:rPr>
          <w:rFonts w:ascii="Arial" w:cs="Arial" w:eastAsia="Arial" w:hAnsi="Arial"/>
          <w:sz w:val="18"/>
          <w:szCs w:val="18"/>
          <w:color w:val="auto"/>
        </w:rPr>
        <w:t>Total assets</w:t>
      </w:r>
      <w:r>
        <w:rPr>
          <w:rFonts w:ascii="Arial" w:cs="Arial" w:eastAsia="Arial" w:hAnsi="Arial"/>
          <w:sz w:val="26"/>
          <w:szCs w:val="26"/>
          <w:color w:val="auto"/>
          <w:vertAlign w:val="superscript"/>
        </w:rPr>
        <w:t>(4)</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Non-controlling interests</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Total equity/members’ capital</w:t>
      </w:r>
      <w:r>
        <w:rPr>
          <w:rFonts w:ascii="Arial" w:cs="Arial" w:eastAsia="Arial" w:hAnsi="Arial"/>
          <w:sz w:val="26"/>
          <w:szCs w:val="26"/>
          <w:color w:val="auto"/>
          <w:vertAlign w:val="superscript"/>
        </w:rPr>
        <w:t>(4)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Historical</w:t>
            </w:r>
          </w:p>
        </w:tc>
        <w:tc>
          <w:tcPr>
            <w:tcW w:w="1000" w:type="dxa"/>
            <w:vAlign w:val="bottom"/>
            <w:tcBorders>
              <w:bottom w:val="single" w:sz="8" w:color="auto"/>
            </w:tcBorders>
          </w:tcPr>
          <w:p>
            <w:pPr>
              <w:spacing w:after="0"/>
              <w:rPr>
                <w:sz w:val="16"/>
                <w:szCs w:val="16"/>
                <w:color w:val="auto"/>
              </w:rPr>
            </w:pPr>
          </w:p>
        </w:tc>
      </w:tr>
      <w:tr>
        <w:trPr>
          <w:trHeight w:val="216"/>
        </w:trPr>
        <w:tc>
          <w:tcPr>
            <w:tcW w:w="10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94"/>
              </w:rPr>
              <w:t>Pro Forma</w:t>
            </w:r>
            <w:r>
              <w:rPr>
                <w:rFonts w:ascii="Arial" w:cs="Arial" w:eastAsia="Arial" w:hAnsi="Arial"/>
                <w:sz w:val="21"/>
                <w:szCs w:val="21"/>
                <w:b w:val="1"/>
                <w:bCs w:val="1"/>
                <w:color w:val="auto"/>
                <w:w w:val="94"/>
                <w:vertAlign w:val="superscript"/>
              </w:rPr>
              <w:t>(1)</w:t>
            </w:r>
          </w:p>
        </w:tc>
        <w:tc>
          <w:tcPr>
            <w:tcW w:w="40" w:type="dxa"/>
            <w:vAlign w:val="bottom"/>
          </w:tcPr>
          <w:p>
            <w:pPr>
              <w:spacing w:after="0"/>
              <w:rPr>
                <w:sz w:val="18"/>
                <w:szCs w:val="18"/>
                <w:color w:val="auto"/>
              </w:rPr>
            </w:pPr>
          </w:p>
        </w:tc>
        <w:tc>
          <w:tcPr>
            <w:tcW w:w="2060" w:type="dxa"/>
            <w:vAlign w:val="bottom"/>
            <w:tcBorders>
              <w:bottom w:val="single" w:sz="8" w:color="auto"/>
              <w:right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Predecessor</w:t>
            </w:r>
          </w:p>
        </w:tc>
      </w:tr>
      <w:tr>
        <w:trPr>
          <w:trHeight w:val="160"/>
        </w:trPr>
        <w:tc>
          <w:tcPr>
            <w:tcW w:w="1040" w:type="dxa"/>
            <w:vAlign w:val="bottom"/>
            <w:gridSpan w:val="2"/>
          </w:tcPr>
          <w:p>
            <w:pPr>
              <w:jc w:val="center"/>
              <w:ind w:right="80"/>
              <w:spacing w:after="0" w:line="160" w:lineRule="exact"/>
              <w:rPr>
                <w:sz w:val="20"/>
                <w:szCs w:val="20"/>
                <w:color w:val="auto"/>
              </w:rPr>
            </w:pPr>
            <w:r>
              <w:rPr>
                <w:rFonts w:ascii="Arial" w:cs="Arial" w:eastAsia="Arial" w:hAnsi="Arial"/>
                <w:sz w:val="14"/>
                <w:szCs w:val="14"/>
                <w:b w:val="1"/>
                <w:bCs w:val="1"/>
                <w:color w:val="auto"/>
                <w:w w:val="98"/>
              </w:rPr>
              <w:t>Year Ended</w:t>
            </w:r>
          </w:p>
        </w:tc>
        <w:tc>
          <w:tcPr>
            <w:tcW w:w="10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1"/>
              </w:rPr>
              <w:t>As of</w:t>
            </w:r>
          </w:p>
        </w:tc>
        <w:tc>
          <w:tcPr>
            <w:tcW w:w="40" w:type="dxa"/>
            <w:vAlign w:val="bottom"/>
          </w:tcPr>
          <w:p>
            <w:pPr>
              <w:spacing w:after="0"/>
              <w:rPr>
                <w:sz w:val="13"/>
                <w:szCs w:val="13"/>
                <w:color w:val="auto"/>
              </w:rPr>
            </w:pPr>
          </w:p>
        </w:tc>
        <w:tc>
          <w:tcPr>
            <w:tcW w:w="102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7"/>
              </w:rPr>
              <w:t>As of</w:t>
            </w:r>
          </w:p>
        </w:tc>
      </w:tr>
      <w:tr>
        <w:trPr>
          <w:trHeight w:val="162"/>
        </w:trPr>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December 31,</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December 31,</w:t>
            </w:r>
          </w:p>
        </w:tc>
        <w:tc>
          <w:tcPr>
            <w:tcW w:w="40" w:type="dxa"/>
            <w:vAlign w:val="bottom"/>
          </w:tcPr>
          <w:p>
            <w:pPr>
              <w:spacing w:after="0"/>
              <w:rPr>
                <w:sz w:val="14"/>
                <w:szCs w:val="14"/>
                <w:color w:val="auto"/>
              </w:rPr>
            </w:pPr>
          </w:p>
        </w:tc>
        <w:tc>
          <w:tcPr>
            <w:tcW w:w="102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December 31,</w:t>
            </w:r>
          </w:p>
        </w:tc>
        <w:tc>
          <w:tcPr>
            <w:tcW w:w="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December 31,</w:t>
            </w:r>
          </w:p>
        </w:tc>
      </w:tr>
      <w:tr>
        <w:trPr>
          <w:trHeight w:val="186"/>
        </w:trPr>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106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r>
      <w:tr>
        <w:trPr>
          <w:trHeight w:val="25"/>
        </w:trPr>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4"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auto"/>
        </w:rPr>
        <w:t>(in thousands)</w:t>
      </w:r>
    </w:p>
    <w:p>
      <w:pPr>
        <w:spacing w:after="0" w:line="306" w:lineRule="exact"/>
        <w:rPr>
          <w:sz w:val="20"/>
          <w:szCs w:val="20"/>
          <w:color w:val="auto"/>
        </w:rPr>
      </w:pPr>
    </w:p>
    <w:p>
      <w:pPr>
        <w:ind w:left="320" w:hanging="23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457,658   $  460,711   $  410,104   $  352,598</w:t>
      </w:r>
    </w:p>
    <w:p>
      <w:pPr>
        <w:spacing w:after="0" w:line="49"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5,225,034    5,095,334    4,997,139    1,316,887</w:t>
      </w:r>
    </w:p>
    <w:p>
      <w:pPr>
        <w:spacing w:after="0" w:line="36"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573,099502,589410,626</w:t>
      </w:r>
      <w:r>
        <w:rPr>
          <w:rFonts w:ascii="Arial" w:cs="Arial" w:eastAsia="Arial" w:hAnsi="Arial"/>
          <w:sz w:val="16"/>
          <w:szCs w:val="16"/>
          <w:color w:val="auto"/>
        </w:rPr>
        <w:t>317,118</w:t>
      </w:r>
    </w:p>
    <w:p>
      <w:pPr>
        <w:spacing w:after="0" w:line="36"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995,614    1,214,157——</w:t>
      </w:r>
    </w:p>
    <w:p>
      <w:pPr>
        <w:spacing w:after="0" w:line="49"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4,651,935    4,592,745    4,572,334</w:t>
      </w:r>
      <w:r>
        <w:rPr>
          <w:rFonts w:ascii="Arial" w:cs="Arial" w:eastAsia="Arial" w:hAnsi="Arial"/>
          <w:sz w:val="16"/>
          <w:szCs w:val="16"/>
          <w:color w:val="auto"/>
        </w:rPr>
        <w:t>986,468</w:t>
      </w:r>
    </w:p>
    <w:p>
      <w:pPr>
        <w:spacing w:after="0" w:line="265" w:lineRule="exact"/>
        <w:rPr>
          <w:sz w:val="20"/>
          <w:szCs w:val="20"/>
          <w:color w:val="auto"/>
        </w:rPr>
      </w:pPr>
    </w:p>
    <w:p>
      <w:pPr>
        <w:sectPr>
          <w:pgSz w:w="11900" w:h="16838" w:orient="portrait"/>
          <w:cols w:equalWidth="0" w:num="2">
            <w:col w:w="4640" w:space="720"/>
            <w:col w:w="4779"/>
          </w:cols>
          <w:pgMar w:left="320" w:top="132" w:right="1440" w:bottom="144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4820" w:type="dxa"/>
        <w:tblCellMar>
          <w:top w:w="0" w:type="dxa"/>
          <w:left w:w="0" w:type="dxa"/>
          <w:bottom w:w="0" w:type="dxa"/>
          <w:right w:w="0" w:type="dxa"/>
        </w:tblCellMar>
      </w:tblPr>
      <w:tr>
        <w:trPr>
          <w:trHeight w:val="36"/>
        </w:trPr>
        <w:tc>
          <w:tcPr>
            <w:tcW w:w="228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230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50"/>
        </w:trPr>
        <w:tc>
          <w:tcPr>
            <w:tcW w:w="2280" w:type="dxa"/>
            <w:vAlign w:val="bottom"/>
            <w:gridSpan w:val="3"/>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2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0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October 1,</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ind w:right="88"/>
              <w:spacing w:after="0"/>
              <w:rPr>
                <w:sz w:val="20"/>
                <w:szCs w:val="20"/>
                <w:color w:val="auto"/>
              </w:rPr>
            </w:pPr>
            <w:r>
              <w:rPr>
                <w:rFonts w:ascii="Arial" w:cs="Arial" w:eastAsia="Arial" w:hAnsi="Arial"/>
                <w:sz w:val="14"/>
                <w:szCs w:val="14"/>
                <w:b w:val="1"/>
                <w:bCs w:val="1"/>
                <w:color w:val="auto"/>
              </w:rPr>
              <w:t>January 1,</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80" w:type="dxa"/>
            <w:vAlign w:val="bottom"/>
          </w:tcPr>
          <w:p>
            <w:pPr>
              <w:jc w:val="center"/>
              <w:ind w:right="48"/>
              <w:spacing w:after="0"/>
              <w:rPr>
                <w:sz w:val="20"/>
                <w:szCs w:val="20"/>
                <w:color w:val="auto"/>
              </w:rPr>
            </w:pPr>
            <w:r>
              <w:rPr>
                <w:rFonts w:ascii="Arial" w:cs="Arial" w:eastAsia="Arial" w:hAnsi="Arial"/>
                <w:sz w:val="14"/>
                <w:szCs w:val="14"/>
                <w:b w:val="1"/>
                <w:bCs w:val="1"/>
                <w:color w:val="auto"/>
                <w:w w:val="98"/>
              </w:rPr>
              <w:t>Year Ended</w:t>
            </w:r>
          </w:p>
        </w:tc>
        <w:tc>
          <w:tcPr>
            <w:tcW w:w="1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2018 to</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2018 to</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62"/>
        </w:trPr>
        <w:tc>
          <w:tcPr>
            <w:tcW w:w="108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December 31,</w:t>
            </w:r>
          </w:p>
        </w:tc>
        <w:tc>
          <w:tcPr>
            <w:tcW w:w="1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December 31,</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September 30,</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6"/>
        </w:trPr>
        <w:tc>
          <w:tcPr>
            <w:tcW w:w="108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2019</w:t>
            </w:r>
          </w:p>
        </w:tc>
        <w:tc>
          <w:tcPr>
            <w:tcW w:w="1100" w:type="dxa"/>
            <w:vAlign w:val="bottom"/>
          </w:tcPr>
          <w:p>
            <w:pPr>
              <w:jc w:val="center"/>
              <w:ind w:left="4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2018</w:t>
            </w:r>
          </w:p>
        </w:tc>
        <w:tc>
          <w:tcPr>
            <w:tcW w:w="1200" w:type="dxa"/>
            <w:vAlign w:val="bottom"/>
          </w:tcPr>
          <w:p>
            <w:pPr>
              <w:jc w:val="center"/>
              <w:ind w:left="28"/>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6"/>
        </w:trPr>
        <w:tc>
          <w:tcPr>
            <w:tcW w:w="10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6460"/>
        <w:spacing w:after="0"/>
        <w:rPr>
          <w:sz w:val="20"/>
          <w:szCs w:val="20"/>
          <w:color w:val="auto"/>
        </w:rPr>
      </w:pPr>
      <w:r>
        <w:rPr>
          <w:rFonts w:ascii="Arial" w:cs="Arial" w:eastAsia="Arial" w:hAnsi="Arial"/>
          <w:sz w:val="14"/>
          <w:szCs w:val="14"/>
          <w:b w:val="1"/>
          <w:bCs w:val="1"/>
          <w:color w:val="auto"/>
        </w:rPr>
        <w:t>(dollars in thousands)</w:t>
      </w:r>
    </w:p>
    <w:p>
      <w:pPr>
        <w:sectPr>
          <w:pgSz w:w="11900" w:h="16838" w:orient="portrait"/>
          <w:cols w:equalWidth="0" w:num="1">
            <w:col w:w="10139"/>
          </w:cols>
          <w:pgMar w:left="320" w:top="132" w:right="1440" w:bottom="1440" w:gutter="0" w:footer="0" w:header="0"/>
          <w:type w:val="continuous"/>
        </w:sectPr>
      </w:pPr>
    </w:p>
    <w:p>
      <w:pPr>
        <w:spacing w:after="0" w:line="59"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1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6"/>
        </w:trPr>
        <w:tc>
          <w:tcPr>
            <w:tcW w:w="3180" w:type="dxa"/>
            <w:vAlign w:val="bottom"/>
          </w:tcPr>
          <w:p>
            <w:pPr>
              <w:spacing w:after="0"/>
              <w:rPr>
                <w:sz w:val="20"/>
                <w:szCs w:val="20"/>
                <w:color w:val="auto"/>
              </w:rPr>
            </w:pPr>
            <w:r>
              <w:rPr>
                <w:rFonts w:ascii="Arial" w:cs="Arial" w:eastAsia="Arial" w:hAnsi="Arial"/>
                <w:sz w:val="18"/>
                <w:szCs w:val="18"/>
                <w:color w:val="auto"/>
              </w:rPr>
              <w:t>Cash flow from operating activities</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$311,003</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$112,556</w:t>
            </w:r>
          </w:p>
        </w:tc>
      </w:tr>
      <w:tr>
        <w:trPr>
          <w:trHeight w:val="270"/>
        </w:trPr>
        <w:tc>
          <w:tcPr>
            <w:tcW w:w="3180" w:type="dxa"/>
            <w:vAlign w:val="bottom"/>
          </w:tcPr>
          <w:p>
            <w:pPr>
              <w:spacing w:after="0" w:line="270" w:lineRule="exact"/>
              <w:rPr>
                <w:sz w:val="20"/>
                <w:szCs w:val="20"/>
                <w:color w:val="auto"/>
              </w:rPr>
            </w:pPr>
            <w:r>
              <w:rPr>
                <w:rFonts w:ascii="Arial" w:cs="Arial" w:eastAsia="Arial" w:hAnsi="Arial"/>
                <w:sz w:val="18"/>
                <w:szCs w:val="18"/>
                <w:color w:val="auto"/>
              </w:rPr>
              <w:t>Free Cash Flow</w:t>
            </w:r>
            <w:r>
              <w:rPr>
                <w:rFonts w:ascii="Arial" w:cs="Arial" w:eastAsia="Arial" w:hAnsi="Arial"/>
                <w:sz w:val="26"/>
                <w:szCs w:val="26"/>
                <w:color w:val="auto"/>
                <w:vertAlign w:val="superscript"/>
              </w:rPr>
              <w:t>(5)</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$266,541</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$ 96,310</w:t>
            </w:r>
          </w:p>
        </w:tc>
      </w:tr>
      <w:tr>
        <w:trPr>
          <w:trHeight w:val="270"/>
        </w:trPr>
        <w:tc>
          <w:tcPr>
            <w:tcW w:w="3180" w:type="dxa"/>
            <w:vAlign w:val="bottom"/>
          </w:tcPr>
          <w:p>
            <w:pPr>
              <w:spacing w:after="0" w:line="270" w:lineRule="exact"/>
              <w:rPr>
                <w:sz w:val="20"/>
                <w:szCs w:val="20"/>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(6)</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$353,162</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$ 65,308</w:t>
            </w:r>
          </w:p>
        </w:tc>
      </w:tr>
      <w:tr>
        <w:trPr>
          <w:trHeight w:val="270"/>
        </w:trPr>
        <w:tc>
          <w:tcPr>
            <w:tcW w:w="3180" w:type="dxa"/>
            <w:vAlign w:val="bottom"/>
          </w:tcPr>
          <w:p>
            <w:pPr>
              <w:spacing w:after="0" w:line="270"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6"/>
                <w:szCs w:val="26"/>
                <w:color w:val="auto"/>
                <w:vertAlign w:val="superscript"/>
              </w:rPr>
              <w:t>(6)</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45.5%</w:t>
            </w:r>
          </w:p>
        </w:tc>
        <w:tc>
          <w:tcPr>
            <w:tcW w:w="100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353"/>
        </w:trPr>
        <w:tc>
          <w:tcPr>
            <w:tcW w:w="3180" w:type="dxa"/>
            <w:vAlign w:val="bottom"/>
          </w:tcPr>
          <w:p>
            <w:pPr>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26"/>
                <w:szCs w:val="26"/>
                <w:color w:val="auto"/>
                <w:vertAlign w:val="superscript"/>
              </w:rPr>
              <w:t>(6)</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$230,935</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$ 40,839</w:t>
            </w:r>
          </w:p>
        </w:tc>
      </w:tr>
    </w:tbl>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$164,828</w:t>
      </w:r>
      <w:r>
        <w:rPr>
          <w:sz w:val="20"/>
          <w:szCs w:val="20"/>
          <w:color w:val="auto"/>
        </w:rPr>
        <w:tab/>
      </w:r>
      <w:r>
        <w:rPr>
          <w:rFonts w:ascii="Arial" w:cs="Arial" w:eastAsia="Arial" w:hAnsi="Arial"/>
          <w:sz w:val="16"/>
          <w:szCs w:val="16"/>
          <w:color w:val="auto"/>
        </w:rPr>
        <w:t>$224,580</w:t>
      </w:r>
    </w:p>
    <w:p>
      <w:pPr>
        <w:spacing w:after="0" w:line="6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$138,978</w:t>
      </w:r>
      <w:r>
        <w:rPr>
          <w:sz w:val="20"/>
          <w:szCs w:val="20"/>
          <w:color w:val="auto"/>
        </w:rPr>
        <w:tab/>
      </w:r>
      <w:r>
        <w:rPr>
          <w:rFonts w:ascii="Arial" w:cs="Arial" w:eastAsia="Arial" w:hAnsi="Arial"/>
          <w:sz w:val="16"/>
          <w:szCs w:val="16"/>
          <w:color w:val="auto"/>
        </w:rPr>
        <w:t>$183,962</w:t>
      </w:r>
    </w:p>
    <w:p>
      <w:pPr>
        <w:spacing w:after="0" w:line="6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$214,091</w:t>
      </w:r>
      <w:r>
        <w:rPr>
          <w:sz w:val="20"/>
          <w:szCs w:val="20"/>
          <w:color w:val="auto"/>
        </w:rPr>
        <w:tab/>
      </w:r>
      <w:r>
        <w:rPr>
          <w:rFonts w:ascii="Arial" w:cs="Arial" w:eastAsia="Arial" w:hAnsi="Arial"/>
          <w:sz w:val="16"/>
          <w:szCs w:val="16"/>
          <w:color w:val="auto"/>
        </w:rPr>
        <w:t>$215,185</w:t>
      </w:r>
    </w:p>
    <w:p>
      <w:pPr>
        <w:spacing w:after="0" w:line="63" w:lineRule="exact"/>
        <w:rPr>
          <w:sz w:val="20"/>
          <w:szCs w:val="20"/>
          <w:color w:val="auto"/>
        </w:rPr>
      </w:pPr>
    </w:p>
    <w:p>
      <w:pPr>
        <w:jc w:val="right"/>
        <w:ind w:right="699"/>
        <w:spacing w:after="0"/>
        <w:tabs>
          <w:tab w:leader="none" w:pos="44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38.2%</w:t>
      </w:r>
    </w:p>
    <w:p>
      <w:pPr>
        <w:spacing w:after="0" w:line="6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$137,327</w:t>
      </w:r>
      <w:r>
        <w:rPr>
          <w:sz w:val="20"/>
          <w:szCs w:val="20"/>
          <w:color w:val="auto"/>
        </w:rPr>
        <w:tab/>
      </w:r>
      <w:r>
        <w:rPr>
          <w:rFonts w:ascii="Arial" w:cs="Arial" w:eastAsia="Arial" w:hAnsi="Arial"/>
          <w:sz w:val="16"/>
          <w:szCs w:val="16"/>
          <w:color w:val="auto"/>
        </w:rPr>
        <w:t>$131,369</w:t>
      </w:r>
    </w:p>
    <w:p>
      <w:pPr>
        <w:spacing w:after="0" w:line="216" w:lineRule="exact"/>
        <w:rPr>
          <w:sz w:val="20"/>
          <w:szCs w:val="20"/>
          <w:color w:val="auto"/>
        </w:rPr>
      </w:pPr>
    </w:p>
    <w:p>
      <w:pPr>
        <w:sectPr>
          <w:pgSz w:w="11900" w:h="16838" w:orient="portrait"/>
          <w:cols w:equalWidth="0" w:num="2">
            <w:col w:w="7000" w:space="360"/>
            <w:col w:w="2779"/>
          </w:cols>
          <w:pgMar w:left="320" w:top="132" w:right="1440" w:bottom="1440" w:gutter="0" w:footer="0" w:header="0"/>
          <w:type w:val="continuous"/>
        </w:sectPr>
      </w:pPr>
    </w:p>
    <w:tbl>
      <w:tblPr>
        <w:tblLayout w:type="fixed"/>
        <w:tblInd w:w="12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Year Ended</w:t>
            </w:r>
          </w:p>
        </w:tc>
        <w:tc>
          <w:tcPr>
            <w:tcW w:w="12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Year Ended</w:t>
            </w: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Year Ended</w:t>
            </w: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December 31,</w:t>
            </w:r>
          </w:p>
        </w:tc>
        <w:tc>
          <w:tcPr>
            <w:tcW w:w="12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December 31,</w:t>
            </w: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December 31,</w:t>
            </w:r>
          </w:p>
        </w:tc>
      </w:tr>
      <w:tr>
        <w:trPr>
          <w:trHeight w:val="186"/>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840" w:type="dxa"/>
            <w:vAlign w:val="bottom"/>
            <w:gridSpan w:val="2"/>
          </w:tcPr>
          <w:p>
            <w:pPr>
              <w:jc w:val="center"/>
              <w:ind w:left="58"/>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6"/>
                <w:szCs w:val="16"/>
                <w:color w:val="auto"/>
              </w:rPr>
            </w:pPr>
          </w:p>
        </w:tc>
        <w:tc>
          <w:tcPr>
            <w:tcW w:w="980" w:type="dxa"/>
            <w:vAlign w:val="bottom"/>
            <w:gridSpan w:val="2"/>
          </w:tcPr>
          <w:p>
            <w:pPr>
              <w:jc w:val="center"/>
              <w:ind w:left="198"/>
              <w:spacing w:after="0"/>
              <w:rPr>
                <w:sz w:val="20"/>
                <w:szCs w:val="20"/>
                <w:color w:val="auto"/>
              </w:rPr>
            </w:pPr>
            <w:r>
              <w:rPr>
                <w:rFonts w:ascii="Arial" w:cs="Arial" w:eastAsia="Arial" w:hAnsi="Arial"/>
                <w:sz w:val="14"/>
                <w:szCs w:val="14"/>
                <w:b w:val="1"/>
                <w:bCs w:val="1"/>
                <w:color w:val="auto"/>
                <w:w w:val="96"/>
              </w:rPr>
              <w:t>2018</w:t>
            </w:r>
          </w:p>
        </w:tc>
        <w:tc>
          <w:tcPr>
            <w:tcW w:w="280" w:type="dxa"/>
            <w:vAlign w:val="bottom"/>
          </w:tcPr>
          <w:p>
            <w:pPr>
              <w:spacing w:after="0"/>
              <w:rPr>
                <w:sz w:val="16"/>
                <w:szCs w:val="16"/>
                <w:color w:val="auto"/>
              </w:rPr>
            </w:pPr>
          </w:p>
        </w:tc>
        <w:tc>
          <w:tcPr>
            <w:tcW w:w="980" w:type="dxa"/>
            <w:vAlign w:val="bottom"/>
            <w:gridSpan w:val="2"/>
          </w:tcPr>
          <w:p>
            <w:pPr>
              <w:jc w:val="center"/>
              <w:ind w:left="198"/>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6"/>
                <w:szCs w:val="16"/>
                <w:color w:val="auto"/>
              </w:rPr>
            </w:pPr>
          </w:p>
        </w:tc>
      </w:tr>
      <w:tr>
        <w:trPr>
          <w:trHeight w:val="26"/>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63"/>
        </w:trPr>
        <w:tc>
          <w:tcPr>
            <w:tcW w:w="20" w:type="dxa"/>
            <w:vAlign w:val="bottom"/>
          </w:tcPr>
          <w:p>
            <w:pPr>
              <w:spacing w:after="0"/>
              <w:rPr>
                <w:sz w:val="22"/>
                <w:szCs w:val="22"/>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Data</w:t>
            </w: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r>
        <w:trPr>
          <w:trHeight w:val="257"/>
        </w:trPr>
        <w:tc>
          <w:tcPr>
            <w:tcW w:w="4720" w:type="dxa"/>
            <w:vAlign w:val="bottom"/>
            <w:gridSpan w:val="3"/>
          </w:tcPr>
          <w:p>
            <w:pPr>
              <w:spacing w:after="0"/>
              <w:rPr>
                <w:sz w:val="20"/>
                <w:szCs w:val="20"/>
                <w:color w:val="auto"/>
              </w:rPr>
            </w:pPr>
            <w:r>
              <w:rPr>
                <w:rFonts w:ascii="Arial" w:cs="Arial" w:eastAsia="Arial" w:hAnsi="Arial"/>
                <w:sz w:val="18"/>
                <w:szCs w:val="18"/>
                <w:color w:val="auto"/>
              </w:rPr>
              <w:t>Average Daily Volumes:</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Rates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$489,547</w:t>
            </w:r>
          </w:p>
        </w:tc>
        <w:tc>
          <w:tcPr>
            <w:tcW w:w="2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$353,990</w:t>
            </w:r>
          </w:p>
        </w:tc>
        <w:tc>
          <w:tcPr>
            <w:tcW w:w="2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$253,307</w:t>
            </w:r>
          </w:p>
        </w:tc>
        <w:tc>
          <w:tcPr>
            <w:tcW w:w="20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Credit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14,795</w:t>
            </w:r>
          </w:p>
        </w:tc>
        <w:tc>
          <w:tcPr>
            <w:tcW w:w="22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12,664</w:t>
            </w:r>
          </w:p>
        </w:tc>
        <w:tc>
          <w:tcPr>
            <w:tcW w:w="28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7,552</w:t>
            </w:r>
          </w:p>
        </w:tc>
        <w:tc>
          <w:tcPr>
            <w:tcW w:w="20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Equities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7,809</w:t>
            </w:r>
          </w:p>
        </w:tc>
        <w:tc>
          <w:tcPr>
            <w:tcW w:w="2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7,796</w:t>
            </w:r>
          </w:p>
        </w:tc>
        <w:tc>
          <w:tcPr>
            <w:tcW w:w="2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4,814</w:t>
            </w:r>
          </w:p>
        </w:tc>
        <w:tc>
          <w:tcPr>
            <w:tcW w:w="200" w:type="dxa"/>
            <w:vAlign w:val="bottom"/>
            <w:shd w:val="clear" w:color="auto" w:fill="CCEEFF"/>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47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Money markets</w:t>
            </w:r>
          </w:p>
        </w:tc>
        <w:tc>
          <w:tcPr>
            <w:tcW w:w="16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214,351</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174,085</w:t>
            </w:r>
          </w:p>
        </w:tc>
        <w:tc>
          <w:tcPr>
            <w:tcW w:w="28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132,134</w:t>
            </w:r>
          </w:p>
        </w:tc>
        <w:tc>
          <w:tcPr>
            <w:tcW w:w="200" w:type="dxa"/>
            <w:vAlign w:val="bottom"/>
            <w:tcBorders>
              <w:bottom w:val="single" w:sz="8" w:color="CCEEFF"/>
            </w:tcBorders>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$726,501</w:t>
            </w:r>
          </w:p>
        </w:tc>
        <w:tc>
          <w:tcPr>
            <w:tcW w:w="2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$548,535</w:t>
            </w:r>
          </w:p>
        </w:tc>
        <w:tc>
          <w:tcPr>
            <w:tcW w:w="2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$397,807</w:t>
            </w:r>
          </w:p>
        </w:tc>
        <w:tc>
          <w:tcPr>
            <w:tcW w:w="20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2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r>
    </w:tbl>
    <w:p>
      <w:pPr>
        <w:spacing w:after="0" w:line="148" w:lineRule="exact"/>
        <w:rPr>
          <w:sz w:val="20"/>
          <w:szCs w:val="20"/>
          <w:color w:val="auto"/>
        </w:rPr>
      </w:pPr>
    </w:p>
    <w:p>
      <w:pPr>
        <w:ind w:left="1640" w:right="919" w:hanging="354"/>
        <w:spacing w:after="0" w:line="259" w:lineRule="auto"/>
        <w:tabs>
          <w:tab w:leader="none" w:pos="1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 forma figures give effect to the Transactions, including this offering. See “Unaudited Pro Forma Consolidated Financial Information” for a detailed presentation of the unaudited pro forma information, including a description of the transactions and assumptions underlying the pro forma adjustments.</w:t>
      </w:r>
    </w:p>
    <w:p>
      <w:pPr>
        <w:spacing w:after="0" w:line="105" w:lineRule="exact"/>
        <w:rPr>
          <w:rFonts w:ascii="Arial" w:cs="Arial" w:eastAsia="Arial" w:hAnsi="Arial"/>
          <w:sz w:val="18"/>
          <w:szCs w:val="18"/>
          <w:color w:val="auto"/>
        </w:rPr>
      </w:pPr>
    </w:p>
    <w:p>
      <w:pPr>
        <w:ind w:left="1640" w:right="679" w:hanging="354"/>
        <w:spacing w:after="0" w:line="259" w:lineRule="auto"/>
        <w:tabs>
          <w:tab w:leader="none" w:pos="1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Subscription fees for the pro forma year ended December 31, 2019, the year ended December 31, 2019, the 2018 Successor Period, the 2018 Predecessor Period and the year ended December 31, 2017 include $55.6 million, $55.6 million, $13.5 million, $36.9 million and $50.1 million, respectively, of Refinitiv (formerly Thomson Reuters) market data fees.</w:t>
      </w:r>
    </w:p>
    <w:p>
      <w:pPr>
        <w:spacing w:after="0" w:line="119" w:lineRule="exact"/>
        <w:rPr>
          <w:rFonts w:ascii="Arial" w:cs="Arial" w:eastAsia="Arial" w:hAnsi="Arial"/>
          <w:sz w:val="18"/>
          <w:szCs w:val="18"/>
          <w:color w:val="auto"/>
        </w:rPr>
      </w:pPr>
    </w:p>
    <w:p>
      <w:pPr>
        <w:ind w:left="1640" w:right="819" w:hanging="354"/>
        <w:spacing w:after="0" w:line="257" w:lineRule="auto"/>
        <w:tabs>
          <w:tab w:leader="none" w:pos="1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2014, we issued equity to certain of the Bank Stockholders and management as a result of a capital contribution to facilitate our expansion into new credit products. The equity vested on July 31, 2018 upon the achievement of specific revenue earnout milestones related to the new credit products. Prior to the July 31, 2018 vesting, we recognized contingent consideration as a contra-revenue adjustment, which partially offset gross revenue for the periods presented.</w:t>
      </w:r>
    </w:p>
    <w:p>
      <w:pPr>
        <w:spacing w:after="0" w:line="106" w:lineRule="exact"/>
        <w:rPr>
          <w:rFonts w:ascii="Arial" w:cs="Arial" w:eastAsia="Arial" w:hAnsi="Arial"/>
          <w:sz w:val="18"/>
          <w:szCs w:val="18"/>
          <w:color w:val="auto"/>
        </w:rPr>
      </w:pPr>
    </w:p>
    <w:p>
      <w:pPr>
        <w:ind w:left="1640" w:right="779" w:hanging="354"/>
        <w:spacing w:after="0" w:line="263" w:lineRule="auto"/>
        <w:tabs>
          <w:tab w:leader="none" w:pos="1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Historical and pro forma cash and cash equivalents, total assets and total equity do not reflect the cash dividend of $0.08 per share paid to holders of Class A common stock and Class B common stock on March 16, 2020. See “Dividend Policy.”</w:t>
      </w:r>
    </w:p>
    <w:p>
      <w:pPr>
        <w:spacing w:after="0" w:line="102" w:lineRule="exact"/>
        <w:rPr>
          <w:rFonts w:ascii="Arial" w:cs="Arial" w:eastAsia="Arial" w:hAnsi="Arial"/>
          <w:sz w:val="18"/>
          <w:szCs w:val="18"/>
          <w:color w:val="auto"/>
        </w:rPr>
      </w:pPr>
    </w:p>
    <w:p>
      <w:pPr>
        <w:ind w:left="1640" w:right="839" w:hanging="354"/>
        <w:spacing w:after="0" w:line="259" w:lineRule="auto"/>
        <w:tabs>
          <w:tab w:leader="none" w:pos="1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pacing w:after="0" w:line="78" w:lineRule="exact"/>
        <w:rPr>
          <w:rFonts w:ascii="Arial" w:cs="Arial" w:eastAsia="Arial" w:hAnsi="Arial"/>
          <w:sz w:val="18"/>
          <w:szCs w:val="18"/>
          <w:color w:val="auto"/>
        </w:rPr>
      </w:pPr>
    </w:p>
    <w:p>
      <w:pPr>
        <w:ind w:left="1640" w:right="719"/>
        <w:spacing w:after="0" w:line="259" w:lineRule="auto"/>
        <w:rPr>
          <w:rFonts w:ascii="Arial" w:cs="Arial" w:eastAsia="Arial" w:hAnsi="Arial"/>
          <w:sz w:val="18"/>
          <w:szCs w:val="18"/>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40" w:right="699"/>
        <w:spacing w:after="0" w:line="272" w:lineRule="auto"/>
        <w:rPr>
          <w:sz w:val="20"/>
          <w:szCs w:val="20"/>
          <w:color w:val="auto"/>
        </w:rPr>
      </w:pPr>
      <w:r>
        <w:rPr>
          <w:rFonts w:ascii="Arial" w:cs="Arial" w:eastAsia="Arial" w:hAnsi="Arial"/>
          <w:sz w:val="17"/>
          <w:szCs w:val="17"/>
          <w:color w:val="auto"/>
        </w:rPr>
        <w:t>Free Cash Flow has limitations as an analytical tool, and you should not consider Free Cash Flow in isolation or as an alternative to cash flow from operating activities or any other liquidity measure determined in accordance with GAAP. For a discussion of these limitations, see “Use of Non-GAAP Financial Measures.”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69" w:lineRule="exact"/>
        <w:rPr>
          <w:sz w:val="20"/>
          <w:szCs w:val="20"/>
          <w:color w:val="auto"/>
        </w:rPr>
      </w:pPr>
    </w:p>
    <w:p>
      <w:pPr>
        <w:jc w:val="both"/>
        <w:ind w:left="1640" w:right="959"/>
        <w:spacing w:after="0" w:line="263" w:lineRule="auto"/>
        <w:rPr>
          <w:sz w:val="20"/>
          <w:szCs w:val="20"/>
          <w:color w:val="auto"/>
        </w:rPr>
      </w:pPr>
      <w:r>
        <w:rPr>
          <w:rFonts w:ascii="Arial" w:cs="Arial" w:eastAsia="Arial" w:hAnsi="Arial"/>
          <w:sz w:val="18"/>
          <w:szCs w:val="18"/>
          <w:color w:val="auto"/>
        </w:rPr>
        <w:t>The table set forth below presents a reconciliation of our cash flow from operating activities to Free Cash Flow for the year ended December 31, 2019, the 2018 Successor Period, the 2018 Predecessor Period and the year ended December 31, 2017:</w:t>
      </w:r>
    </w:p>
    <w:p>
      <w:pPr>
        <w:spacing w:after="0" w:line="94" w:lineRule="exact"/>
        <w:rPr>
          <w:sz w:val="20"/>
          <w:szCs w:val="20"/>
          <w:color w:val="auto"/>
        </w:rPr>
      </w:pPr>
    </w:p>
    <w:tbl>
      <w:tblPr>
        <w:tblLayout w:type="fixed"/>
        <w:tblInd w:w="4440" w:type="dxa"/>
        <w:tblCellMar>
          <w:top w:w="0" w:type="dxa"/>
          <w:left w:w="0" w:type="dxa"/>
          <w:bottom w:w="0" w:type="dxa"/>
          <w:right w:w="0" w:type="dxa"/>
        </w:tblCellMar>
      </w:tblPr>
      <w:tr>
        <w:trPr>
          <w:trHeight w:val="36"/>
        </w:trPr>
        <w:tc>
          <w:tcPr>
            <w:tcW w:w="228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230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50"/>
        </w:trPr>
        <w:tc>
          <w:tcPr>
            <w:tcW w:w="2280" w:type="dxa"/>
            <w:vAlign w:val="bottom"/>
            <w:gridSpan w:val="3"/>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2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0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October 1,</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January 1,</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8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Year Ended</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2018 to</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2018 to</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62"/>
        </w:trPr>
        <w:tc>
          <w:tcPr>
            <w:tcW w:w="108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December 31,</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December 31,</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right="88"/>
              <w:spacing w:after="0"/>
              <w:rPr>
                <w:sz w:val="20"/>
                <w:szCs w:val="20"/>
                <w:color w:val="auto"/>
              </w:rPr>
            </w:pPr>
            <w:r>
              <w:rPr>
                <w:rFonts w:ascii="Arial" w:cs="Arial" w:eastAsia="Arial" w:hAnsi="Arial"/>
                <w:sz w:val="14"/>
                <w:szCs w:val="14"/>
                <w:b w:val="1"/>
                <w:bCs w:val="1"/>
                <w:color w:val="auto"/>
                <w:w w:val="96"/>
              </w:rPr>
              <w:t>September 30,</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6"/>
        </w:trPr>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1100" w:type="dxa"/>
            <w:vAlign w:val="bottom"/>
          </w:tcPr>
          <w:p>
            <w:pPr>
              <w:jc w:val="center"/>
              <w:ind w:left="6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2018</w:t>
            </w:r>
          </w:p>
        </w:tc>
        <w:tc>
          <w:tcPr>
            <w:tcW w:w="1180" w:type="dxa"/>
            <w:vAlign w:val="bottom"/>
          </w:tcPr>
          <w:p>
            <w:pPr>
              <w:jc w:val="center"/>
              <w:ind w:left="8"/>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6"/>
        </w:trPr>
        <w:tc>
          <w:tcPr>
            <w:tcW w:w="10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6340"/>
        <w:spacing w:after="0"/>
        <w:rPr>
          <w:sz w:val="20"/>
          <w:szCs w:val="20"/>
          <w:color w:val="auto"/>
        </w:rPr>
      </w:pPr>
      <w:r>
        <w:rPr>
          <w:rFonts w:ascii="Arial" w:cs="Arial" w:eastAsia="Arial" w:hAnsi="Arial"/>
          <w:sz w:val="14"/>
          <w:szCs w:val="14"/>
          <w:b w:val="1"/>
          <w:bCs w:val="1"/>
          <w:color w:val="auto"/>
        </w:rPr>
        <w:t>(in thousands)</w:t>
      </w:r>
    </w:p>
    <w:p>
      <w:pPr>
        <w:sectPr>
          <w:pgSz w:w="11900" w:h="16838" w:orient="portrait"/>
          <w:cols w:equalWidth="0" w:num="1">
            <w:col w:w="10139"/>
          </w:cols>
          <w:pgMar w:left="320" w:top="132" w:right="1440" w:bottom="1440" w:gutter="0" w:footer="0" w:header="0"/>
          <w:type w:val="continuous"/>
        </w:sectPr>
      </w:pPr>
    </w:p>
    <w:p>
      <w:pPr>
        <w:spacing w:after="0" w:line="45" w:lineRule="exact"/>
        <w:rPr>
          <w:sz w:val="20"/>
          <w:szCs w:val="20"/>
          <w:color w:val="auto"/>
        </w:rPr>
      </w:pPr>
    </w:p>
    <w:tbl>
      <w:tblPr>
        <w:tblLayout w:type="fixed"/>
        <w:tblInd w:w="1640" w:type="dxa"/>
        <w:tblCellMar>
          <w:top w:w="0" w:type="dxa"/>
          <w:left w:w="0" w:type="dxa"/>
          <w:bottom w:w="0" w:type="dxa"/>
          <w:right w:w="0" w:type="dxa"/>
        </w:tblCellMar>
      </w:tblPr>
      <w:tr>
        <w:trPr>
          <w:trHeight w:val="221"/>
        </w:trPr>
        <w:tc>
          <w:tcPr>
            <w:tcW w:w="2960" w:type="dxa"/>
            <w:vAlign w:val="bottom"/>
            <w:gridSpan w:val="2"/>
          </w:tcPr>
          <w:p>
            <w:pPr>
              <w:spacing w:after="0"/>
              <w:rPr>
                <w:sz w:val="20"/>
                <w:szCs w:val="20"/>
                <w:color w:val="auto"/>
              </w:rPr>
            </w:pPr>
            <w:r>
              <w:rPr>
                <w:rFonts w:ascii="Arial" w:cs="Arial" w:eastAsia="Arial" w:hAnsi="Arial"/>
                <w:sz w:val="18"/>
                <w:szCs w:val="18"/>
                <w:color w:val="auto"/>
              </w:rPr>
              <w:t>Cash flow from operating</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r>
      <w:tr>
        <w:trPr>
          <w:trHeight w:val="230"/>
        </w:trPr>
        <w:tc>
          <w:tcPr>
            <w:tcW w:w="2960" w:type="dxa"/>
            <w:vAlign w:val="bottom"/>
            <w:gridSpan w:val="2"/>
          </w:tcPr>
          <w:p>
            <w:pPr>
              <w:ind w:left="180"/>
              <w:spacing w:after="0"/>
              <w:rPr>
                <w:sz w:val="20"/>
                <w:szCs w:val="20"/>
                <w:color w:val="auto"/>
              </w:rPr>
            </w:pPr>
            <w:r>
              <w:rPr>
                <w:rFonts w:ascii="Arial" w:cs="Arial" w:eastAsia="Arial" w:hAnsi="Arial"/>
                <w:sz w:val="18"/>
                <w:szCs w:val="18"/>
                <w:color w:val="auto"/>
              </w:rPr>
              <w:t>activities</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$311,003</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$112,556</w:t>
            </w:r>
          </w:p>
        </w:tc>
        <w:tc>
          <w:tcPr>
            <w:tcW w:w="260" w:type="dxa"/>
            <w:vAlign w:val="bottom"/>
            <w:tcBorders>
              <w:right w:val="single" w:sz="8" w:color="auto"/>
            </w:tcBorders>
          </w:tcPr>
          <w:p>
            <w:pPr>
              <w:spacing w:after="0"/>
              <w:rPr>
                <w:sz w:val="20"/>
                <w:szCs w:val="20"/>
                <w:color w:val="auto"/>
              </w:rPr>
            </w:pPr>
          </w:p>
        </w:tc>
      </w:tr>
      <w:tr>
        <w:trPr>
          <w:trHeight w:val="242"/>
        </w:trPr>
        <w:tc>
          <w:tcPr>
            <w:tcW w:w="2960" w:type="dxa"/>
            <w:vAlign w:val="bottom"/>
            <w:gridSpan w:val="2"/>
          </w:tcPr>
          <w:p>
            <w:pPr>
              <w:spacing w:after="0"/>
              <w:rPr>
                <w:sz w:val="20"/>
                <w:szCs w:val="20"/>
                <w:color w:val="auto"/>
              </w:rPr>
            </w:pPr>
            <w:r>
              <w:rPr>
                <w:rFonts w:ascii="Arial" w:cs="Arial" w:eastAsia="Arial" w:hAnsi="Arial"/>
                <w:sz w:val="18"/>
                <w:szCs w:val="18"/>
                <w:color w:val="auto"/>
              </w:rPr>
              <w:t>Less: Capitalization of software</w:t>
            </w: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r>
      <w:tr>
        <w:trPr>
          <w:trHeight w:val="237"/>
        </w:trPr>
        <w:tc>
          <w:tcPr>
            <w:tcW w:w="2960" w:type="dxa"/>
            <w:vAlign w:val="bottom"/>
            <w:gridSpan w:val="2"/>
          </w:tcPr>
          <w:p>
            <w:pPr>
              <w:ind w:left="180"/>
              <w:spacing w:after="0"/>
              <w:rPr>
                <w:sz w:val="20"/>
                <w:szCs w:val="20"/>
                <w:color w:val="auto"/>
              </w:rPr>
            </w:pPr>
            <w:r>
              <w:rPr>
                <w:rFonts w:ascii="Arial" w:cs="Arial" w:eastAsia="Arial" w:hAnsi="Arial"/>
                <w:sz w:val="18"/>
                <w:szCs w:val="18"/>
                <w:color w:val="auto"/>
              </w:rPr>
              <w:t>development costs</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(28,681)</w:t>
            </w:r>
          </w:p>
        </w:tc>
        <w:tc>
          <w:tcPr>
            <w:tcW w:w="9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(7,156)</w:t>
            </w:r>
          </w:p>
        </w:tc>
      </w:tr>
      <w:tr>
        <w:trPr>
          <w:trHeight w:val="235"/>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Less: Purchases of furniture,</w:t>
            </w: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r>
      <w:tr>
        <w:trPr>
          <w:trHeight w:val="216"/>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 and leasehold</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r>
      <w:tr>
        <w:trPr>
          <w:trHeight w:val="230"/>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improvements</w:t>
            </w:r>
          </w:p>
        </w:tc>
        <w:tc>
          <w:tcPr>
            <w:tcW w:w="36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(15,781)</w:t>
            </w:r>
          </w:p>
        </w:tc>
        <w:tc>
          <w:tcPr>
            <w:tcW w:w="9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(9,090)</w:t>
            </w:r>
          </w:p>
        </w:tc>
      </w:tr>
      <w:tr>
        <w:trPr>
          <w:trHeight w:val="27"/>
        </w:trPr>
        <w:tc>
          <w:tcPr>
            <w:tcW w:w="2600" w:type="dxa"/>
            <w:vAlign w:val="bottom"/>
            <w:tcBorders>
              <w:bottom w:val="single" w:sz="8" w:color="CCEEFF"/>
            </w:tcBorders>
            <w:shd w:val="clear" w:color="auto" w:fill="CCEEFF"/>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CCEEFF"/>
              <w:right w:val="single" w:sz="8" w:color="auto"/>
            </w:tcBorders>
          </w:tcPr>
          <w:p>
            <w:pPr>
              <w:spacing w:after="0"/>
              <w:rPr>
                <w:sz w:val="2"/>
                <w:szCs w:val="2"/>
                <w:color w:val="auto"/>
              </w:rPr>
            </w:pPr>
          </w:p>
        </w:tc>
      </w:tr>
      <w:tr>
        <w:trPr>
          <w:trHeight w:val="277"/>
        </w:trPr>
        <w:tc>
          <w:tcPr>
            <w:tcW w:w="2960" w:type="dxa"/>
            <w:vAlign w:val="bottom"/>
            <w:gridSpan w:val="2"/>
          </w:tcPr>
          <w:p>
            <w:pPr>
              <w:spacing w:after="0"/>
              <w:rPr>
                <w:sz w:val="20"/>
                <w:szCs w:val="20"/>
                <w:color w:val="auto"/>
              </w:rPr>
            </w:pPr>
            <w:r>
              <w:rPr>
                <w:rFonts w:ascii="Arial" w:cs="Arial" w:eastAsia="Arial" w:hAnsi="Arial"/>
                <w:sz w:val="18"/>
                <w:szCs w:val="18"/>
                <w:color w:val="auto"/>
              </w:rPr>
              <w:t>Free Cash Flow</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$266,541</w:t>
            </w: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$ 96,310</w:t>
            </w:r>
          </w:p>
        </w:tc>
        <w:tc>
          <w:tcPr>
            <w:tcW w:w="260" w:type="dxa"/>
            <w:vAlign w:val="bottom"/>
            <w:tcBorders>
              <w:right w:val="single" w:sz="8" w:color="auto"/>
            </w:tcBorders>
          </w:tcPr>
          <w:p>
            <w:pPr>
              <w:spacing w:after="0"/>
              <w:rPr>
                <w:sz w:val="24"/>
                <w:szCs w:val="24"/>
                <w:color w:val="auto"/>
              </w:rPr>
            </w:pPr>
          </w:p>
        </w:tc>
      </w:tr>
      <w:tr>
        <w:trPr>
          <w:trHeight w:val="20"/>
        </w:trPr>
        <w:tc>
          <w:tcPr>
            <w:tcW w:w="2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$164,828</w:t>
      </w:r>
      <w:r>
        <w:rPr>
          <w:sz w:val="20"/>
          <w:szCs w:val="20"/>
          <w:color w:val="auto"/>
        </w:rPr>
        <w:tab/>
      </w:r>
      <w:r>
        <w:rPr>
          <w:rFonts w:ascii="Arial" w:cs="Arial" w:eastAsia="Arial" w:hAnsi="Arial"/>
          <w:sz w:val="16"/>
          <w:szCs w:val="16"/>
          <w:color w:val="auto"/>
        </w:rPr>
        <w:t>$224,580</w:t>
      </w:r>
    </w:p>
    <w:p>
      <w:pPr>
        <w:spacing w:after="0" w:line="266" w:lineRule="exact"/>
        <w:rPr>
          <w:sz w:val="20"/>
          <w:szCs w:val="20"/>
          <w:color w:val="auto"/>
        </w:rPr>
      </w:pPr>
    </w:p>
    <w:p>
      <w:pPr>
        <w:ind w:left="140"/>
        <w:spacing w:after="0"/>
        <w:tabs>
          <w:tab w:leader="none" w:pos="1360" w:val="left"/>
        </w:tabs>
        <w:rPr>
          <w:sz w:val="20"/>
          <w:szCs w:val="20"/>
          <w:color w:val="auto"/>
        </w:rPr>
      </w:pPr>
      <w:r>
        <w:rPr>
          <w:rFonts w:ascii="Arial" w:cs="Arial" w:eastAsia="Arial" w:hAnsi="Arial"/>
          <w:sz w:val="16"/>
          <w:szCs w:val="16"/>
          <w:color w:val="auto"/>
        </w:rPr>
        <w:t>(19,523)</w:t>
      </w:r>
      <w:r>
        <w:rPr>
          <w:sz w:val="20"/>
          <w:szCs w:val="20"/>
          <w:color w:val="auto"/>
        </w:rPr>
        <w:tab/>
      </w:r>
      <w:r>
        <w:rPr>
          <w:rFonts w:ascii="Arial" w:cs="Arial" w:eastAsia="Arial" w:hAnsi="Arial"/>
          <w:sz w:val="16"/>
          <w:szCs w:val="16"/>
          <w:color w:val="auto"/>
        </w:rPr>
        <w:t>(27,157)</w:t>
      </w:r>
    </w:p>
    <w:p>
      <w:pPr>
        <w:spacing w:after="0" w:line="200" w:lineRule="exact"/>
        <w:rPr>
          <w:sz w:val="20"/>
          <w:szCs w:val="20"/>
          <w:color w:val="auto"/>
        </w:rPr>
      </w:pPr>
    </w:p>
    <w:p>
      <w:pPr>
        <w:spacing w:after="0" w:line="305" w:lineRule="exact"/>
        <w:rPr>
          <w:sz w:val="20"/>
          <w:szCs w:val="20"/>
          <w:color w:val="auto"/>
        </w:rPr>
      </w:pPr>
    </w:p>
    <w:p>
      <w:pPr>
        <w:jc w:val="both"/>
        <w:ind w:left="220"/>
        <w:spacing w:after="0"/>
        <w:tabs>
          <w:tab w:leader="none" w:pos="1360" w:val="left"/>
        </w:tabs>
        <w:rPr>
          <w:sz w:val="20"/>
          <w:szCs w:val="20"/>
          <w:color w:val="auto"/>
        </w:rPr>
      </w:pPr>
      <w:r>
        <w:rPr>
          <w:rFonts w:ascii="Arial" w:cs="Arial" w:eastAsia="Arial" w:hAnsi="Arial"/>
          <w:sz w:val="18"/>
          <w:szCs w:val="18"/>
          <w:color w:val="auto"/>
        </w:rPr>
        <w:t>(6,327)</w:t>
      </w:r>
      <w:r>
        <w:rPr>
          <w:sz w:val="20"/>
          <w:szCs w:val="20"/>
          <w:color w:val="auto"/>
        </w:rPr>
        <w:tab/>
      </w:r>
      <w:r>
        <w:rPr>
          <w:rFonts w:ascii="Arial" w:cs="Arial" w:eastAsia="Arial" w:hAnsi="Arial"/>
          <w:sz w:val="18"/>
          <w:szCs w:val="18"/>
          <w:color w:val="auto"/>
        </w:rPr>
        <w:t>(13,461)</w:t>
      </w:r>
    </w:p>
    <w:p>
      <w:pPr>
        <w:spacing w:after="0" w:line="9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$138,978</w:t>
      </w:r>
      <w:r>
        <w:rPr>
          <w:sz w:val="20"/>
          <w:szCs w:val="20"/>
          <w:color w:val="auto"/>
        </w:rPr>
        <w:tab/>
      </w:r>
      <w:r>
        <w:rPr>
          <w:rFonts w:ascii="Arial" w:cs="Arial" w:eastAsia="Arial" w:hAnsi="Arial"/>
          <w:sz w:val="16"/>
          <w:szCs w:val="16"/>
          <w:color w:val="auto"/>
        </w:rPr>
        <w:t>$183,962</w:t>
      </w:r>
    </w:p>
    <w:p>
      <w:pPr>
        <w:spacing w:after="0" w:line="238" w:lineRule="exact"/>
        <w:rPr>
          <w:sz w:val="20"/>
          <w:szCs w:val="20"/>
          <w:color w:val="auto"/>
        </w:rPr>
      </w:pPr>
    </w:p>
    <w:p>
      <w:pPr>
        <w:sectPr>
          <w:pgSz w:w="11900" w:h="16838" w:orient="portrait"/>
          <w:cols w:equalWidth="0" w:num="2">
            <w:col w:w="6740" w:space="240"/>
            <w:col w:w="3159"/>
          </w:cols>
          <w:pgMar w:left="320" w:top="132" w:right="1440" w:bottom="1440" w:gutter="0" w:footer="0" w:header="0"/>
          <w:type w:val="continuous"/>
        </w:sectPr>
      </w:pPr>
    </w:p>
    <w:p>
      <w:pPr>
        <w:ind w:left="1640" w:right="739" w:hanging="354"/>
        <w:spacing w:after="0" w:line="259" w:lineRule="auto"/>
        <w:tabs>
          <w:tab w:leader="none" w:pos="1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addition to net income and net income attributable to Tradeweb Markets Inc., each presented in accordance with GAAP, we present Adjusted EBITDA, Adjusted EBITDA margin, Adjusted EBIT and Adjusted EBIT margin as measures of our operating performance and Adjusted Net Income and Adjusted Diluted EPS as measures of our profitability.</w:t>
      </w:r>
    </w:p>
    <w:p>
      <w:pPr>
        <w:spacing w:after="0" w:line="78" w:lineRule="exact"/>
        <w:rPr>
          <w:rFonts w:ascii="Arial" w:cs="Arial" w:eastAsia="Arial" w:hAnsi="Arial"/>
          <w:sz w:val="18"/>
          <w:szCs w:val="18"/>
          <w:color w:val="auto"/>
        </w:rPr>
      </w:pPr>
    </w:p>
    <w:p>
      <w:pPr>
        <w:ind w:left="1640" w:right="659"/>
        <w:spacing w:after="0" w:line="267" w:lineRule="auto"/>
        <w:rPr>
          <w:rFonts w:ascii="Arial" w:cs="Arial" w:eastAsia="Arial" w:hAnsi="Arial"/>
          <w:sz w:val="18"/>
          <w:szCs w:val="18"/>
          <w:color w:val="auto"/>
        </w:rPr>
      </w:pPr>
      <w:r>
        <w:rPr>
          <w:rFonts w:ascii="Arial" w:cs="Arial" w:eastAsia="Arial" w:hAnsi="Arial"/>
          <w:sz w:val="17"/>
          <w:szCs w:val="17"/>
          <w:color w:val="auto"/>
        </w:rPr>
        <w:t>Adjusted EBITDA is defined as net income before contingent consideration, net interest income, provision for income taxes and depreciation and amortization, adjusted for the impact of certain other items, including certain stock-based compensation expense and payroll taxes associated with certain option exercises, tax receivable agreement liability adjustments and gains and losses from outstanding foreign exchange forward contracts and the revaluation of foreign denominated cash. Adjusted EBIT is defined as net income before contingent consideration, net interest income and provision for income taxes, adjusted for the impact of certain other items, including certain stock-based compensation expense and payroll taxes associated with certain option exercises, tax receivable agreement liability adjustments, acquisition and Refinitiv Transaction-related depreciation and amortization and gains and losses from outstanding foreign exchange forward contracts and the revaluation of foreign denominated cash. Adjusted EBITDA margin and Adjusted EBIT margin are defined as Adjusted EBITDA and Adjusted EBIT, respectively, divided by gross revenue for the applicable period. 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We also exclude non-cash stock-based compensation expense associated with options awarded to management and other employees prior to the IPO (the “Special Option Award”) and options awarded to management and other employees following the IPO during 2019, as well as payroll taxes associated with exercises of such options during the applicable period. We believe it is useful to exclude this stock-based compensation expense and associated payroll taxes because the amount of expense associated with the Special Option Award and the post-IPO option awards in 2019 may not</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40" w:right="659"/>
        <w:spacing w:after="0" w:line="269" w:lineRule="auto"/>
        <w:rPr>
          <w:sz w:val="20"/>
          <w:szCs w:val="20"/>
          <w:color w:val="auto"/>
        </w:rPr>
      </w:pPr>
      <w:r>
        <w:rPr>
          <w:rFonts w:ascii="Arial" w:cs="Arial" w:eastAsia="Arial" w:hAnsi="Arial"/>
          <w:sz w:val="17"/>
          <w:szCs w:val="17"/>
          <w:color w:val="auto"/>
        </w:rPr>
        <w:t>directly correlate to the underlying performance of our business and will vary across periods. We do not expect to exclude any non-cash stock-based compensation expense associated with options that may be awarded to management and other employees during 2020. In addition, we exclude the tax receivable agreement liability adjustments, because we believe it is useful to exclude the recognition of income during a period due to changes in the tax receivable agreement liability recorded in our consolidated statement of financial condition as a result of changes in the mix of earnings, tax legislation and tax rates in various jurisdictions, or other factors that may impact our tax savings, which may not directly correlate to the underlying performance of our business and will vary across periods. With respect to Adjusted EBIT and Adjusted EBIT margin, we believe it is useful to exclude the depreciation and amortization of acquisition related tangible and intangible assets resulting from certain acquisitions, the Refinitiv Transaction and the application of pushdown accounting in order to facilitate a period-over-period comparison of our financial performance.</w:t>
      </w:r>
    </w:p>
    <w:p>
      <w:pPr>
        <w:spacing w:after="0" w:line="71" w:lineRule="exact"/>
        <w:rPr>
          <w:sz w:val="20"/>
          <w:szCs w:val="20"/>
          <w:color w:val="auto"/>
        </w:rPr>
      </w:pPr>
    </w:p>
    <w:p>
      <w:pPr>
        <w:ind w:left="1640" w:right="659"/>
        <w:spacing w:after="0" w:line="255" w:lineRule="auto"/>
        <w:rPr>
          <w:sz w:val="20"/>
          <w:szCs w:val="20"/>
          <w:color w:val="auto"/>
        </w:rPr>
      </w:pPr>
      <w:r>
        <w:rPr>
          <w:rFonts w:ascii="Arial" w:cs="Arial" w:eastAsia="Arial" w:hAnsi="Arial"/>
          <w:sz w:val="18"/>
          <w:szCs w:val="18"/>
          <w:color w:val="auto"/>
        </w:rPr>
        <w:t>Management and our board of directors use Adjusted EBITDA, Adjusted EBITDA margin, Adjusted EBIT and Adjusted EBIT margin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84" w:lineRule="exact"/>
        <w:rPr>
          <w:sz w:val="20"/>
          <w:szCs w:val="20"/>
          <w:color w:val="auto"/>
        </w:rPr>
      </w:pPr>
    </w:p>
    <w:p>
      <w:pPr>
        <w:ind w:left="1640" w:right="679"/>
        <w:spacing w:after="0" w:line="254" w:lineRule="auto"/>
        <w:rPr>
          <w:sz w:val="20"/>
          <w:szCs w:val="20"/>
          <w:color w:val="auto"/>
        </w:rPr>
      </w:pPr>
      <w:r>
        <w:rPr>
          <w:rFonts w:ascii="Arial" w:cs="Arial" w:eastAsia="Arial" w:hAnsi="Arial"/>
          <w:sz w:val="18"/>
          <w:szCs w:val="18"/>
          <w:color w:val="auto"/>
        </w:rPr>
        <w:t>We present Adjusted Net Income and Adjusted Diluted EPS for Tradeweb Markets Inc. for post-IPO periods and Tradeweb Markets LLC for pre-IPO periods. As discussed below, because Adjusted Net Income and Adjusted Diluted EPS give effect to certain tax related adjustments to reflect an assumed effective tax rate for all periods presented and, for post-IPO periods, assumes all LLC Interests held by non-controlling interests are exchanged for shares of Class A or Class B common stock, we believe that Adjusted Net Income and Adjusted Diluted EPS for Tradeweb Markets Inc. and Tradeweb Markets LLC are comparable.</w:t>
      </w:r>
    </w:p>
    <w:p>
      <w:pPr>
        <w:spacing w:after="0" w:line="87" w:lineRule="exact"/>
        <w:rPr>
          <w:sz w:val="20"/>
          <w:szCs w:val="20"/>
          <w:color w:val="auto"/>
        </w:rPr>
      </w:pPr>
    </w:p>
    <w:p>
      <w:pPr>
        <w:ind w:left="1640" w:right="659"/>
        <w:spacing w:after="0" w:line="252" w:lineRule="auto"/>
        <w:rPr>
          <w:sz w:val="20"/>
          <w:szCs w:val="20"/>
          <w:color w:val="auto"/>
        </w:rPr>
      </w:pPr>
      <w:r>
        <w:rPr>
          <w:rFonts w:ascii="Arial" w:cs="Arial" w:eastAsia="Arial" w:hAnsi="Arial"/>
          <w:sz w:val="18"/>
          <w:szCs w:val="18"/>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for post-IPO periods, and net income, for pre-IPO periods, in each case adjusted for contingent consideration, certain stock-based compensation expense and payroll taxes associated with certain option exercises, tax receivable liability adjustments, acquisition and Refinitiv Transaction-related depreciation and amortization and gains and losses from outstanding foreign exchange forward contracts and the revaluation of foreign denominated cash. Adjusted Net Income also gives effect to certain tax related adjustments to reflect an assumed effective tax rate and, for pre-IPO periods, assumes TWM LLC was subject to a corporate tax rate for the periods presented. Adjusted Diluted EPS is defined as Adjusted Net Income divided by the diluted weighted average number of shares of Class A common stock and Class B common stock outstanding for the applicable period, assuming the full exchange of all outstanding LLC Interests held by non-controlling interests for shares of Class A common stock or Class B common stock, for post-IPO periods, and the diluted weighted average number of shares of TWM LLC outstanding for the applicable period, for pre-IPO periods. The diluted weighted average number of shares outstanding for the pre-IPO periods and post-IPO periods give effect to potentially dilutive securities using the treasury stock method.</w:t>
      </w:r>
    </w:p>
    <w:p>
      <w:pPr>
        <w:spacing w:after="0" w:line="85" w:lineRule="exact"/>
        <w:rPr>
          <w:sz w:val="20"/>
          <w:szCs w:val="20"/>
          <w:color w:val="auto"/>
        </w:rPr>
      </w:pPr>
    </w:p>
    <w:p>
      <w:pPr>
        <w:ind w:left="1640" w:right="699"/>
        <w:spacing w:after="0" w:line="269" w:lineRule="auto"/>
        <w:rPr>
          <w:sz w:val="20"/>
          <w:szCs w:val="20"/>
          <w:color w:val="auto"/>
        </w:rPr>
      </w:pPr>
      <w:r>
        <w:rPr>
          <w:rFonts w:ascii="Arial" w:cs="Arial" w:eastAsia="Arial" w:hAnsi="Arial"/>
          <w:sz w:val="17"/>
          <w:szCs w:val="17"/>
          <w:color w:val="auto"/>
        </w:rPr>
        <w:t>We use Adjusted Net Income and Adjusted Diluted EPS as supplemental metrics to evaluate our business performance in a way that also considers our ability to generate profit without the impact of certain items. We exclude contingent consideration, stock-based compensation expense associated with the Special Option Award and the post-IPO option awards in 2019 and payroll taxes associated with exercises of such options, tax receivable liability adjustments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40" w:right="699"/>
        <w:spacing w:after="0" w:line="255" w:lineRule="auto"/>
        <w:rPr>
          <w:sz w:val="20"/>
          <w:szCs w:val="20"/>
          <w:color w:val="auto"/>
        </w:rPr>
      </w:pPr>
      <w:r>
        <w:rPr>
          <w:rFonts w:ascii="Arial" w:cs="Arial" w:eastAsia="Arial" w:hAnsi="Arial"/>
          <w:sz w:val="18"/>
          <w:szCs w:val="18"/>
          <w:color w:val="auto"/>
        </w:rPr>
        <w:t>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84" w:lineRule="exact"/>
        <w:rPr>
          <w:sz w:val="20"/>
          <w:szCs w:val="20"/>
          <w:color w:val="auto"/>
        </w:rPr>
      </w:pPr>
    </w:p>
    <w:p>
      <w:pPr>
        <w:ind w:left="1640" w:right="679"/>
        <w:spacing w:after="0" w:line="252" w:lineRule="auto"/>
        <w:rPr>
          <w:sz w:val="20"/>
          <w:szCs w:val="20"/>
          <w:color w:val="auto"/>
        </w:rPr>
      </w:pPr>
      <w:r>
        <w:rPr>
          <w:rFonts w:ascii="Arial" w:cs="Arial" w:eastAsia="Arial" w:hAnsi="Arial"/>
          <w:sz w:val="18"/>
          <w:szCs w:val="18"/>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operating income, gross margin, earnings per share or any other financial measure derived in accordance with GAAP. For a discussion of these limitations, see “Use of Non-GAAP Financial Measures.”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87" w:lineRule="exact"/>
        <w:rPr>
          <w:sz w:val="20"/>
          <w:szCs w:val="20"/>
          <w:color w:val="auto"/>
        </w:rPr>
      </w:pPr>
    </w:p>
    <w:p>
      <w:pPr>
        <w:jc w:val="both"/>
        <w:ind w:left="1640" w:right="719"/>
        <w:spacing w:after="0" w:line="286" w:lineRule="auto"/>
        <w:rPr>
          <w:sz w:val="20"/>
          <w:szCs w:val="20"/>
          <w:color w:val="auto"/>
        </w:rPr>
      </w:pPr>
      <w:r>
        <w:rPr>
          <w:rFonts w:ascii="Arial" w:cs="Arial" w:eastAsia="Arial" w:hAnsi="Arial"/>
          <w:sz w:val="17"/>
          <w:szCs w:val="17"/>
          <w:color w:val="auto"/>
        </w:rPr>
        <w:t>The table set forth below presents a reconciliation of net income to Adjusted EBITDA, Adjusted EBIT, Adjusted EBITDA margin and Adjusted EBIT margin for the year ended December 31, 2019, the 2018 Successor Period, the 2018 Predecessor Period and the year ended December 31, 2017:</w:t>
      </w:r>
    </w:p>
    <w:p>
      <w:pPr>
        <w:spacing w:after="0" w:line="76" w:lineRule="exact"/>
        <w:rPr>
          <w:sz w:val="20"/>
          <w:szCs w:val="20"/>
          <w:color w:val="auto"/>
        </w:rPr>
      </w:pPr>
    </w:p>
    <w:tbl>
      <w:tblPr>
        <w:tblLayout w:type="fixed"/>
        <w:tblInd w:w="1640" w:type="dxa"/>
        <w:tblCellMar>
          <w:top w:w="0" w:type="dxa"/>
          <w:left w:w="0" w:type="dxa"/>
          <w:bottom w:w="0" w:type="dxa"/>
          <w:right w:w="0" w:type="dxa"/>
        </w:tblCellMar>
      </w:tblPr>
      <w:tr>
        <w:trPr>
          <w:trHeight w:val="36"/>
        </w:trPr>
        <w:tc>
          <w:tcPr>
            <w:tcW w:w="19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gridSpan w:val="5"/>
            <w:vMerge w:val="restart"/>
          </w:tcPr>
          <w:p>
            <w:pPr>
              <w:jc w:val="right"/>
              <w:ind w:right="760"/>
              <w:spacing w:after="0"/>
              <w:rPr>
                <w:sz w:val="20"/>
                <w:szCs w:val="20"/>
                <w:color w:val="auto"/>
              </w:rPr>
            </w:pPr>
            <w:r>
              <w:rPr>
                <w:rFonts w:ascii="Arial" w:cs="Arial" w:eastAsia="Arial" w:hAnsi="Arial"/>
                <w:sz w:val="14"/>
                <w:szCs w:val="14"/>
                <w:b w:val="1"/>
                <w:bCs w:val="1"/>
                <w:color w:val="auto"/>
              </w:rPr>
              <w:t>Successor</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80" w:type="dxa"/>
            <w:vAlign w:val="bottom"/>
            <w:gridSpan w:val="6"/>
            <w:vMerge w:val="restart"/>
          </w:tcPr>
          <w:p>
            <w:pPr>
              <w:jc w:val="right"/>
              <w:ind w:right="68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9"/>
        </w:trPr>
        <w:tc>
          <w:tcPr>
            <w:tcW w:w="1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5"/>
            <w:vMerge w:val="continue"/>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98"/>
              </w:rPr>
              <w:t>October 1,</w:t>
            </w:r>
          </w:p>
        </w:tc>
        <w:tc>
          <w:tcPr>
            <w:tcW w:w="80" w:type="dxa"/>
            <w:vAlign w:val="bottom"/>
            <w:tcBorders>
              <w:left w:val="single" w:sz="8" w:color="auto"/>
            </w:tcBorders>
          </w:tcPr>
          <w:p>
            <w:pPr>
              <w:spacing w:after="0"/>
              <w:rPr>
                <w:sz w:val="12"/>
                <w:szCs w:val="12"/>
                <w:color w:val="auto"/>
              </w:rPr>
            </w:pPr>
          </w:p>
        </w:tc>
        <w:tc>
          <w:tcPr>
            <w:tcW w:w="1060" w:type="dxa"/>
            <w:vAlign w:val="bottom"/>
            <w:tcBorders>
              <w:top w:val="single" w:sz="8" w:color="auto"/>
            </w:tcBorders>
            <w:gridSpan w:val="3"/>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January 1,</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2018 to</w:t>
            </w:r>
          </w:p>
        </w:tc>
        <w:tc>
          <w:tcPr>
            <w:tcW w:w="8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2018 to</w:t>
            </w:r>
          </w:p>
        </w:tc>
        <w:tc>
          <w:tcPr>
            <w:tcW w:w="1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December 31,</w:t>
            </w: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Borders>
              <w:left w:val="single" w:sz="8" w:color="auto"/>
            </w:tcBorders>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September 30,</w:t>
            </w:r>
          </w:p>
        </w:tc>
        <w:tc>
          <w:tcPr>
            <w:tcW w:w="1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5"/>
        </w:trPr>
        <w:tc>
          <w:tcPr>
            <w:tcW w:w="19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9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(in</w:t>
            </w:r>
          </w:p>
        </w:tc>
        <w:tc>
          <w:tcPr>
            <w:tcW w:w="1140" w:type="dxa"/>
            <w:vAlign w:val="bottom"/>
            <w:gridSpan w:val="4"/>
          </w:tcPr>
          <w:p>
            <w:pPr>
              <w:jc w:val="right"/>
              <w:ind w:right="620"/>
              <w:spacing w:after="0"/>
              <w:rPr>
                <w:sz w:val="20"/>
                <w:szCs w:val="20"/>
                <w:color w:val="auto"/>
              </w:rPr>
            </w:pPr>
            <w:r>
              <w:rPr>
                <w:rFonts w:ascii="Arial" w:cs="Arial" w:eastAsia="Arial" w:hAnsi="Arial"/>
                <w:sz w:val="13"/>
                <w:szCs w:val="13"/>
                <w:b w:val="1"/>
                <w:bCs w:val="1"/>
                <w:color w:val="auto"/>
                <w:w w:val="71"/>
              </w:rPr>
              <w:t>thousands)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16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$ 173,024</w:t>
            </w:r>
          </w:p>
        </w:tc>
        <w:tc>
          <w:tcPr>
            <w:tcW w:w="1040" w:type="dxa"/>
            <w:vAlign w:val="bottom"/>
            <w:tcBorders>
              <w:right w:val="single" w:sz="8" w:color="CCEEFF"/>
            </w:tcBorders>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$ 29,307</w:t>
            </w:r>
          </w:p>
        </w:tc>
        <w:tc>
          <w:tcPr>
            <w:tcW w:w="1140" w:type="dxa"/>
            <w:vAlign w:val="bottom"/>
            <w:tcBorders>
              <w:left w:val="single" w:sz="8" w:color="auto"/>
            </w:tcBorders>
            <w:gridSpan w:val="4"/>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$130,160</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83,648</w:t>
            </w:r>
          </w:p>
        </w:tc>
        <w:tc>
          <w:tcPr>
            <w:tcW w:w="0" w:type="dxa"/>
            <w:vAlign w:val="bottom"/>
          </w:tcPr>
          <w:p>
            <w:pPr>
              <w:spacing w:after="0"/>
              <w:rPr>
                <w:sz w:val="1"/>
                <w:szCs w:val="1"/>
                <w:color w:val="auto"/>
              </w:rPr>
            </w:pPr>
          </w:p>
        </w:tc>
      </w:tr>
      <w:tr>
        <w:trPr>
          <w:trHeight w:val="203"/>
        </w:trPr>
        <w:tc>
          <w:tcPr>
            <w:tcW w:w="3440" w:type="dxa"/>
            <w:vAlign w:val="bottom"/>
            <w:gridSpan w:val="2"/>
          </w:tcPr>
          <w:p>
            <w:pPr>
              <w:spacing w:after="0" w:line="202" w:lineRule="exact"/>
              <w:rPr>
                <w:sz w:val="20"/>
                <w:szCs w:val="20"/>
                <w:color w:val="auto"/>
              </w:rPr>
            </w:pPr>
            <w:r>
              <w:rPr>
                <w:rFonts w:ascii="Arial" w:cs="Arial" w:eastAsia="Arial" w:hAnsi="Arial"/>
                <w:sz w:val="18"/>
                <w:szCs w:val="18"/>
                <w:color w:val="auto"/>
              </w:rPr>
              <w:t>Contingent consideration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left w:val="single" w:sz="8" w:color="auto"/>
            </w:tcBorders>
            <w:gridSpan w:val="4"/>
          </w:tcPr>
          <w:p>
            <w:pPr>
              <w:jc w:val="right"/>
              <w:ind w:right="220"/>
              <w:spacing w:after="0" w:line="202" w:lineRule="exact"/>
              <w:rPr>
                <w:sz w:val="20"/>
                <w:szCs w:val="20"/>
                <w:color w:val="auto"/>
              </w:rPr>
            </w:pPr>
            <w:r>
              <w:rPr>
                <w:rFonts w:ascii="Arial" w:cs="Arial" w:eastAsia="Arial" w:hAnsi="Arial"/>
                <w:sz w:val="18"/>
                <w:szCs w:val="18"/>
                <w:color w:val="auto"/>
              </w:rPr>
              <w:t>26,830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58,520</w:t>
            </w:r>
          </w:p>
        </w:tc>
        <w:tc>
          <w:tcPr>
            <w:tcW w:w="0" w:type="dxa"/>
            <w:vAlign w:val="bottom"/>
          </w:tcPr>
          <w:p>
            <w:pPr>
              <w:spacing w:after="0"/>
              <w:rPr>
                <w:sz w:val="1"/>
                <w:szCs w:val="1"/>
                <w:color w:val="auto"/>
              </w:rPr>
            </w:pPr>
          </w:p>
        </w:tc>
      </w:tr>
      <w:tr>
        <w:trPr>
          <w:trHeight w:val="203"/>
        </w:trPr>
        <w:tc>
          <w:tcPr>
            <w:tcW w:w="3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interest income</w:t>
            </w:r>
          </w:p>
        </w:tc>
        <w:tc>
          <w:tcPr>
            <w:tcW w:w="1160" w:type="dxa"/>
            <w:vAlign w:val="bottom"/>
            <w:gridSpan w:val="4"/>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(2,373)</w:t>
            </w:r>
          </w:p>
        </w:tc>
        <w:tc>
          <w:tcPr>
            <w:tcW w:w="1040" w:type="dxa"/>
            <w:vAlign w:val="bottom"/>
            <w:tcBorders>
              <w:right w:val="single" w:sz="8" w:color="CCEEFF"/>
            </w:tcBorders>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(787)</w:t>
            </w:r>
          </w:p>
        </w:tc>
        <w:tc>
          <w:tcPr>
            <w:tcW w:w="1140" w:type="dxa"/>
            <w:vAlign w:val="bottom"/>
            <w:tcBorders>
              <w:left w:val="single" w:sz="8" w:color="auto"/>
            </w:tcBorders>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(1,726)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03"/>
        </w:trPr>
        <w:tc>
          <w:tcPr>
            <w:tcW w:w="3440" w:type="dxa"/>
            <w:vAlign w:val="bottom"/>
            <w:gridSpan w:val="2"/>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16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139,330</w:t>
            </w:r>
          </w:p>
        </w:tc>
        <w:tc>
          <w:tcPr>
            <w:tcW w:w="10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33,020</w:t>
            </w:r>
          </w:p>
        </w:tc>
        <w:tc>
          <w:tcPr>
            <w:tcW w:w="1140" w:type="dxa"/>
            <w:vAlign w:val="bottom"/>
            <w:tcBorders>
              <w:left w:val="single" w:sz="8" w:color="auto"/>
            </w:tcBorders>
            <w:gridSpan w:val="4"/>
          </w:tcPr>
          <w:p>
            <w:pPr>
              <w:jc w:val="right"/>
              <w:ind w:right="220"/>
              <w:spacing w:after="0" w:line="202" w:lineRule="exact"/>
              <w:rPr>
                <w:sz w:val="20"/>
                <w:szCs w:val="20"/>
                <w:color w:val="auto"/>
              </w:rPr>
            </w:pPr>
            <w:r>
              <w:rPr>
                <w:rFonts w:ascii="Arial" w:cs="Arial" w:eastAsia="Arial" w:hAnsi="Arial"/>
                <w:sz w:val="18"/>
                <w:szCs w:val="18"/>
                <w:color w:val="auto"/>
              </w:rPr>
              <w:t>48,808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68,615</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Stock-based compensation expense</w:t>
            </w:r>
            <w:r>
              <w:rPr>
                <w:rFonts w:ascii="Arial" w:cs="Arial" w:eastAsia="Arial" w:hAnsi="Arial"/>
                <w:sz w:val="25"/>
                <w:szCs w:val="25"/>
                <w:color w:val="auto"/>
                <w:vertAlign w:val="superscript"/>
              </w:rPr>
              <w:t>(a)</w:t>
            </w:r>
          </w:p>
        </w:tc>
        <w:tc>
          <w:tcPr>
            <w:tcW w:w="11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25,098</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440" w:type="dxa"/>
            <w:vAlign w:val="bottom"/>
            <w:gridSpan w:val="2"/>
          </w:tcPr>
          <w:p>
            <w:pPr>
              <w:spacing w:after="0" w:line="202" w:lineRule="exact"/>
              <w:rPr>
                <w:sz w:val="20"/>
                <w:szCs w:val="20"/>
                <w:color w:val="auto"/>
              </w:rPr>
            </w:pPr>
            <w:r>
              <w:rPr>
                <w:rFonts w:ascii="Arial" w:cs="Arial" w:eastAsia="Arial" w:hAnsi="Arial"/>
                <w:sz w:val="18"/>
                <w:szCs w:val="18"/>
                <w:color w:val="auto"/>
              </w:rPr>
              <w:t>Provision for income taxes</w:t>
            </w:r>
          </w:p>
        </w:tc>
        <w:tc>
          <w:tcPr>
            <w:tcW w:w="116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52,302</w:t>
            </w:r>
          </w:p>
        </w:tc>
        <w:tc>
          <w:tcPr>
            <w:tcW w:w="10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3,415</w:t>
            </w:r>
          </w:p>
        </w:tc>
        <w:tc>
          <w:tcPr>
            <w:tcW w:w="1140" w:type="dxa"/>
            <w:vAlign w:val="bottom"/>
            <w:tcBorders>
              <w:left w:val="single" w:sz="8" w:color="auto"/>
            </w:tcBorders>
            <w:gridSpan w:val="4"/>
          </w:tcPr>
          <w:p>
            <w:pPr>
              <w:jc w:val="right"/>
              <w:ind w:right="220"/>
              <w:spacing w:after="0" w:line="202" w:lineRule="exact"/>
              <w:rPr>
                <w:sz w:val="20"/>
                <w:szCs w:val="20"/>
                <w:color w:val="auto"/>
              </w:rPr>
            </w:pPr>
            <w:r>
              <w:rPr>
                <w:rFonts w:ascii="Arial" w:cs="Arial" w:eastAsia="Arial" w:hAnsi="Arial"/>
                <w:sz w:val="18"/>
                <w:szCs w:val="18"/>
                <w:color w:val="auto"/>
              </w:rPr>
              <w:t>11,900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6,129</w:t>
            </w:r>
          </w:p>
        </w:tc>
        <w:tc>
          <w:tcPr>
            <w:tcW w:w="0" w:type="dxa"/>
            <w:vAlign w:val="bottom"/>
          </w:tcPr>
          <w:p>
            <w:pPr>
              <w:spacing w:after="0"/>
              <w:rPr>
                <w:sz w:val="1"/>
                <w:szCs w:val="1"/>
                <w:color w:val="auto"/>
              </w:rPr>
            </w:pPr>
          </w:p>
        </w:tc>
      </w:tr>
      <w:tr>
        <w:trPr>
          <w:trHeight w:val="203"/>
        </w:trPr>
        <w:tc>
          <w:tcPr>
            <w:tcW w:w="3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9"/>
              </w:rPr>
              <w:t>Unrealized foreign exchange (gains)/losses</w:t>
            </w:r>
          </w:p>
        </w:tc>
        <w:tc>
          <w:tcPr>
            <w:tcW w:w="1160" w:type="dxa"/>
            <w:vAlign w:val="bottom"/>
            <w:gridSpan w:val="4"/>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(2,310)</w:t>
            </w:r>
          </w:p>
        </w:tc>
        <w:tc>
          <w:tcPr>
            <w:tcW w:w="1040" w:type="dxa"/>
            <w:vAlign w:val="bottom"/>
            <w:tcBorders>
              <w:right w:val="single" w:sz="8" w:color="CCEEFF"/>
            </w:tcBorders>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263</w:t>
            </w:r>
          </w:p>
        </w:tc>
        <w:tc>
          <w:tcPr>
            <w:tcW w:w="1140" w:type="dxa"/>
            <w:vAlign w:val="bottom"/>
            <w:tcBorders>
              <w:left w:val="single" w:sz="8" w:color="auto"/>
            </w:tcBorders>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(960)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165"/>
        </w:trPr>
        <w:tc>
          <w:tcPr>
            <w:tcW w:w="3440" w:type="dxa"/>
            <w:vAlign w:val="bottom"/>
            <w:gridSpan w:val="2"/>
          </w:tcPr>
          <w:p>
            <w:pPr>
              <w:spacing w:after="0" w:line="164" w:lineRule="exact"/>
              <w:rPr>
                <w:sz w:val="20"/>
                <w:szCs w:val="20"/>
                <w:color w:val="auto"/>
              </w:rPr>
            </w:pPr>
            <w:r>
              <w:rPr>
                <w:rFonts w:ascii="Arial" w:cs="Arial" w:eastAsia="Arial" w:hAnsi="Arial"/>
                <w:sz w:val="18"/>
                <w:szCs w:val="18"/>
                <w:color w:val="auto"/>
              </w:rPr>
              <w:t>(Gain)/loss from revaluation of foreign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3440" w:type="dxa"/>
            <w:vAlign w:val="bottom"/>
            <w:gridSpan w:val="2"/>
          </w:tcPr>
          <w:p>
            <w:pPr>
              <w:ind w:left="180"/>
              <w:spacing w:after="0" w:line="281" w:lineRule="exact"/>
              <w:rPr>
                <w:sz w:val="20"/>
                <w:szCs w:val="20"/>
                <w:color w:val="auto"/>
              </w:rPr>
            </w:pPr>
            <w:r>
              <w:rPr>
                <w:rFonts w:ascii="Arial" w:cs="Arial" w:eastAsia="Arial" w:hAnsi="Arial"/>
                <w:sz w:val="18"/>
                <w:szCs w:val="18"/>
                <w:color w:val="auto"/>
              </w:rPr>
              <w:t>denominated cash</w:t>
            </w:r>
            <w:r>
              <w:rPr>
                <w:rFonts w:ascii="Arial" w:cs="Arial" w:eastAsia="Arial" w:hAnsi="Arial"/>
                <w:sz w:val="26"/>
                <w:szCs w:val="26"/>
                <w:color w:val="auto"/>
                <w:vertAlign w:val="superscript"/>
              </w:rPr>
              <w:t>(b)</w:t>
            </w:r>
          </w:p>
        </w:tc>
        <w:tc>
          <w:tcPr>
            <w:tcW w:w="1160" w:type="dxa"/>
            <w:vAlign w:val="bottom"/>
            <w:gridSpan w:val="4"/>
          </w:tcPr>
          <w:p>
            <w:pPr>
              <w:jc w:val="right"/>
              <w:ind w:right="200"/>
              <w:spacing w:after="0"/>
              <w:rPr>
                <w:sz w:val="20"/>
                <w:szCs w:val="20"/>
                <w:color w:val="auto"/>
              </w:rPr>
            </w:pPr>
            <w:r>
              <w:rPr>
                <w:rFonts w:ascii="Arial" w:cs="Arial" w:eastAsia="Arial" w:hAnsi="Arial"/>
                <w:sz w:val="18"/>
                <w:szCs w:val="18"/>
                <w:color w:val="auto"/>
              </w:rPr>
              <w:t>1,225</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90</w:t>
            </w:r>
          </w:p>
        </w:tc>
        <w:tc>
          <w:tcPr>
            <w:tcW w:w="1140" w:type="dxa"/>
            <w:vAlign w:val="bottom"/>
            <w:tcBorders>
              <w:left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(921)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165"/>
        </w:trPr>
        <w:tc>
          <w:tcPr>
            <w:tcW w:w="3440" w:type="dxa"/>
            <w:vAlign w:val="bottom"/>
            <w:gridSpan w:val="2"/>
            <w:shd w:val="clear" w:color="auto" w:fill="CCEEFF"/>
          </w:tcPr>
          <w:p>
            <w:pPr>
              <w:spacing w:after="0" w:line="164" w:lineRule="exact"/>
              <w:rPr>
                <w:sz w:val="20"/>
                <w:szCs w:val="20"/>
                <w:color w:val="auto"/>
              </w:rPr>
            </w:pPr>
            <w:r>
              <w:rPr>
                <w:rFonts w:ascii="Arial" w:cs="Arial" w:eastAsia="Arial" w:hAnsi="Arial"/>
                <w:sz w:val="18"/>
                <w:szCs w:val="18"/>
                <w:color w:val="auto"/>
              </w:rPr>
              <w:t>Tax receivable agreement liability</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80" w:type="dxa"/>
            <w:vAlign w:val="bottom"/>
            <w:tcBorders>
              <w:lef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3440" w:type="dxa"/>
            <w:vAlign w:val="bottom"/>
            <w:gridSpan w:val="2"/>
            <w:shd w:val="clear" w:color="auto" w:fill="CCEEFF"/>
          </w:tcPr>
          <w:p>
            <w:pPr>
              <w:ind w:left="180"/>
              <w:spacing w:after="0" w:line="281" w:lineRule="exact"/>
              <w:rPr>
                <w:sz w:val="20"/>
                <w:szCs w:val="20"/>
                <w:color w:val="auto"/>
              </w:rPr>
            </w:pPr>
            <w:r>
              <w:rPr>
                <w:rFonts w:ascii="Arial" w:cs="Arial" w:eastAsia="Arial" w:hAnsi="Arial"/>
                <w:sz w:val="18"/>
                <w:szCs w:val="18"/>
                <w:color w:val="auto"/>
              </w:rPr>
              <w:t>adjustment</w:t>
            </w:r>
            <w:r>
              <w:rPr>
                <w:rFonts w:ascii="Arial" w:cs="Arial" w:eastAsia="Arial" w:hAnsi="Arial"/>
                <w:sz w:val="26"/>
                <w:szCs w:val="26"/>
                <w:color w:val="auto"/>
                <w:vertAlign w:val="superscript"/>
              </w:rPr>
              <w:t>(c)</w:t>
            </w:r>
          </w:p>
        </w:tc>
        <w:tc>
          <w:tcPr>
            <w:tcW w:w="11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(33,134)</w:t>
            </w:r>
          </w:p>
        </w:tc>
        <w:tc>
          <w:tcPr>
            <w:tcW w:w="160" w:type="dxa"/>
            <w:vAlign w:val="bottom"/>
            <w:shd w:val="clear" w:color="auto" w:fill="CCEEFF"/>
          </w:tcPr>
          <w:p>
            <w:pPr>
              <w:spacing w:after="0"/>
              <w:rPr>
                <w:sz w:val="24"/>
                <w:szCs w:val="24"/>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auto"/>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440" w:type="dxa"/>
            <w:vAlign w:val="bottom"/>
            <w:tcBorders>
              <w:top w:val="single" w:sz="8" w:color="CCEEFF"/>
              <w:bottom w:val="single" w:sz="8" w:color="CCEEFF"/>
            </w:tcBorders>
            <w:gridSpan w:val="2"/>
          </w:tcPr>
          <w:p>
            <w:pPr>
              <w:spacing w:after="0"/>
              <w:rPr>
                <w:sz w:val="20"/>
                <w:szCs w:val="20"/>
                <w:color w:val="auto"/>
              </w:rPr>
            </w:pPr>
            <w:r>
              <w:rPr>
                <w:rFonts w:ascii="Arial" w:cs="Arial" w:eastAsia="Arial" w:hAnsi="Arial"/>
                <w:sz w:val="18"/>
                <w:szCs w:val="18"/>
                <w:color w:val="auto"/>
              </w:rPr>
              <w:t>Adjusted EBITDA</w:t>
            </w:r>
          </w:p>
        </w:tc>
        <w:tc>
          <w:tcPr>
            <w:tcW w:w="10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CCEEFF"/>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$ 353,162</w:t>
            </w:r>
          </w:p>
        </w:tc>
        <w:tc>
          <w:tcPr>
            <w:tcW w:w="22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CCEEFF"/>
              <w:bottom w:val="single" w:sz="8" w:color="CCEEFF"/>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$ 65,308</w:t>
            </w:r>
          </w:p>
        </w:tc>
        <w:tc>
          <w:tcPr>
            <w:tcW w:w="2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left w:val="single" w:sz="8" w:color="auto"/>
              <w:bottom w:val="single" w:sz="8" w:color="CCEEFF"/>
            </w:tcBorders>
          </w:tcPr>
          <w:p>
            <w:pPr>
              <w:spacing w:after="0"/>
              <w:rPr>
                <w:sz w:val="21"/>
                <w:szCs w:val="21"/>
                <w:color w:val="auto"/>
              </w:rPr>
            </w:pPr>
          </w:p>
        </w:tc>
        <w:tc>
          <w:tcPr>
            <w:tcW w:w="140" w:type="dxa"/>
            <w:vAlign w:val="bottom"/>
            <w:tcBorders>
              <w:top w:val="single" w:sz="8" w:color="CCEEFF"/>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214,091</w:t>
            </w:r>
          </w:p>
        </w:tc>
        <w:tc>
          <w:tcPr>
            <w:tcW w:w="24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215,185</w:t>
            </w:r>
          </w:p>
        </w:tc>
        <w:tc>
          <w:tcPr>
            <w:tcW w:w="18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44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Less: Depreciation and amortization</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3"/>
              </w:rPr>
              <w:t>(139,330)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(33,020)</w:t>
            </w:r>
          </w:p>
        </w:tc>
        <w:tc>
          <w:tcPr>
            <w:tcW w:w="220" w:type="dxa"/>
            <w:vAlign w:val="bottom"/>
            <w:tcBorders>
              <w:right w:val="single" w:sz="8" w:color="CCEEFF"/>
            </w:tcBorders>
            <w:shd w:val="clear" w:color="auto" w:fill="CCEEFF"/>
          </w:tcPr>
          <w:p>
            <w:pPr>
              <w:spacing w:after="0"/>
              <w:rPr>
                <w:sz w:val="14"/>
                <w:szCs w:val="14"/>
                <w:color w:val="auto"/>
              </w:rPr>
            </w:pPr>
          </w:p>
        </w:tc>
        <w:tc>
          <w:tcPr>
            <w:tcW w:w="80" w:type="dxa"/>
            <w:vAlign w:val="bottom"/>
            <w:tcBorders>
              <w:lef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(48,808)</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83"/>
              </w:rPr>
              <w:t>(68,615)</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40" w:type="dxa"/>
            <w:vAlign w:val="bottom"/>
            <w:gridSpan w:val="2"/>
          </w:tcPr>
          <w:p>
            <w:pPr>
              <w:spacing w:after="0" w:line="164" w:lineRule="exact"/>
              <w:rPr>
                <w:sz w:val="20"/>
                <w:szCs w:val="20"/>
                <w:color w:val="auto"/>
              </w:rPr>
            </w:pPr>
            <w:r>
              <w:rPr>
                <w:rFonts w:ascii="Arial" w:cs="Arial" w:eastAsia="Arial" w:hAnsi="Arial"/>
                <w:sz w:val="18"/>
                <w:szCs w:val="18"/>
                <w:color w:val="auto"/>
              </w:rPr>
              <w:t>Add: Acquisition and Refinitiv Transaction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3440" w:type="dxa"/>
            <w:vAlign w:val="bottom"/>
            <w:gridSpan w:val="2"/>
          </w:tcPr>
          <w:p>
            <w:pPr>
              <w:ind w:left="180"/>
              <w:spacing w:after="0" w:line="281" w:lineRule="exact"/>
              <w:rPr>
                <w:sz w:val="20"/>
                <w:szCs w:val="20"/>
                <w:color w:val="auto"/>
              </w:rPr>
            </w:pPr>
            <w:r>
              <w:rPr>
                <w:rFonts w:ascii="Arial" w:cs="Arial" w:eastAsia="Arial" w:hAnsi="Arial"/>
                <w:sz w:val="18"/>
                <w:szCs w:val="18"/>
                <w:color w:val="auto"/>
              </w:rPr>
              <w:t>related D&amp;A</w:t>
            </w:r>
            <w:r>
              <w:rPr>
                <w:rFonts w:ascii="Arial" w:cs="Arial" w:eastAsia="Arial" w:hAnsi="Arial"/>
                <w:sz w:val="26"/>
                <w:szCs w:val="26"/>
                <w:color w:val="auto"/>
                <w:vertAlign w:val="superscript"/>
              </w:rPr>
              <w:t>(d)</w:t>
            </w:r>
          </w:p>
        </w:tc>
        <w:tc>
          <w:tcPr>
            <w:tcW w:w="200" w:type="dxa"/>
            <w:vAlign w:val="bottom"/>
            <w:gridSpan w:val="2"/>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97,565</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22,413</w:t>
            </w:r>
          </w:p>
        </w:tc>
        <w:tc>
          <w:tcPr>
            <w:tcW w:w="1140" w:type="dxa"/>
            <w:vAlign w:val="bottom"/>
            <w:tcBorders>
              <w:left w:val="single" w:sz="8" w:color="auto"/>
            </w:tcBorders>
            <w:gridSpan w:val="4"/>
          </w:tcPr>
          <w:p>
            <w:pPr>
              <w:jc w:val="right"/>
              <w:ind w:right="220"/>
              <w:spacing w:after="0"/>
              <w:rPr>
                <w:sz w:val="20"/>
                <w:szCs w:val="20"/>
                <w:color w:val="auto"/>
              </w:rPr>
            </w:pPr>
            <w:r>
              <w:rPr>
                <w:rFonts w:ascii="Arial" w:cs="Arial" w:eastAsia="Arial" w:hAnsi="Arial"/>
                <w:sz w:val="18"/>
                <w:szCs w:val="18"/>
                <w:color w:val="auto"/>
              </w:rPr>
              <w:t>19,576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31,236</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w:t>
            </w:r>
          </w:p>
        </w:tc>
        <w:tc>
          <w:tcPr>
            <w:tcW w:w="200" w:type="dxa"/>
            <w:vAlign w:val="bottom"/>
            <w:gridSpan w:val="2"/>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311,397</w:t>
            </w:r>
          </w:p>
        </w:tc>
        <w:tc>
          <w:tcPr>
            <w:tcW w:w="10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54,701</w:t>
            </w:r>
          </w:p>
        </w:tc>
        <w:tc>
          <w:tcPr>
            <w:tcW w:w="1140" w:type="dxa"/>
            <w:vAlign w:val="bottom"/>
            <w:tcBorders>
              <w:left w:val="single" w:sz="8" w:color="auto"/>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184,859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177,806</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gridSpan w:val="2"/>
            <w:vMerge w:val="restart"/>
          </w:tcPr>
          <w:p>
            <w:pPr>
              <w:spacing w:after="0" w:line="236"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6"/>
                <w:szCs w:val="26"/>
                <w:color w:val="auto"/>
                <w:vertAlign w:val="superscript"/>
              </w:rPr>
              <w:t>(e)</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left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45.5%</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36.6%</w:t>
            </w:r>
          </w:p>
        </w:tc>
        <w:tc>
          <w:tcPr>
            <w:tcW w:w="8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42.3%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gridSpan w:val="2"/>
            <w:vMerge w:val="restart"/>
            <w:shd w:val="clear" w:color="auto" w:fill="CCEEFF"/>
          </w:tcPr>
          <w:p>
            <w:pPr>
              <w:spacing w:after="0" w:line="216" w:lineRule="exact"/>
              <w:rPr>
                <w:sz w:val="20"/>
                <w:szCs w:val="20"/>
                <w:color w:val="auto"/>
              </w:rPr>
            </w:pPr>
            <w:r>
              <w:rPr>
                <w:rFonts w:ascii="Arial" w:cs="Arial" w:eastAsia="Arial" w:hAnsi="Arial"/>
                <w:sz w:val="17"/>
                <w:szCs w:val="17"/>
                <w:color w:val="auto"/>
              </w:rPr>
              <w:t>Adjusted EBIT margin</w:t>
            </w:r>
            <w:r>
              <w:rPr>
                <w:rFonts w:ascii="Arial" w:cs="Arial" w:eastAsia="Arial" w:hAnsi="Arial"/>
                <w:sz w:val="25"/>
                <w:szCs w:val="25"/>
                <w:color w:val="auto"/>
                <w:vertAlign w:val="superscript"/>
              </w:rPr>
              <w:t>(e)</w:t>
            </w: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vMerge w:val="restart"/>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auto"/>
            </w:tcBorders>
            <w:vMerge w:val="restart"/>
            <w:shd w:val="clear" w:color="auto" w:fill="CCEEFF"/>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4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40.2%</w:t>
            </w:r>
          </w:p>
        </w:tc>
        <w:tc>
          <w:tcPr>
            <w:tcW w:w="160" w:type="dxa"/>
            <w:vAlign w:val="bottom"/>
            <w:vMerge w:val="continue"/>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30.6%</w:t>
            </w:r>
          </w:p>
        </w:tc>
        <w:tc>
          <w:tcPr>
            <w:tcW w:w="80" w:type="dxa"/>
            <w:vAlign w:val="bottom"/>
            <w:tcBorders>
              <w:left w:val="single" w:sz="8" w:color="auto"/>
            </w:tcBorders>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36.5%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129"/>
        </w:trPr>
        <w:tc>
          <w:tcPr>
            <w:tcW w:w="1940" w:type="dxa"/>
            <w:vAlign w:val="bottom"/>
            <w:tcBorders>
              <w:top w:val="single" w:sz="8" w:color="CCEEFF"/>
              <w:bottom w:val="single" w:sz="8" w:color="auto"/>
            </w:tcBorders>
          </w:tcPr>
          <w:p>
            <w:pPr>
              <w:spacing w:after="0"/>
              <w:rPr>
                <w:sz w:val="11"/>
                <w:szCs w:val="11"/>
                <w:color w:val="auto"/>
              </w:rPr>
            </w:pPr>
          </w:p>
        </w:tc>
        <w:tc>
          <w:tcPr>
            <w:tcW w:w="15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2000" w:right="699" w:hanging="354"/>
        <w:spacing w:after="0" w:line="263" w:lineRule="auto"/>
        <w:tabs>
          <w:tab w:leader="none" w:pos="2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non-cash stock-based compensation expense associated with the Special Option Award and post-IPO options awarded in 2019 and payroll taxes associated with exercises of such options during the applicable period.</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33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0" w:right="819" w:hanging="354"/>
        <w:spacing w:after="0" w:line="277" w:lineRule="auto"/>
        <w:tabs>
          <w:tab w:leader="none" w:pos="2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foreign exchange gain or loss from the revaluation of cash denominated in a different currency than the entity’s functional currency.</w:t>
      </w:r>
    </w:p>
    <w:p>
      <w:pPr>
        <w:spacing w:after="0" w:line="129" w:lineRule="exact"/>
        <w:rPr>
          <w:rFonts w:ascii="Arial" w:cs="Arial" w:eastAsia="Arial" w:hAnsi="Arial"/>
          <w:sz w:val="18"/>
          <w:szCs w:val="18"/>
          <w:color w:val="auto"/>
        </w:rPr>
      </w:pPr>
    </w:p>
    <w:p>
      <w:pPr>
        <w:ind w:left="2000" w:right="919" w:hanging="354"/>
        <w:spacing w:after="0" w:line="259" w:lineRule="auto"/>
        <w:tabs>
          <w:tab w:leader="none" w:pos="2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spacing w:after="0" w:line="159" w:lineRule="exact"/>
        <w:rPr>
          <w:rFonts w:ascii="Arial" w:cs="Arial" w:eastAsia="Arial" w:hAnsi="Arial"/>
          <w:sz w:val="18"/>
          <w:szCs w:val="18"/>
          <w:color w:val="auto"/>
        </w:rPr>
      </w:pPr>
    </w:p>
    <w:p>
      <w:pPr>
        <w:ind w:left="2000" w:right="659" w:hanging="354"/>
        <w:spacing w:after="0" w:line="259" w:lineRule="auto"/>
        <w:tabs>
          <w:tab w:leader="none" w:pos="2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132" w:lineRule="exact"/>
        <w:rPr>
          <w:rFonts w:ascii="Arial" w:cs="Arial" w:eastAsia="Arial" w:hAnsi="Arial"/>
          <w:sz w:val="18"/>
          <w:szCs w:val="18"/>
          <w:color w:val="auto"/>
        </w:rPr>
      </w:pPr>
    </w:p>
    <w:p>
      <w:pPr>
        <w:ind w:left="2000" w:right="1199" w:hanging="354"/>
        <w:spacing w:after="0" w:line="277" w:lineRule="auto"/>
        <w:tabs>
          <w:tab w:leader="none" w:pos="2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Adjusted EBITDA margin and Adjusted EBIT margin are defined as Adjusted EBITDA and Adjusted EBIT, respectively, divided by gross revenue for the applicable period.</w:t>
      </w:r>
    </w:p>
    <w:p>
      <w:pPr>
        <w:spacing w:after="0" w:line="62" w:lineRule="exact"/>
        <w:rPr>
          <w:rFonts w:ascii="Arial" w:cs="Arial" w:eastAsia="Arial" w:hAnsi="Arial"/>
          <w:sz w:val="18"/>
          <w:szCs w:val="18"/>
          <w:color w:val="auto"/>
        </w:rPr>
      </w:pPr>
    </w:p>
    <w:p>
      <w:pPr>
        <w:ind w:left="2000" w:right="679"/>
        <w:spacing w:after="0" w:line="259" w:lineRule="auto"/>
        <w:rPr>
          <w:rFonts w:ascii="Arial" w:cs="Arial" w:eastAsia="Arial" w:hAnsi="Arial"/>
          <w:sz w:val="18"/>
          <w:szCs w:val="18"/>
          <w:color w:val="auto"/>
        </w:rPr>
      </w:pPr>
      <w:r>
        <w:rPr>
          <w:rFonts w:ascii="Arial" w:cs="Arial" w:eastAsia="Arial" w:hAnsi="Arial"/>
          <w:sz w:val="18"/>
          <w:szCs w:val="18"/>
          <w:color w:val="auto"/>
        </w:rPr>
        <w:t>The table set forth below provides a reconciliation of net income attributable to Tradeweb Markets Inc. and net income, as applicable, to Adjusted Net Income and Adjusted Diluted EPS for the year ended December 31, 2019, the 2018 Successor Period, the 2018 Predecessor Period and the year ended December 31, 2017:</w:t>
      </w:r>
    </w:p>
    <w:p>
      <w:pPr>
        <w:sectPr>
          <w:pgSz w:w="11900" w:h="16838" w:orient="portrait"/>
          <w:cols w:equalWidth="0" w:num="1">
            <w:col w:w="10139"/>
          </w:cols>
          <w:pgMar w:left="320" w:top="132" w:right="1440" w:bottom="1440" w:gutter="0" w:footer="0" w:header="0"/>
          <w:type w:val="continuous"/>
        </w:sectPr>
      </w:pPr>
    </w:p>
    <w:p>
      <w:pPr>
        <w:spacing w:after="0" w:line="84" w:lineRule="exact"/>
        <w:rPr>
          <w:sz w:val="20"/>
          <w:szCs w:val="20"/>
          <w:color w:val="auto"/>
        </w:rPr>
      </w:pPr>
    </w:p>
    <w:p>
      <w:pPr>
        <w:ind w:left="5700"/>
        <w:spacing w:after="0"/>
        <w:rPr>
          <w:sz w:val="20"/>
          <w:szCs w:val="20"/>
          <w:color w:val="auto"/>
        </w:rPr>
      </w:pPr>
      <w:r>
        <w:rPr>
          <w:rFonts w:ascii="Arial" w:cs="Arial" w:eastAsia="Arial" w:hAnsi="Arial"/>
          <w:sz w:val="14"/>
          <w:szCs w:val="14"/>
          <w:b w:val="1"/>
          <w:bCs w:val="1"/>
          <w:color w:val="auto"/>
        </w:rPr>
        <w:t>Successor</w:t>
      </w:r>
    </w:p>
    <w:p>
      <w:pPr>
        <w:spacing w:after="0" w:line="25" w:lineRule="exact"/>
        <w:rPr>
          <w:sz w:val="20"/>
          <w:szCs w:val="20"/>
          <w:color w:val="auto"/>
        </w:rPr>
      </w:pPr>
    </w:p>
    <w:tbl>
      <w:tblPr>
        <w:tblLayout w:type="fixed"/>
        <w:tblInd w:w="4980" w:type="dxa"/>
        <w:tblCellMar>
          <w:top w:w="0" w:type="dxa"/>
          <w:left w:w="0" w:type="dxa"/>
          <w:bottom w:w="0" w:type="dxa"/>
          <w:right w:w="0" w:type="dxa"/>
        </w:tblCellMar>
      </w:tblPr>
      <w:tr>
        <w:trPr>
          <w:trHeight w:val="145"/>
        </w:trPr>
        <w:tc>
          <w:tcPr>
            <w:tcW w:w="10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5"/>
              </w:rPr>
              <w:t>October 1,</w:t>
            </w:r>
          </w:p>
        </w:tc>
      </w:tr>
      <w:tr>
        <w:trPr>
          <w:trHeight w:val="162"/>
        </w:trPr>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Year Ended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2018 to</w:t>
            </w:r>
          </w:p>
        </w:tc>
      </w:tr>
      <w:tr>
        <w:trPr>
          <w:trHeight w:val="162"/>
        </w:trPr>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December 31,</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December 31,</w:t>
            </w:r>
          </w:p>
        </w:tc>
      </w:tr>
      <w:tr>
        <w:trPr>
          <w:trHeight w:val="186"/>
        </w:trPr>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1040" w:type="dxa"/>
            <w:vAlign w:val="bottom"/>
          </w:tcPr>
          <w:p>
            <w:pPr>
              <w:jc w:val="center"/>
              <w:ind w:left="28"/>
              <w:spacing w:after="0"/>
              <w:rPr>
                <w:sz w:val="20"/>
                <w:szCs w:val="20"/>
                <w:color w:val="auto"/>
              </w:rPr>
            </w:pPr>
            <w:r>
              <w:rPr>
                <w:rFonts w:ascii="Arial" w:cs="Arial" w:eastAsia="Arial" w:hAnsi="Arial"/>
                <w:sz w:val="14"/>
                <w:szCs w:val="14"/>
                <w:b w:val="1"/>
                <w:bCs w:val="1"/>
                <w:color w:val="auto"/>
                <w:w w:val="96"/>
              </w:rPr>
              <w:t>2018</w:t>
            </w:r>
          </w:p>
        </w:tc>
      </w:tr>
    </w:tbl>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Predecessor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040" w:type="dxa"/>
            <w:vAlign w:val="bottom"/>
            <w:tcBorders>
              <w:top w:val="single" w:sz="8" w:color="auto"/>
            </w:tcBorders>
          </w:tcPr>
          <w:p>
            <w:pPr>
              <w:jc w:val="center"/>
              <w:ind w:right="48"/>
              <w:spacing w:after="0" w:line="145" w:lineRule="exact"/>
              <w:rPr>
                <w:sz w:val="20"/>
                <w:szCs w:val="20"/>
                <w:color w:val="auto"/>
              </w:rPr>
            </w:pPr>
            <w:r>
              <w:rPr>
                <w:rFonts w:ascii="Arial" w:cs="Arial" w:eastAsia="Arial" w:hAnsi="Arial"/>
                <w:sz w:val="14"/>
                <w:szCs w:val="14"/>
                <w:b w:val="1"/>
                <w:bCs w:val="1"/>
                <w:color w:val="auto"/>
                <w:w w:val="98"/>
              </w:rPr>
              <w:t>January 1,</w:t>
            </w:r>
          </w:p>
        </w:tc>
        <w:tc>
          <w:tcPr>
            <w:tcW w:w="1120" w:type="dxa"/>
            <w:vAlign w:val="bottom"/>
            <w:tcBorders>
              <w:top w:val="single" w:sz="8" w:color="auto"/>
            </w:tcBorders>
          </w:tcPr>
          <w:p>
            <w:pPr>
              <w:spacing w:after="0"/>
              <w:rPr>
                <w:sz w:val="12"/>
                <w:szCs w:val="12"/>
                <w:color w:val="auto"/>
              </w:rPr>
            </w:pPr>
          </w:p>
        </w:tc>
      </w:tr>
      <w:tr>
        <w:trPr>
          <w:trHeight w:val="162"/>
        </w:trPr>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2018 to</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Year Ended</w:t>
            </w:r>
          </w:p>
        </w:tc>
      </w:tr>
      <w:tr>
        <w:trPr>
          <w:trHeight w:val="162"/>
        </w:trPr>
        <w:tc>
          <w:tcPr>
            <w:tcW w:w="104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September 30,</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December 31,</w:t>
            </w:r>
          </w:p>
        </w:tc>
      </w:tr>
      <w:tr>
        <w:trPr>
          <w:trHeight w:val="186"/>
        </w:trPr>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r>
    </w:tbl>
    <w:p>
      <w:pPr>
        <w:spacing w:after="0" w:line="30" w:lineRule="exact"/>
        <w:rPr>
          <w:sz w:val="20"/>
          <w:szCs w:val="20"/>
          <w:color w:val="auto"/>
        </w:rPr>
      </w:pPr>
    </w:p>
    <w:p>
      <w:pPr>
        <w:sectPr>
          <w:pgSz w:w="11900" w:h="16838" w:orient="portrait"/>
          <w:cols w:equalWidth="0" w:num="2">
            <w:col w:w="7060" w:space="260"/>
            <w:col w:w="2819"/>
          </w:cols>
          <w:pgMar w:left="320" w:top="132" w:right="1440" w:bottom="1440" w:gutter="0" w:footer="0" w:header="0"/>
          <w:type w:val="continuous"/>
        </w:sectPr>
      </w:pPr>
    </w:p>
    <w:p>
      <w:pPr>
        <w:ind w:left="5600"/>
        <w:spacing w:after="0"/>
        <w:rPr>
          <w:sz w:val="20"/>
          <w:szCs w:val="20"/>
          <w:color w:val="auto"/>
        </w:rPr>
      </w:pPr>
      <w:r>
        <w:rPr>
          <w:rFonts w:ascii="Arial" w:cs="Arial" w:eastAsia="Arial" w:hAnsi="Arial"/>
          <w:sz w:val="13"/>
          <w:szCs w:val="13"/>
          <w:b w:val="1"/>
          <w:bCs w:val="1"/>
          <w:color w:val="auto"/>
        </w:rPr>
        <w:t>(in thousands except share and per share amounts)</w:t>
      </w:r>
    </w:p>
    <w:p>
      <w:pPr>
        <w:sectPr>
          <w:pgSz w:w="11900" w:h="16838" w:orient="portrait"/>
          <w:cols w:equalWidth="0" w:num="1">
            <w:col w:w="10139"/>
          </w:cols>
          <w:pgMar w:left="320" w:top="132" w:right="1440" w:bottom="1440" w:gutter="0" w:footer="0" w:header="0"/>
          <w:type w:val="continuous"/>
        </w:sectPr>
      </w:pPr>
    </w:p>
    <w:tbl>
      <w:tblPr>
        <w:tblLayout w:type="fixed"/>
        <w:tblInd w:w="2000" w:type="dxa"/>
        <w:tblCellMar>
          <w:top w:w="0" w:type="dxa"/>
          <w:left w:w="0" w:type="dxa"/>
          <w:bottom w:w="0" w:type="dxa"/>
          <w:right w:w="0" w:type="dxa"/>
        </w:tblCellMar>
      </w:tblPr>
      <w:tr>
        <w:trPr>
          <w:trHeight w:val="224"/>
        </w:trPr>
        <w:tc>
          <w:tcPr>
            <w:tcW w:w="2980" w:type="dxa"/>
            <w:vAlign w:val="bottom"/>
            <w:tcBorders>
              <w:right w:val="single" w:sz="8" w:color="CCEEFF"/>
            </w:tcBorders>
            <w:shd w:val="clear" w:color="auto" w:fill="CCEEFF"/>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line="224" w:lineRule="exact"/>
              <w:rPr>
                <w:sz w:val="20"/>
                <w:szCs w:val="20"/>
                <w:color w:val="auto"/>
              </w:rPr>
            </w:pPr>
            <w:r>
              <w:rPr>
                <w:rFonts w:ascii="Arial" w:cs="Arial" w:eastAsia="Arial" w:hAnsi="Arial"/>
                <w:sz w:val="17"/>
                <w:szCs w:val="17"/>
                <w:color w:val="auto"/>
              </w:rPr>
              <w:t>0.19</w:t>
            </w:r>
            <w:r>
              <w:rPr>
                <w:rFonts w:ascii="Arial" w:cs="Arial" w:eastAsia="Arial" w:hAnsi="Arial"/>
                <w:sz w:val="25"/>
                <w:szCs w:val="25"/>
                <w:color w:val="auto"/>
                <w:vertAlign w:val="superscript"/>
              </w:rPr>
              <w:t>(1)</w:t>
            </w: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80" w:type="dxa"/>
            <w:vAlign w:val="bottom"/>
            <w:tcBorders>
              <w:right w:val="single" w:sz="8" w:color="CCEEFF"/>
            </w:tcBorders>
            <w:shd w:val="clear" w:color="auto" w:fill="CCEEFF"/>
          </w:tcPr>
          <w:p>
            <w:pPr>
              <w:spacing w:after="0" w:line="256" w:lineRule="exact"/>
              <w:rPr>
                <w:sz w:val="20"/>
                <w:szCs w:val="20"/>
                <w:color w:val="auto"/>
              </w:rPr>
            </w:pPr>
            <w:r>
              <w:rPr>
                <w:rFonts w:ascii="Arial" w:cs="Arial" w:eastAsia="Arial" w:hAnsi="Arial"/>
                <w:sz w:val="18"/>
                <w:szCs w:val="18"/>
                <w:color w:val="auto"/>
              </w:rPr>
              <w:t>Earnings per diluted share</w:t>
            </w:r>
            <w:r>
              <w:rPr>
                <w:rFonts w:ascii="Arial" w:cs="Arial" w:eastAsia="Arial" w:hAnsi="Arial"/>
                <w:sz w:val="26"/>
                <w:szCs w:val="26"/>
                <w:color w:val="auto"/>
                <w:vertAlign w:val="superscript"/>
              </w:rPr>
              <w:t>(a)</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spacing w:after="0" w:line="256" w:lineRule="exact"/>
              <w:rPr>
                <w:sz w:val="20"/>
                <w:szCs w:val="20"/>
                <w:color w:val="auto"/>
              </w:rPr>
            </w:pPr>
            <w:r>
              <w:rPr>
                <w:rFonts w:ascii="Arial" w:cs="Arial" w:eastAsia="Arial" w:hAnsi="Arial"/>
                <w:sz w:val="18"/>
                <w:szCs w:val="18"/>
                <w:color w:val="auto"/>
              </w:rPr>
              <w:t>0.54</w:t>
            </w:r>
            <w:r>
              <w:rPr>
                <w:rFonts w:ascii="Arial" w:cs="Arial" w:eastAsia="Arial" w:hAnsi="Arial"/>
                <w:sz w:val="26"/>
                <w:szCs w:val="26"/>
                <w:color w:val="auto"/>
                <w:vertAlign w:val="superscript"/>
              </w:rPr>
              <w:t>(2)</w:t>
            </w:r>
          </w:p>
        </w:tc>
        <w:tc>
          <w:tcPr>
            <w:tcW w:w="2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line="256" w:lineRule="exact"/>
              <w:rPr>
                <w:sz w:val="20"/>
                <w:szCs w:val="20"/>
                <w:color w:val="auto"/>
              </w:rPr>
            </w:pPr>
            <w:r>
              <w:rPr>
                <w:rFonts w:ascii="Arial" w:cs="Arial" w:eastAsia="Arial" w:hAnsi="Arial"/>
                <w:sz w:val="18"/>
                <w:szCs w:val="18"/>
                <w:color w:val="auto"/>
              </w:rPr>
              <w:t>0.13</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spacing w:after="0" w:line="172" w:lineRule="exact"/>
              <w:rPr>
                <w:sz w:val="20"/>
                <w:szCs w:val="20"/>
                <w:color w:val="auto"/>
              </w:rPr>
            </w:pPr>
            <w:r>
              <w:rPr>
                <w:rFonts w:ascii="Arial" w:cs="Arial" w:eastAsia="Arial" w:hAnsi="Arial"/>
                <w:sz w:val="18"/>
                <w:szCs w:val="18"/>
                <w:color w:val="auto"/>
              </w:rPr>
              <w:t>Pre-IPO net income attributable to</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9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6"/>
        </w:trPr>
        <w:tc>
          <w:tcPr>
            <w:tcW w:w="2980" w:type="dxa"/>
            <w:vAlign w:val="bottom"/>
          </w:tcPr>
          <w:p>
            <w:pPr>
              <w:ind w:left="180"/>
              <w:spacing w:after="0" w:line="266" w:lineRule="exact"/>
              <w:rPr>
                <w:sz w:val="20"/>
                <w:szCs w:val="20"/>
                <w:color w:val="auto"/>
              </w:rPr>
            </w:pPr>
            <w:r>
              <w:rPr>
                <w:rFonts w:ascii="Arial" w:cs="Arial" w:eastAsia="Arial" w:hAnsi="Arial"/>
                <w:sz w:val="18"/>
                <w:szCs w:val="18"/>
                <w:color w:val="auto"/>
              </w:rPr>
              <w:t>Tradeweb Markets LLC</w:t>
            </w:r>
            <w:r>
              <w:rPr>
                <w:rFonts w:ascii="Arial" w:cs="Arial" w:eastAsia="Arial" w:hAnsi="Arial"/>
                <w:sz w:val="26"/>
                <w:szCs w:val="26"/>
                <w:color w:val="auto"/>
                <w:vertAlign w:val="superscript"/>
              </w:rPr>
              <w:t>(a)</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spacing w:after="0" w:line="266" w:lineRule="exact"/>
              <w:rPr>
                <w:sz w:val="20"/>
                <w:szCs w:val="20"/>
                <w:color w:val="auto"/>
              </w:rPr>
            </w:pPr>
            <w:r>
              <w:rPr>
                <w:rFonts w:ascii="Arial" w:cs="Arial" w:eastAsia="Arial" w:hAnsi="Arial"/>
                <w:sz w:val="18"/>
                <w:szCs w:val="18"/>
                <w:color w:val="auto"/>
                <w:w w:val="97"/>
              </w:rPr>
              <w:t>42,352</w:t>
            </w:r>
            <w:r>
              <w:rPr>
                <w:rFonts w:ascii="Arial" w:cs="Arial" w:eastAsia="Arial" w:hAnsi="Arial"/>
                <w:sz w:val="26"/>
                <w:szCs w:val="26"/>
                <w:color w:val="auto"/>
                <w:w w:val="97"/>
                <w:vertAlign w:val="superscript"/>
              </w:rPr>
              <w:t>(1)</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spacing w:after="0" w:line="266" w:lineRule="exact"/>
              <w:rPr>
                <w:sz w:val="20"/>
                <w:szCs w:val="20"/>
                <w:color w:val="auto"/>
              </w:rPr>
            </w:pPr>
            <w:r>
              <w:rPr>
                <w:rFonts w:ascii="Arial" w:cs="Arial" w:eastAsia="Arial" w:hAnsi="Arial"/>
                <w:sz w:val="18"/>
                <w:szCs w:val="18"/>
                <w:color w:val="auto"/>
                <w:w w:val="91"/>
              </w:rPr>
              <w:t>29,307</w:t>
            </w:r>
            <w:r>
              <w:rPr>
                <w:rFonts w:ascii="Arial" w:cs="Arial" w:eastAsia="Arial" w:hAnsi="Arial"/>
                <w:sz w:val="26"/>
                <w:szCs w:val="26"/>
                <w:color w:val="auto"/>
                <w:w w:val="91"/>
                <w:vertAlign w:val="superscript"/>
              </w:rPr>
              <w:t>(1)</w:t>
            </w:r>
          </w:p>
        </w:tc>
        <w:tc>
          <w:tcPr>
            <w:tcW w:w="0" w:type="dxa"/>
            <w:vAlign w:val="bottom"/>
          </w:tcPr>
          <w:p>
            <w:pPr>
              <w:spacing w:after="0"/>
              <w:rPr>
                <w:sz w:val="1"/>
                <w:szCs w:val="1"/>
                <w:color w:val="auto"/>
              </w:rPr>
            </w:pPr>
          </w:p>
        </w:tc>
      </w:tr>
      <w:tr>
        <w:trPr>
          <w:trHeight w:val="193"/>
        </w:trPr>
        <w:tc>
          <w:tcPr>
            <w:tcW w:w="2980" w:type="dxa"/>
            <w:vAlign w:val="bottom"/>
          </w:tcPr>
          <w:p>
            <w:pPr>
              <w:spacing w:after="0" w:line="193" w:lineRule="exact"/>
              <w:rPr>
                <w:sz w:val="20"/>
                <w:szCs w:val="20"/>
                <w:color w:val="auto"/>
              </w:rPr>
            </w:pPr>
            <w:r>
              <w:rPr>
                <w:rFonts w:ascii="Arial" w:cs="Arial" w:eastAsia="Arial" w:hAnsi="Arial"/>
                <w:sz w:val="18"/>
                <w:szCs w:val="18"/>
                <w:color w:val="auto"/>
              </w:rPr>
              <w:t>Add: Net income attributable to</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980" w:type="dxa"/>
            <w:vAlign w:val="bottom"/>
          </w:tcPr>
          <w:p>
            <w:pPr>
              <w:ind w:left="180"/>
              <w:spacing w:after="0" w:line="266" w:lineRule="exact"/>
              <w:rPr>
                <w:sz w:val="20"/>
                <w:szCs w:val="20"/>
                <w:color w:val="auto"/>
              </w:rPr>
            </w:pPr>
            <w:r>
              <w:rPr>
                <w:rFonts w:ascii="Arial" w:cs="Arial" w:eastAsia="Arial" w:hAnsi="Arial"/>
                <w:sz w:val="18"/>
                <w:szCs w:val="18"/>
                <w:color w:val="auto"/>
              </w:rPr>
              <w:t>Tradeweb Markets Inc.</w:t>
            </w:r>
            <w:r>
              <w:rPr>
                <w:rFonts w:ascii="Arial" w:cs="Arial" w:eastAsia="Arial" w:hAnsi="Arial"/>
                <w:sz w:val="26"/>
                <w:szCs w:val="26"/>
                <w:color w:val="auto"/>
                <w:vertAlign w:val="superscript"/>
              </w:rPr>
              <w:t>(a)</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spacing w:after="0" w:line="266" w:lineRule="exact"/>
              <w:rPr>
                <w:sz w:val="20"/>
                <w:szCs w:val="20"/>
                <w:color w:val="auto"/>
              </w:rPr>
            </w:pPr>
            <w:r>
              <w:rPr>
                <w:rFonts w:ascii="Arial" w:cs="Arial" w:eastAsia="Arial" w:hAnsi="Arial"/>
                <w:sz w:val="18"/>
                <w:szCs w:val="18"/>
                <w:color w:val="auto"/>
                <w:w w:val="97"/>
              </w:rPr>
              <w:t>83,769</w:t>
            </w:r>
            <w:r>
              <w:rPr>
                <w:rFonts w:ascii="Arial" w:cs="Arial" w:eastAsia="Arial" w:hAnsi="Arial"/>
                <w:sz w:val="26"/>
                <w:szCs w:val="26"/>
                <w:color w:val="auto"/>
                <w:w w:val="97"/>
                <w:vertAlign w:val="superscript"/>
              </w:rPr>
              <w:t>(2)</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2980" w:type="dxa"/>
            <w:vAlign w:val="bottom"/>
          </w:tcPr>
          <w:p>
            <w:pPr>
              <w:spacing w:after="0" w:line="193" w:lineRule="exact"/>
              <w:rPr>
                <w:sz w:val="20"/>
                <w:szCs w:val="20"/>
                <w:color w:val="auto"/>
              </w:rPr>
            </w:pPr>
            <w:r>
              <w:rPr>
                <w:rFonts w:ascii="Arial" w:cs="Arial" w:eastAsia="Arial" w:hAnsi="Arial"/>
                <w:sz w:val="18"/>
                <w:szCs w:val="18"/>
                <w:color w:val="auto"/>
              </w:rPr>
              <w:t>Add: Net income attributable to non-</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980" w:type="dxa"/>
            <w:vAlign w:val="bottom"/>
          </w:tcPr>
          <w:p>
            <w:pPr>
              <w:ind w:left="180"/>
              <w:spacing w:after="0" w:line="267" w:lineRule="exact"/>
              <w:rPr>
                <w:sz w:val="20"/>
                <w:szCs w:val="20"/>
                <w:color w:val="auto"/>
              </w:rPr>
            </w:pPr>
            <w:r>
              <w:rPr>
                <w:rFonts w:ascii="Arial" w:cs="Arial" w:eastAsia="Arial" w:hAnsi="Arial"/>
                <w:sz w:val="18"/>
                <w:szCs w:val="18"/>
                <w:color w:val="auto"/>
              </w:rPr>
              <w:t>controlling interests</w:t>
            </w:r>
            <w:r>
              <w:rPr>
                <w:rFonts w:ascii="Arial" w:cs="Arial" w:eastAsia="Arial" w:hAnsi="Arial"/>
                <w:sz w:val="26"/>
                <w:szCs w:val="26"/>
                <w:color w:val="auto"/>
                <w:vertAlign w:val="superscript"/>
              </w:rPr>
              <w:t>(a)(b)</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spacing w:after="0" w:line="267" w:lineRule="exact"/>
              <w:rPr>
                <w:sz w:val="20"/>
                <w:szCs w:val="20"/>
                <w:color w:val="auto"/>
              </w:rPr>
            </w:pPr>
            <w:r>
              <w:rPr>
                <w:rFonts w:ascii="Arial" w:cs="Arial" w:eastAsia="Arial" w:hAnsi="Arial"/>
                <w:sz w:val="18"/>
                <w:szCs w:val="18"/>
                <w:color w:val="auto"/>
                <w:w w:val="97"/>
              </w:rPr>
              <w:t>46,903</w:t>
            </w:r>
            <w:r>
              <w:rPr>
                <w:rFonts w:ascii="Arial" w:cs="Arial" w:eastAsia="Arial" w:hAnsi="Arial"/>
                <w:sz w:val="26"/>
                <w:szCs w:val="26"/>
                <w:color w:val="auto"/>
                <w:w w:val="97"/>
                <w:vertAlign w:val="superscript"/>
              </w:rPr>
              <w:t>(2)</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98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173,024</w:t>
            </w:r>
          </w:p>
        </w:tc>
        <w:tc>
          <w:tcPr>
            <w:tcW w:w="400" w:type="dxa"/>
            <w:vAlign w:val="bottom"/>
            <w:gridSpan w:val="2"/>
          </w:tcPr>
          <w:p>
            <w:pPr>
              <w:spacing w:after="0"/>
              <w:rPr>
                <w:sz w:val="20"/>
                <w:szCs w:val="20"/>
                <w:color w:val="auto"/>
              </w:rPr>
            </w:pPr>
            <w:r>
              <w:rPr>
                <w:rFonts w:ascii="Arial" w:cs="Arial" w:eastAsia="Arial" w:hAnsi="Arial"/>
                <w:sz w:val="13"/>
                <w:szCs w:val="13"/>
                <w:color w:val="auto"/>
              </w:rPr>
              <w:t>(1)(2)</w:t>
            </w: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29,307</w:t>
            </w:r>
          </w:p>
        </w:tc>
        <w:tc>
          <w:tcPr>
            <w:tcW w:w="160" w:type="dxa"/>
            <w:vAlign w:val="bottom"/>
          </w:tcPr>
          <w:p>
            <w:pPr>
              <w:jc w:val="right"/>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52,302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2980" w:type="dxa"/>
            <w:vAlign w:val="bottom"/>
          </w:tcPr>
          <w:p>
            <w:pPr>
              <w:spacing w:after="0" w:line="193" w:lineRule="exact"/>
              <w:rPr>
                <w:sz w:val="20"/>
                <w:szCs w:val="20"/>
                <w:color w:val="auto"/>
              </w:rPr>
            </w:pPr>
            <w:r>
              <w:rPr>
                <w:rFonts w:ascii="Arial" w:cs="Arial" w:eastAsia="Arial" w:hAnsi="Arial"/>
                <w:sz w:val="18"/>
                <w:szCs w:val="18"/>
                <w:color w:val="auto"/>
              </w:rPr>
              <w:t>Acquisition and Refinitiv Transaction</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line="243" w:lineRule="exact"/>
              <w:rPr>
                <w:sz w:val="20"/>
                <w:szCs w:val="20"/>
                <w:color w:val="auto"/>
              </w:rPr>
            </w:pPr>
            <w:r>
              <w:rPr>
                <w:rFonts w:ascii="Arial" w:cs="Arial" w:eastAsia="Arial" w:hAnsi="Arial"/>
                <w:sz w:val="18"/>
                <w:szCs w:val="18"/>
                <w:color w:val="auto"/>
              </w:rPr>
              <w:t>related D&amp;A</w:t>
            </w:r>
            <w:r>
              <w:rPr>
                <w:rFonts w:ascii="Arial" w:cs="Arial" w:eastAsia="Arial" w:hAnsi="Arial"/>
                <w:sz w:val="26"/>
                <w:szCs w:val="26"/>
                <w:color w:val="auto"/>
                <w:vertAlign w:val="superscript"/>
              </w:rPr>
              <w:t>(c)</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97,565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22,413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980" w:type="dxa"/>
            <w:vAlign w:val="bottom"/>
          </w:tcPr>
          <w:p>
            <w:pPr>
              <w:spacing w:after="0" w:line="266" w:lineRule="exact"/>
              <w:rPr>
                <w:sz w:val="20"/>
                <w:szCs w:val="20"/>
                <w:color w:val="auto"/>
              </w:rPr>
            </w:pPr>
            <w:r>
              <w:rPr>
                <w:rFonts w:ascii="Arial" w:cs="Arial" w:eastAsia="Arial" w:hAnsi="Arial"/>
                <w:sz w:val="18"/>
                <w:szCs w:val="18"/>
                <w:color w:val="auto"/>
                <w:w w:val="94"/>
              </w:rPr>
              <w:t>Stock-based compensation expense</w:t>
            </w:r>
            <w:r>
              <w:rPr>
                <w:rFonts w:ascii="Arial" w:cs="Arial" w:eastAsia="Arial" w:hAnsi="Arial"/>
                <w:sz w:val="26"/>
                <w:szCs w:val="26"/>
                <w:color w:val="auto"/>
                <w:w w:val="94"/>
                <w:vertAlign w:val="superscript"/>
              </w:rPr>
              <w:t>(d)</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25,098</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w w:val="99"/>
              </w:rPr>
              <w:t>Unrealized foreign exchange (gains)/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80"/>
              <w:spacing w:after="0"/>
              <w:rPr>
                <w:sz w:val="20"/>
                <w:szCs w:val="20"/>
                <w:color w:val="auto"/>
              </w:rPr>
            </w:pPr>
            <w:r>
              <w:rPr>
                <w:rFonts w:ascii="Arial" w:cs="Arial" w:eastAsia="Arial" w:hAnsi="Arial"/>
                <w:sz w:val="18"/>
                <w:szCs w:val="18"/>
                <w:color w:val="auto"/>
              </w:rPr>
              <w:t>losses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77"/>
              <w:spacing w:after="0"/>
              <w:rPr>
                <w:sz w:val="20"/>
                <w:szCs w:val="20"/>
                <w:color w:val="auto"/>
              </w:rPr>
            </w:pPr>
            <w:r>
              <w:rPr>
                <w:rFonts w:ascii="Arial" w:cs="Arial" w:eastAsia="Arial" w:hAnsi="Arial"/>
                <w:sz w:val="18"/>
                <w:szCs w:val="18"/>
                <w:color w:val="auto"/>
              </w:rPr>
              <w:t>(2,310)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980" w:type="dxa"/>
            <w:vAlign w:val="bottom"/>
          </w:tcPr>
          <w:p>
            <w:pPr>
              <w:spacing w:after="0" w:line="193" w:lineRule="exact"/>
              <w:rPr>
                <w:sz w:val="20"/>
                <w:szCs w:val="20"/>
                <w:color w:val="auto"/>
              </w:rPr>
            </w:pPr>
            <w:r>
              <w:rPr>
                <w:rFonts w:ascii="Arial" w:cs="Arial" w:eastAsia="Arial" w:hAnsi="Arial"/>
                <w:sz w:val="18"/>
                <w:szCs w:val="18"/>
                <w:color w:val="auto"/>
              </w:rPr>
              <w:t>(Gain)/loss from revaluation of</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980" w:type="dxa"/>
            <w:vAlign w:val="bottom"/>
          </w:tcPr>
          <w:p>
            <w:pPr>
              <w:ind w:left="180"/>
              <w:spacing w:after="0" w:line="266" w:lineRule="exact"/>
              <w:rPr>
                <w:sz w:val="20"/>
                <w:szCs w:val="20"/>
                <w:color w:val="auto"/>
              </w:rPr>
            </w:pPr>
            <w:r>
              <w:rPr>
                <w:rFonts w:ascii="Arial" w:cs="Arial" w:eastAsia="Arial" w:hAnsi="Arial"/>
                <w:sz w:val="18"/>
                <w:szCs w:val="18"/>
                <w:color w:val="auto"/>
              </w:rPr>
              <w:t>foreign denominated cash</w:t>
            </w:r>
            <w:r>
              <w:rPr>
                <w:rFonts w:ascii="Arial" w:cs="Arial" w:eastAsia="Arial" w:hAnsi="Arial"/>
                <w:sz w:val="26"/>
                <w:szCs w:val="26"/>
                <w:color w:val="auto"/>
                <w:vertAlign w:val="superscript"/>
              </w:rPr>
              <w:t>(e)</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1,225</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2980" w:type="dxa"/>
            <w:vAlign w:val="bottom"/>
          </w:tcPr>
          <w:p>
            <w:pPr>
              <w:spacing w:after="0" w:line="193" w:lineRule="exact"/>
              <w:rPr>
                <w:sz w:val="20"/>
                <w:szCs w:val="20"/>
                <w:color w:val="auto"/>
              </w:rPr>
            </w:pPr>
            <w:r>
              <w:rPr>
                <w:rFonts w:ascii="Arial" w:cs="Arial" w:eastAsia="Arial" w:hAnsi="Arial"/>
                <w:sz w:val="18"/>
                <w:szCs w:val="18"/>
                <w:color w:val="auto"/>
              </w:rPr>
              <w:t>Tax receivable agreement liability</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980" w:type="dxa"/>
            <w:vAlign w:val="bottom"/>
          </w:tcPr>
          <w:p>
            <w:pPr>
              <w:ind w:left="180"/>
              <w:spacing w:after="0" w:line="267" w:lineRule="exact"/>
              <w:rPr>
                <w:sz w:val="20"/>
                <w:szCs w:val="20"/>
                <w:color w:val="auto"/>
              </w:rPr>
            </w:pPr>
            <w:r>
              <w:rPr>
                <w:rFonts w:ascii="Arial" w:cs="Arial" w:eastAsia="Arial" w:hAnsi="Arial"/>
                <w:sz w:val="18"/>
                <w:szCs w:val="18"/>
                <w:color w:val="auto"/>
              </w:rPr>
              <w:t>adjustment</w:t>
            </w:r>
            <w:r>
              <w:rPr>
                <w:rFonts w:ascii="Arial" w:cs="Arial" w:eastAsia="Arial" w:hAnsi="Arial"/>
                <w:sz w:val="26"/>
                <w:szCs w:val="26"/>
                <w:color w:val="auto"/>
                <w:vertAlign w:val="superscript"/>
              </w:rPr>
              <w:t>(f)</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77"/>
              <w:spacing w:after="0"/>
              <w:rPr>
                <w:sz w:val="20"/>
                <w:szCs w:val="20"/>
                <w:color w:val="auto"/>
              </w:rPr>
            </w:pPr>
            <w:r>
              <w:rPr>
                <w:rFonts w:ascii="Arial" w:cs="Arial" w:eastAsia="Arial" w:hAnsi="Arial"/>
                <w:sz w:val="18"/>
                <w:szCs w:val="18"/>
                <w:color w:val="auto"/>
                <w:w w:val="95"/>
              </w:rPr>
              <w:t>(33,134)</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980" w:type="dxa"/>
            <w:vAlign w:val="bottom"/>
          </w:tcPr>
          <w:p>
            <w:pPr>
              <w:spacing w:after="0"/>
              <w:rPr>
                <w:sz w:val="20"/>
                <w:szCs w:val="20"/>
                <w:color w:val="auto"/>
              </w:rPr>
            </w:pPr>
            <w:r>
              <w:rPr>
                <w:rFonts w:ascii="Arial" w:cs="Arial" w:eastAsia="Arial" w:hAnsi="Arial"/>
                <w:sz w:val="18"/>
                <w:szCs w:val="18"/>
                <w:color w:val="auto"/>
              </w:rPr>
              <w:t>Adjusted Net Income before income</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80"/>
              <w:spacing w:after="0"/>
              <w:rPr>
                <w:sz w:val="20"/>
                <w:szCs w:val="20"/>
                <w:color w:val="auto"/>
              </w:rPr>
            </w:pPr>
            <w:r>
              <w:rPr>
                <w:rFonts w:ascii="Arial" w:cs="Arial" w:eastAsia="Arial" w:hAnsi="Arial"/>
                <w:sz w:val="18"/>
                <w:szCs w:val="18"/>
                <w:color w:val="auto"/>
              </w:rPr>
              <w:t>taxes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313,770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55,488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980" w:type="dxa"/>
            <w:vAlign w:val="bottom"/>
          </w:tcPr>
          <w:p>
            <w:pPr>
              <w:spacing w:after="0" w:line="256" w:lineRule="exact"/>
              <w:rPr>
                <w:sz w:val="20"/>
                <w:szCs w:val="20"/>
                <w:color w:val="auto"/>
              </w:rPr>
            </w:pPr>
            <w:r>
              <w:rPr>
                <w:rFonts w:ascii="Arial" w:cs="Arial" w:eastAsia="Arial" w:hAnsi="Arial"/>
                <w:sz w:val="18"/>
                <w:szCs w:val="18"/>
                <w:color w:val="auto"/>
              </w:rPr>
              <w:t>Adjusted income taxes</w:t>
            </w:r>
            <w:r>
              <w:rPr>
                <w:rFonts w:ascii="Arial" w:cs="Arial" w:eastAsia="Arial" w:hAnsi="Arial"/>
                <w:sz w:val="26"/>
                <w:szCs w:val="26"/>
                <w:color w:val="auto"/>
                <w:vertAlign w:val="superscript"/>
              </w:rPr>
              <w:t>(g)</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77"/>
              <w:spacing w:after="0"/>
              <w:rPr>
                <w:sz w:val="20"/>
                <w:szCs w:val="20"/>
                <w:color w:val="auto"/>
              </w:rPr>
            </w:pPr>
            <w:r>
              <w:rPr>
                <w:rFonts w:ascii="Arial" w:cs="Arial" w:eastAsia="Arial" w:hAnsi="Arial"/>
                <w:sz w:val="18"/>
                <w:szCs w:val="18"/>
                <w:color w:val="auto"/>
                <w:w w:val="95"/>
              </w:rPr>
              <w:t>(82,835)</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33"/>
              <w:spacing w:after="0"/>
              <w:rPr>
                <w:sz w:val="20"/>
                <w:szCs w:val="20"/>
                <w:color w:val="auto"/>
              </w:rPr>
            </w:pPr>
            <w:r>
              <w:rPr>
                <w:rFonts w:ascii="Arial" w:cs="Arial" w:eastAsia="Arial" w:hAnsi="Arial"/>
                <w:sz w:val="18"/>
                <w:szCs w:val="18"/>
                <w:color w:val="auto"/>
                <w:w w:val="89"/>
              </w:rPr>
              <w:t>(14,649)</w:t>
            </w:r>
          </w:p>
        </w:tc>
        <w:tc>
          <w:tcPr>
            <w:tcW w:w="0" w:type="dxa"/>
            <w:vAlign w:val="bottom"/>
          </w:tcPr>
          <w:p>
            <w:pPr>
              <w:spacing w:after="0"/>
              <w:rPr>
                <w:sz w:val="1"/>
                <w:szCs w:val="1"/>
                <w:color w:val="auto"/>
              </w:rPr>
            </w:pPr>
          </w:p>
        </w:tc>
      </w:tr>
      <w:tr>
        <w:trPr>
          <w:trHeight w:val="250"/>
        </w:trPr>
        <w:tc>
          <w:tcPr>
            <w:tcW w:w="2980" w:type="dxa"/>
            <w:vAlign w:val="bottom"/>
          </w:tcPr>
          <w:p>
            <w:pPr>
              <w:spacing w:after="0"/>
              <w:rPr>
                <w:sz w:val="20"/>
                <w:szCs w:val="20"/>
                <w:color w:val="auto"/>
              </w:rPr>
            </w:pPr>
            <w:r>
              <w:rPr>
                <w:rFonts w:ascii="Arial" w:cs="Arial" w:eastAsia="Arial" w:hAnsi="Arial"/>
                <w:sz w:val="18"/>
                <w:szCs w:val="18"/>
                <w:color w:val="auto"/>
              </w:rPr>
              <w:t>Adjusted Net Income</w:t>
            </w:r>
          </w:p>
        </w:tc>
        <w:tc>
          <w:tcPr>
            <w:tcW w:w="1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230,935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40,839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39" w:lineRule="exact"/>
              <w:rPr>
                <w:sz w:val="20"/>
                <w:szCs w:val="20"/>
                <w:color w:val="auto"/>
              </w:rPr>
            </w:pPr>
            <w:r>
              <w:rPr>
                <w:rFonts w:ascii="Arial" w:cs="Arial" w:eastAsia="Arial" w:hAnsi="Arial"/>
                <w:sz w:val="12"/>
                <w:szCs w:val="12"/>
                <w:color w:val="auto"/>
                <w:w w:val="91"/>
              </w:rPr>
              <w:t>(1)</w:t>
            </w:r>
            <w:r>
              <w:rPr>
                <w:rFonts w:ascii="Arial" w:cs="Arial" w:eastAsia="Arial" w:hAnsi="Arial"/>
                <w:sz w:val="27"/>
                <w:szCs w:val="27"/>
                <w:color w:val="auto"/>
                <w:w w:val="91"/>
                <w:vertAlign w:val="subscript"/>
              </w:rPr>
              <w:t>/</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9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0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99" w:lineRule="exact"/>
              <w:rPr>
                <w:sz w:val="20"/>
                <w:szCs w:val="20"/>
                <w:color w:val="auto"/>
              </w:rPr>
            </w:pPr>
            <w:r>
              <w:rPr>
                <w:rFonts w:ascii="Arial" w:cs="Arial" w:eastAsia="Arial" w:hAnsi="Arial"/>
                <w:sz w:val="18"/>
                <w:szCs w:val="18"/>
                <w:color w:val="auto"/>
              </w:rPr>
              <w:t>0.23</w:t>
            </w:r>
          </w:p>
        </w:tc>
        <w:tc>
          <w:tcPr>
            <w:tcW w:w="2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980" w:type="dxa"/>
            <w:vAlign w:val="bottom"/>
          </w:tcPr>
          <w:p>
            <w:pPr>
              <w:spacing w:after="0" w:line="267" w:lineRule="exact"/>
              <w:rPr>
                <w:sz w:val="20"/>
                <w:szCs w:val="20"/>
                <w:color w:val="auto"/>
              </w:rPr>
            </w:pPr>
            <w:r>
              <w:rPr>
                <w:rFonts w:ascii="Arial" w:cs="Arial" w:eastAsia="Arial" w:hAnsi="Arial"/>
                <w:sz w:val="18"/>
                <w:szCs w:val="18"/>
                <w:color w:val="auto"/>
              </w:rPr>
              <w:t>Adjusted Diluted EPS</w:t>
            </w:r>
            <w:r>
              <w:rPr>
                <w:rFonts w:ascii="Arial" w:cs="Arial" w:eastAsia="Arial" w:hAnsi="Arial"/>
                <w:sz w:val="26"/>
                <w:szCs w:val="26"/>
                <w:color w:val="auto"/>
                <w:vertAlign w:val="superscript"/>
              </w:rPr>
              <w:t>(a)(h)</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spacing w:after="0" w:line="267" w:lineRule="exact"/>
              <w:rPr>
                <w:sz w:val="20"/>
                <w:szCs w:val="20"/>
                <w:color w:val="auto"/>
              </w:rPr>
            </w:pPr>
            <w:r>
              <w:rPr>
                <w:rFonts w:ascii="Arial" w:cs="Arial" w:eastAsia="Arial" w:hAnsi="Arial"/>
                <w:sz w:val="18"/>
                <w:szCs w:val="18"/>
                <w:color w:val="auto"/>
              </w:rPr>
              <w:t>0.77</w:t>
            </w:r>
            <w:r>
              <w:rPr>
                <w:rFonts w:ascii="Arial" w:cs="Arial" w:eastAsia="Arial" w:hAnsi="Arial"/>
                <w:sz w:val="26"/>
                <w:szCs w:val="26"/>
                <w:color w:val="auto"/>
                <w:vertAlign w:val="superscript"/>
              </w:rPr>
              <w:t>(2)</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line="267" w:lineRule="exact"/>
              <w:rPr>
                <w:sz w:val="20"/>
                <w:szCs w:val="20"/>
                <w:color w:val="auto"/>
              </w:rPr>
            </w:pPr>
            <w:r>
              <w:rPr>
                <w:rFonts w:ascii="Arial" w:cs="Arial" w:eastAsia="Arial" w:hAnsi="Arial"/>
                <w:sz w:val="18"/>
                <w:szCs w:val="18"/>
                <w:color w:val="auto"/>
              </w:rPr>
              <w:t>0.18</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9"/>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33"/>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60</w:t>
            </w:r>
            <w:r>
              <w:rPr>
                <w:rFonts w:ascii="Arial" w:cs="Arial" w:eastAsia="Arial" w:hAnsi="Arial"/>
                <w:sz w:val="26"/>
                <w:szCs w:val="26"/>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39</w:t>
            </w:r>
            <w:r>
              <w:rPr>
                <w:rFonts w:ascii="Arial" w:cs="Arial" w:eastAsia="Arial" w:hAnsi="Arial"/>
                <w:sz w:val="26"/>
                <w:szCs w:val="26"/>
                <w:color w:val="auto"/>
                <w:vertAlign w:val="superscript"/>
              </w:rPr>
              <w:t>(1)</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84"/>
        </w:trPr>
        <w:tc>
          <w:tcPr>
            <w:tcW w:w="120" w:type="dxa"/>
            <w:vAlign w:val="bottom"/>
          </w:tcPr>
          <w:p>
            <w:pPr>
              <w:spacing w:after="0"/>
              <w:rPr>
                <w:sz w:val="24"/>
                <w:szCs w:val="24"/>
                <w:color w:val="auto"/>
              </w:rPr>
            </w:pPr>
          </w:p>
        </w:tc>
        <w:tc>
          <w:tcPr>
            <w:tcW w:w="1040" w:type="dxa"/>
            <w:vAlign w:val="bottom"/>
            <w:gridSpan w:val="2"/>
          </w:tcPr>
          <w:p>
            <w:pPr>
              <w:jc w:val="right"/>
              <w:ind w:right="233"/>
              <w:spacing w:after="0"/>
              <w:rPr>
                <w:sz w:val="20"/>
                <w:szCs w:val="20"/>
                <w:color w:val="auto"/>
              </w:rPr>
            </w:pPr>
            <w:r>
              <w:rPr>
                <w:rFonts w:ascii="Arial" w:cs="Arial" w:eastAsia="Arial" w:hAnsi="Arial"/>
                <w:sz w:val="18"/>
                <w:szCs w:val="18"/>
                <w:color w:val="auto"/>
                <w:w w:val="83"/>
              </w:rPr>
              <w:t>130,160</w:t>
            </w:r>
            <w:r>
              <w:rPr>
                <w:rFonts w:ascii="Arial" w:cs="Arial" w:eastAsia="Arial" w:hAnsi="Arial"/>
                <w:sz w:val="26"/>
                <w:szCs w:val="26"/>
                <w:color w:val="auto"/>
                <w:w w:val="83"/>
                <w:vertAlign w:val="superscript"/>
              </w:rPr>
              <w:t>(1)</w:t>
            </w:r>
          </w:p>
        </w:tc>
        <w:tc>
          <w:tcPr>
            <w:tcW w:w="14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9"/>
              </w:rPr>
              <w:t>83,648</w:t>
            </w:r>
            <w:r>
              <w:rPr>
                <w:rFonts w:ascii="Arial" w:cs="Arial" w:eastAsia="Arial" w:hAnsi="Arial"/>
                <w:sz w:val="26"/>
                <w:szCs w:val="26"/>
                <w:color w:val="auto"/>
                <w:w w:val="89"/>
                <w:vertAlign w:val="superscript"/>
              </w:rPr>
              <w:t>(1)</w:t>
            </w:r>
          </w:p>
        </w:tc>
      </w:tr>
      <w:tr>
        <w:trPr>
          <w:trHeight w:val="374"/>
        </w:trPr>
        <w:tc>
          <w:tcPr>
            <w:tcW w:w="120" w:type="dxa"/>
            <w:vAlign w:val="bottom"/>
          </w:tcPr>
          <w:p>
            <w:pPr>
              <w:spacing w:after="0"/>
              <w:rPr>
                <w:sz w:val="24"/>
                <w:szCs w:val="24"/>
                <w:color w:val="auto"/>
              </w:rPr>
            </w:pPr>
          </w:p>
        </w:tc>
        <w:tc>
          <w:tcPr>
            <w:tcW w:w="1040" w:type="dxa"/>
            <w:vAlign w:val="bottom"/>
            <w:gridSpan w:val="2"/>
          </w:tcPr>
          <w:p>
            <w:pPr>
              <w:jc w:val="right"/>
              <w:ind w:right="39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00" w:type="dxa"/>
            <w:vAlign w:val="bottom"/>
            <w:gridSpan w:val="3"/>
          </w:tcPr>
          <w:p>
            <w:pPr>
              <w:jc w:val="right"/>
              <w:ind w:right="93"/>
              <w:spacing w:after="0"/>
              <w:rPr>
                <w:sz w:val="20"/>
                <w:szCs w:val="20"/>
                <w:color w:val="auto"/>
              </w:rPr>
            </w:pPr>
            <w:r>
              <w:rPr>
                <w:rFonts w:ascii="Arial" w:cs="Arial" w:eastAsia="Arial" w:hAnsi="Arial"/>
                <w:sz w:val="18"/>
                <w:szCs w:val="18"/>
                <w:color w:val="auto"/>
              </w:rPr>
              <w:t>—</w:t>
            </w:r>
          </w:p>
        </w:tc>
      </w:tr>
      <w:tr>
        <w:trPr>
          <w:trHeight w:val="459"/>
        </w:trPr>
        <w:tc>
          <w:tcPr>
            <w:tcW w:w="120" w:type="dxa"/>
            <w:vAlign w:val="bottom"/>
          </w:tcPr>
          <w:p>
            <w:pPr>
              <w:spacing w:after="0"/>
              <w:rPr>
                <w:sz w:val="24"/>
                <w:szCs w:val="24"/>
                <w:color w:val="auto"/>
              </w:rPr>
            </w:pPr>
          </w:p>
        </w:tc>
        <w:tc>
          <w:tcPr>
            <w:tcW w:w="1040" w:type="dxa"/>
            <w:vAlign w:val="bottom"/>
            <w:gridSpan w:val="2"/>
          </w:tcPr>
          <w:p>
            <w:pPr>
              <w:jc w:val="right"/>
              <w:ind w:right="39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00" w:type="dxa"/>
            <w:vAlign w:val="bottom"/>
            <w:gridSpan w:val="3"/>
          </w:tcPr>
          <w:p>
            <w:pPr>
              <w:jc w:val="right"/>
              <w:ind w:right="93"/>
              <w:spacing w:after="0"/>
              <w:rPr>
                <w:sz w:val="20"/>
                <w:szCs w:val="20"/>
                <w:color w:val="auto"/>
              </w:rPr>
            </w:pPr>
            <w:r>
              <w:rPr>
                <w:rFonts w:ascii="Arial" w:cs="Arial" w:eastAsia="Arial" w:hAnsi="Arial"/>
                <w:sz w:val="18"/>
                <w:szCs w:val="18"/>
                <w:color w:val="auto"/>
              </w:rPr>
              <w:t>—</w:t>
            </w:r>
          </w:p>
        </w:tc>
      </w:tr>
      <w:tr>
        <w:trPr>
          <w:trHeight w:val="249"/>
        </w:trPr>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130,160</w:t>
            </w:r>
          </w:p>
        </w:tc>
        <w:tc>
          <w:tcPr>
            <w:tcW w:w="460" w:type="dxa"/>
            <w:vAlign w:val="bottom"/>
          </w:tcPr>
          <w:p>
            <w:pPr>
              <w:jc w:val="right"/>
              <w:ind w:right="233"/>
              <w:spacing w:after="0"/>
              <w:rPr>
                <w:sz w:val="20"/>
                <w:szCs w:val="20"/>
                <w:color w:val="auto"/>
              </w:rPr>
            </w:pPr>
            <w:r>
              <w:rPr>
                <w:rFonts w:ascii="Arial" w:cs="Arial" w:eastAsia="Arial" w:hAnsi="Arial"/>
                <w:sz w:val="13"/>
                <w:szCs w:val="13"/>
                <w:color w:val="auto"/>
                <w:w w:val="87"/>
              </w:rPr>
              <w:t>(1)</w:t>
            </w:r>
          </w:p>
        </w:tc>
        <w:tc>
          <w:tcPr>
            <w:tcW w:w="1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83,648</w:t>
            </w:r>
          </w:p>
        </w:tc>
        <w:tc>
          <w:tcPr>
            <w:tcW w:w="20" w:type="dxa"/>
            <w:vAlign w:val="bottom"/>
            <w:tcBorders>
              <w:top w:val="single" w:sz="8" w:color="auto"/>
            </w:tcBorders>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75"/>
              </w:rPr>
              <w:t>(1)</w:t>
            </w:r>
          </w:p>
        </w:tc>
      </w:tr>
      <w:tr>
        <w:trPr>
          <w:trHeight w:val="229"/>
        </w:trPr>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11,900</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6,129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26,830</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58,520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19,576</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31,236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1040" w:type="dxa"/>
            <w:vAlign w:val="bottom"/>
            <w:gridSpan w:val="2"/>
          </w:tcPr>
          <w:p>
            <w:pPr>
              <w:jc w:val="right"/>
              <w:ind w:right="39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00" w:type="dxa"/>
            <w:vAlign w:val="bottom"/>
            <w:gridSpan w:val="3"/>
          </w:tcPr>
          <w:p>
            <w:pPr>
              <w:jc w:val="right"/>
              <w:ind w:right="93"/>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left="1520" w:hanging="1142"/>
        <w:spacing w:after="0"/>
        <w:tabs>
          <w:tab w:leader="none" w:pos="1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(364)</w:t>
      </w:r>
    </w:p>
    <w:p>
      <w:pPr>
        <w:spacing w:after="0" w:line="252" w:lineRule="exact"/>
        <w:rPr>
          <w:sz w:val="20"/>
          <w:szCs w:val="20"/>
          <w:color w:val="auto"/>
        </w:rPr>
      </w:pPr>
    </w:p>
    <w:p>
      <w:pPr>
        <w:ind w:left="1520" w:hanging="1142"/>
        <w:spacing w:after="0"/>
        <w:tabs>
          <w:tab w:leader="none" w:pos="1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(678)</w:t>
      </w:r>
    </w:p>
    <w:p>
      <w:pPr>
        <w:spacing w:after="0" w:line="252"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186,585</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178,491</w:t>
            </w:r>
          </w:p>
        </w:tc>
        <w:tc>
          <w:tcPr>
            <w:tcW w:w="160" w:type="dxa"/>
            <w:vAlign w:val="bottom"/>
          </w:tcPr>
          <w:p>
            <w:pPr>
              <w:spacing w:after="0"/>
              <w:rPr>
                <w:sz w:val="20"/>
                <w:szCs w:val="20"/>
                <w:color w:val="auto"/>
              </w:rPr>
            </w:pPr>
          </w:p>
        </w:tc>
      </w:tr>
      <w:tr>
        <w:trPr>
          <w:trHeight w:val="256"/>
        </w:trPr>
        <w:tc>
          <w:tcPr>
            <w:tcW w:w="120" w:type="dxa"/>
            <w:vAlign w:val="bottom"/>
          </w:tcPr>
          <w:p>
            <w:pPr>
              <w:spacing w:after="0"/>
              <w:rPr>
                <w:sz w:val="22"/>
                <w:szCs w:val="22"/>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(49,258)</w:t>
            </w:r>
          </w:p>
        </w:tc>
        <w:tc>
          <w:tcPr>
            <w:tcW w:w="1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(47,122)</w:t>
            </w:r>
          </w:p>
        </w:tc>
      </w:tr>
      <w:tr>
        <w:trPr>
          <w:trHeight w:val="250"/>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137,327</w:t>
            </w:r>
          </w:p>
        </w:tc>
        <w:tc>
          <w:tcPr>
            <w:tcW w:w="4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131,369</w:t>
            </w:r>
          </w:p>
        </w:tc>
        <w:tc>
          <w:tcPr>
            <w:tcW w:w="160" w:type="dxa"/>
            <w:vAlign w:val="bottom"/>
          </w:tcPr>
          <w:p>
            <w:pPr>
              <w:spacing w:after="0"/>
              <w:rPr>
                <w:sz w:val="21"/>
                <w:szCs w:val="2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66"/>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64</w:t>
            </w:r>
            <w:r>
              <w:rPr>
                <w:rFonts w:ascii="Arial" w:cs="Arial" w:eastAsia="Arial" w:hAnsi="Arial"/>
                <w:sz w:val="26"/>
                <w:szCs w:val="26"/>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62</w:t>
            </w:r>
            <w:r>
              <w:rPr>
                <w:rFonts w:ascii="Arial" w:cs="Arial" w:eastAsia="Arial" w:hAnsi="Arial"/>
                <w:sz w:val="26"/>
                <w:szCs w:val="26"/>
                <w:color w:val="auto"/>
                <w:vertAlign w:val="superscript"/>
              </w:rPr>
              <w:t>(1)</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80" w:space="360"/>
            <w:col w:w="269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360" w:right="659" w:hanging="354"/>
        <w:spacing w:after="0" w:line="263" w:lineRule="auto"/>
        <w:tabs>
          <w:tab w:leader="none" w:pos="2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April 2019, we completed the Reorganization Transactions and the IPO. As a result, certain earnings information is being presented separately for Tradeweb Markets LLC and Tradeweb Markets Inc.</w:t>
      </w:r>
    </w:p>
    <w:p>
      <w:pPr>
        <w:spacing w:after="0" w:line="156" w:lineRule="exact"/>
        <w:rPr>
          <w:rFonts w:ascii="Arial" w:cs="Arial" w:eastAsia="Arial" w:hAnsi="Arial"/>
          <w:sz w:val="18"/>
          <w:szCs w:val="18"/>
          <w:color w:val="auto"/>
        </w:rPr>
      </w:pPr>
    </w:p>
    <w:p>
      <w:pPr>
        <w:ind w:left="2720" w:hanging="354"/>
        <w:spacing w:after="0"/>
        <w:tabs>
          <w:tab w:leader="none" w:pos="27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Presents information for Tradeweb Markets LLC (pre-IPO period).</w:t>
      </w:r>
    </w:p>
    <w:p>
      <w:pPr>
        <w:spacing w:after="0" w:line="184" w:lineRule="exact"/>
        <w:rPr>
          <w:rFonts w:ascii="Arial" w:cs="Arial" w:eastAsia="Arial" w:hAnsi="Arial"/>
          <w:sz w:val="18"/>
          <w:szCs w:val="18"/>
          <w:color w:val="auto"/>
        </w:rPr>
      </w:pPr>
    </w:p>
    <w:p>
      <w:pPr>
        <w:ind w:left="2720" w:hanging="354"/>
        <w:spacing w:after="0"/>
        <w:tabs>
          <w:tab w:leader="none" w:pos="27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Presents information for Tradeweb Markets Inc. (post-IPO period).</w:t>
      </w:r>
    </w:p>
    <w:p>
      <w:pPr>
        <w:spacing w:after="0" w:line="212" w:lineRule="exact"/>
        <w:rPr>
          <w:sz w:val="20"/>
          <w:szCs w:val="20"/>
          <w:color w:val="auto"/>
        </w:rPr>
      </w:pPr>
    </w:p>
    <w:p>
      <w:pPr>
        <w:jc w:val="both"/>
        <w:ind w:left="2360" w:right="979"/>
        <w:spacing w:after="0" w:line="263" w:lineRule="auto"/>
        <w:rPr>
          <w:sz w:val="20"/>
          <w:szCs w:val="20"/>
          <w:color w:val="auto"/>
        </w:rPr>
      </w:pPr>
      <w:r>
        <w:rPr>
          <w:rFonts w:ascii="Arial" w:cs="Arial" w:eastAsia="Arial" w:hAnsi="Arial"/>
          <w:sz w:val="18"/>
          <w:szCs w:val="18"/>
          <w:color w:val="auto"/>
        </w:rPr>
        <w:t>See “Basis of Presentation” elsewhere herein and “Note 18 — Earnings Per Share” to the audited consolidated financial statements of Tradeweb Markets Inc. appearing in the 2019 Form 10-K, incorporated by reference in this prospectus.</w:t>
      </w:r>
    </w:p>
    <w:p>
      <w:pPr>
        <w:spacing w:after="0" w:line="143" w:lineRule="exact"/>
        <w:rPr>
          <w:sz w:val="20"/>
          <w:szCs w:val="20"/>
          <w:color w:val="auto"/>
        </w:rPr>
      </w:pPr>
    </w:p>
    <w:p>
      <w:pPr>
        <w:jc w:val="both"/>
        <w:ind w:left="2360" w:right="699" w:hanging="354"/>
        <w:spacing w:after="0" w:line="263" w:lineRule="auto"/>
        <w:tabs>
          <w:tab w:leader="none" w:pos="2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post-IPO periods, represents the reallocation of net income attributable to non-controlling interests from the assumed exchange of all outstanding LLC Interests held by non-controlling interests for shares of Class A or Class B common stock.</w:t>
      </w:r>
    </w:p>
    <w:p>
      <w:pPr>
        <w:spacing w:after="0" w:line="143" w:lineRule="exact"/>
        <w:rPr>
          <w:rFonts w:ascii="Arial" w:cs="Arial" w:eastAsia="Arial" w:hAnsi="Arial"/>
          <w:sz w:val="18"/>
          <w:szCs w:val="18"/>
          <w:color w:val="auto"/>
        </w:rPr>
      </w:pPr>
    </w:p>
    <w:p>
      <w:pPr>
        <w:ind w:left="2360" w:right="739" w:hanging="354"/>
        <w:spacing w:after="0" w:line="259" w:lineRule="auto"/>
        <w:tabs>
          <w:tab w:leader="none" w:pos="2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146" w:lineRule="exact"/>
        <w:rPr>
          <w:rFonts w:ascii="Arial" w:cs="Arial" w:eastAsia="Arial" w:hAnsi="Arial"/>
          <w:sz w:val="18"/>
          <w:szCs w:val="18"/>
          <w:color w:val="auto"/>
        </w:rPr>
      </w:pPr>
    </w:p>
    <w:p>
      <w:pPr>
        <w:jc w:val="both"/>
        <w:ind w:left="2360" w:right="839" w:hanging="354"/>
        <w:spacing w:after="0" w:line="263" w:lineRule="auto"/>
        <w:tabs>
          <w:tab w:leader="none" w:pos="2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non-cash stock-based compensation expense associated with the Special Option Award and post-IPO options awarded in 2019 and payroll taxes associated with exercises of such options during the applicable period.</w:t>
      </w:r>
    </w:p>
    <w:p>
      <w:pPr>
        <w:spacing w:after="0" w:line="156" w:lineRule="exact"/>
        <w:rPr>
          <w:rFonts w:ascii="Arial" w:cs="Arial" w:eastAsia="Arial" w:hAnsi="Arial"/>
          <w:sz w:val="18"/>
          <w:szCs w:val="18"/>
          <w:color w:val="auto"/>
        </w:rPr>
      </w:pPr>
    </w:p>
    <w:p>
      <w:pPr>
        <w:ind w:left="2360" w:right="1159" w:hanging="354"/>
        <w:spacing w:after="0" w:line="277" w:lineRule="auto"/>
        <w:tabs>
          <w:tab w:leader="none" w:pos="2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foreign exchange gain or loss from the revaluation of cash denominated in a different currency than the entity’s functional currency.</w:t>
      </w:r>
    </w:p>
    <w:p>
      <w:pPr>
        <w:spacing w:after="0" w:line="129" w:lineRule="exact"/>
        <w:rPr>
          <w:rFonts w:ascii="Arial" w:cs="Arial" w:eastAsia="Arial" w:hAnsi="Arial"/>
          <w:sz w:val="18"/>
          <w:szCs w:val="18"/>
          <w:color w:val="auto"/>
        </w:rPr>
      </w:pPr>
    </w:p>
    <w:p>
      <w:pPr>
        <w:ind w:left="2360" w:right="879" w:hanging="354"/>
        <w:spacing w:after="0" w:line="259" w:lineRule="auto"/>
        <w:tabs>
          <w:tab w:leader="none" w:pos="2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spacing w:after="0" w:line="146" w:lineRule="exact"/>
        <w:rPr>
          <w:rFonts w:ascii="Arial" w:cs="Arial" w:eastAsia="Arial" w:hAnsi="Arial"/>
          <w:sz w:val="18"/>
          <w:szCs w:val="18"/>
          <w:color w:val="auto"/>
        </w:rPr>
      </w:pPr>
    </w:p>
    <w:p>
      <w:pPr>
        <w:ind w:left="2360" w:right="659" w:hanging="354"/>
        <w:spacing w:after="0" w:line="259" w:lineRule="auto"/>
        <w:tabs>
          <w:tab w:leader="none" w:pos="2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corporate income taxes at an assumed effective tax rate of 26.4% for all periods presented applied to Adjusted Net Income before income taxes. For pre-IPO periods, this adjustment assumes Tradeweb Markets LLC was subject to a corporate tax rate for the periods presented.</w:t>
      </w:r>
    </w:p>
    <w:p>
      <w:pPr>
        <w:spacing w:after="0" w:line="159" w:lineRule="exact"/>
        <w:rPr>
          <w:rFonts w:ascii="Arial" w:cs="Arial" w:eastAsia="Arial" w:hAnsi="Arial"/>
          <w:sz w:val="18"/>
          <w:szCs w:val="18"/>
          <w:color w:val="auto"/>
        </w:rPr>
      </w:pPr>
    </w:p>
    <w:p>
      <w:pPr>
        <w:ind w:left="2360" w:right="899" w:hanging="354"/>
        <w:spacing w:after="0" w:line="259" w:lineRule="auto"/>
        <w:tabs>
          <w:tab w:leader="none" w:pos="2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Due to the Reorganization Transactions and the IPO completed in April 2019, shares outstanding during the year ended December 31, 2019 represent shares of TWM LLC (pre-IPO period) and shares of Class A and Class B common stock of Tradeweb Markets Inc. (post-IPO period).</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360" w:right="1159"/>
        <w:spacing w:after="0" w:line="277" w:lineRule="auto"/>
        <w:rPr>
          <w:sz w:val="20"/>
          <w:szCs w:val="20"/>
          <w:color w:val="auto"/>
        </w:rPr>
      </w:pPr>
      <w:r>
        <w:rPr>
          <w:rFonts w:ascii="Arial" w:cs="Arial" w:eastAsia="Arial" w:hAnsi="Arial"/>
          <w:sz w:val="18"/>
          <w:szCs w:val="18"/>
          <w:color w:val="auto"/>
        </w:rPr>
        <w:t>The following table summarizes the calculation of Adjusted Diluted EPS for all periods presented:</w:t>
      </w:r>
    </w:p>
    <w:p>
      <w:pPr>
        <w:spacing w:after="0" w:line="85" w:lineRule="exact"/>
        <w:rPr>
          <w:sz w:val="20"/>
          <w:szCs w:val="20"/>
          <w:color w:val="auto"/>
        </w:rPr>
      </w:pPr>
    </w:p>
    <w:tbl>
      <w:tblPr>
        <w:tblLayout w:type="fixed"/>
        <w:tblInd w:w="2360" w:type="dxa"/>
        <w:tblCellMar>
          <w:top w:w="0" w:type="dxa"/>
          <w:left w:w="0" w:type="dxa"/>
          <w:bottom w:w="0" w:type="dxa"/>
          <w:right w:w="0" w:type="dxa"/>
        </w:tblCellMar>
      </w:tblPr>
      <w:tr>
        <w:trPr>
          <w:trHeight w:val="32"/>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vMerge w:val="restart"/>
          </w:tcPr>
          <w:p>
            <w:pPr>
              <w:jc w:val="center"/>
              <w:ind w:right="52"/>
              <w:spacing w:after="0"/>
              <w:rPr>
                <w:sz w:val="20"/>
                <w:szCs w:val="20"/>
                <w:color w:val="auto"/>
              </w:rPr>
            </w:pPr>
            <w:r>
              <w:rPr>
                <w:rFonts w:ascii="Arial" w:cs="Arial" w:eastAsia="Arial" w:hAnsi="Arial"/>
                <w:sz w:val="13"/>
                <w:szCs w:val="13"/>
                <w:b w:val="1"/>
                <w:bCs w:val="1"/>
                <w:color w:val="auto"/>
                <w:w w:val="82"/>
              </w:rPr>
              <w:t>Successor</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gridSpan w:val="4"/>
            <w:vMerge w:val="restart"/>
          </w:tcPr>
          <w:p>
            <w:pPr>
              <w:jc w:val="right"/>
              <w:ind w:right="469"/>
              <w:spacing w:after="0"/>
              <w:rPr>
                <w:sz w:val="20"/>
                <w:szCs w:val="20"/>
                <w:color w:val="auto"/>
              </w:rPr>
            </w:pPr>
            <w:r>
              <w:rPr>
                <w:rFonts w:ascii="Arial" w:cs="Arial" w:eastAsia="Arial" w:hAnsi="Arial"/>
                <w:sz w:val="13"/>
                <w:szCs w:val="13"/>
                <w:b w:val="1"/>
                <w:bCs w:val="1"/>
                <w:color w:val="auto"/>
              </w:rPr>
              <w:t>Predecessor</w:t>
            </w: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92"/>
              <w:spacing w:after="0" w:line="144" w:lineRule="exact"/>
              <w:rPr>
                <w:sz w:val="20"/>
                <w:szCs w:val="20"/>
                <w:color w:val="auto"/>
              </w:rPr>
            </w:pPr>
            <w:r>
              <w:rPr>
                <w:rFonts w:ascii="Arial" w:cs="Arial" w:eastAsia="Arial" w:hAnsi="Arial"/>
                <w:sz w:val="13"/>
                <w:szCs w:val="13"/>
                <w:b w:val="1"/>
                <w:bCs w:val="1"/>
                <w:color w:val="auto"/>
                <w:w w:val="96"/>
              </w:rPr>
              <w:t>Pre-IPO</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72"/>
              <w:spacing w:after="0" w:line="144" w:lineRule="exact"/>
              <w:rPr>
                <w:sz w:val="20"/>
                <w:szCs w:val="20"/>
                <w:color w:val="auto"/>
              </w:rPr>
            </w:pPr>
            <w:r>
              <w:rPr>
                <w:rFonts w:ascii="Arial" w:cs="Arial" w:eastAsia="Arial" w:hAnsi="Arial"/>
                <w:sz w:val="13"/>
                <w:szCs w:val="13"/>
                <w:b w:val="1"/>
                <w:bCs w:val="1"/>
                <w:color w:val="auto"/>
                <w:w w:val="94"/>
              </w:rPr>
              <w:t>Post-IPO</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93"/>
              </w:rPr>
              <w:t>Period</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93"/>
              </w:rPr>
              <w:t>Period</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gridSpan w:val="4"/>
          </w:tcPr>
          <w:p>
            <w:pPr>
              <w:jc w:val="center"/>
              <w:spacing w:after="0" w:line="144" w:lineRule="exact"/>
              <w:rPr>
                <w:sz w:val="20"/>
                <w:szCs w:val="20"/>
                <w:color w:val="auto"/>
              </w:rPr>
            </w:pPr>
            <w:r>
              <w:rPr>
                <w:rFonts w:ascii="Arial" w:cs="Arial" w:eastAsia="Arial" w:hAnsi="Arial"/>
                <w:sz w:val="13"/>
                <w:szCs w:val="13"/>
                <w:b w:val="1"/>
                <w:bCs w:val="1"/>
                <w:color w:val="auto"/>
                <w:w w:val="91"/>
              </w:rPr>
              <w:t>Three Months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Nine Months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right w:val="single" w:sz="8" w:color="auto"/>
            </w:tcBorders>
          </w:tcPr>
          <w:p>
            <w:pPr>
              <w:jc w:val="center"/>
              <w:ind w:right="131"/>
              <w:spacing w:after="0" w:line="144" w:lineRule="exact"/>
              <w:rPr>
                <w:sz w:val="20"/>
                <w:szCs w:val="20"/>
                <w:color w:val="auto"/>
              </w:rPr>
            </w:pPr>
            <w:r>
              <w:rPr>
                <w:rFonts w:ascii="Arial" w:cs="Arial" w:eastAsia="Arial" w:hAnsi="Arial"/>
                <w:sz w:val="13"/>
                <w:szCs w:val="13"/>
                <w:b w:val="1"/>
                <w:bCs w:val="1"/>
                <w:color w:val="auto"/>
                <w:w w:val="90"/>
              </w:rPr>
              <w:t>October 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72"/>
              <w:spacing w:after="0" w:line="144" w:lineRule="exact"/>
              <w:rPr>
                <w:sz w:val="20"/>
                <w:szCs w:val="20"/>
                <w:color w:val="auto"/>
              </w:rPr>
            </w:pPr>
            <w:r>
              <w:rPr>
                <w:rFonts w:ascii="Arial" w:cs="Arial" w:eastAsia="Arial" w:hAnsi="Arial"/>
                <w:sz w:val="13"/>
                <w:szCs w:val="13"/>
                <w:b w:val="1"/>
                <w:bCs w:val="1"/>
                <w:color w:val="auto"/>
                <w:w w:val="93"/>
              </w:rPr>
              <w:t>January 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72"/>
              <w:spacing w:after="0" w:line="135" w:lineRule="exact"/>
              <w:rPr>
                <w:sz w:val="20"/>
                <w:szCs w:val="20"/>
                <w:color w:val="auto"/>
              </w:rPr>
            </w:pPr>
            <w:r>
              <w:rPr>
                <w:rFonts w:ascii="Arial" w:cs="Arial" w:eastAsia="Arial" w:hAnsi="Arial"/>
                <w:sz w:val="13"/>
                <w:szCs w:val="13"/>
                <w:b w:val="1"/>
                <w:bCs w:val="1"/>
                <w:color w:val="auto"/>
                <w:w w:val="90"/>
              </w:rPr>
              <w:t>Ended</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72"/>
              <w:spacing w:after="0" w:line="135" w:lineRule="exact"/>
              <w:rPr>
                <w:sz w:val="20"/>
                <w:szCs w:val="20"/>
                <w:color w:val="auto"/>
              </w:rPr>
            </w:pPr>
            <w:r>
              <w:rPr>
                <w:rFonts w:ascii="Arial" w:cs="Arial" w:eastAsia="Arial" w:hAnsi="Arial"/>
                <w:sz w:val="13"/>
                <w:szCs w:val="13"/>
                <w:b w:val="1"/>
                <w:bCs w:val="1"/>
                <w:color w:val="auto"/>
                <w:w w:val="90"/>
              </w:rPr>
              <w:t>Ended</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right w:val="single" w:sz="8" w:color="auto"/>
            </w:tcBorders>
          </w:tcPr>
          <w:p>
            <w:pPr>
              <w:jc w:val="center"/>
              <w:ind w:right="111"/>
              <w:spacing w:after="0" w:line="135" w:lineRule="exact"/>
              <w:rPr>
                <w:sz w:val="20"/>
                <w:szCs w:val="20"/>
                <w:color w:val="auto"/>
              </w:rPr>
            </w:pPr>
            <w:r>
              <w:rPr>
                <w:rFonts w:ascii="Arial" w:cs="Arial" w:eastAsia="Arial" w:hAnsi="Arial"/>
                <w:sz w:val="13"/>
                <w:szCs w:val="13"/>
                <w:b w:val="1"/>
                <w:bCs w:val="1"/>
                <w:color w:val="auto"/>
                <w:w w:val="89"/>
              </w:rPr>
              <w:t>2018 to</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72"/>
              <w:spacing w:after="0" w:line="135" w:lineRule="exact"/>
              <w:rPr>
                <w:sz w:val="20"/>
                <w:szCs w:val="20"/>
                <w:color w:val="auto"/>
              </w:rPr>
            </w:pPr>
            <w:r>
              <w:rPr>
                <w:rFonts w:ascii="Arial" w:cs="Arial" w:eastAsia="Arial" w:hAnsi="Arial"/>
                <w:sz w:val="13"/>
                <w:szCs w:val="13"/>
                <w:b w:val="1"/>
                <w:bCs w:val="1"/>
                <w:color w:val="auto"/>
                <w:w w:val="89"/>
              </w:rPr>
              <w:t>2018 to</w:t>
            </w:r>
          </w:p>
        </w:tc>
        <w:tc>
          <w:tcPr>
            <w:tcW w:w="80" w:type="dxa"/>
            <w:vAlign w:val="bottom"/>
          </w:tcPr>
          <w:p>
            <w:pPr>
              <w:spacing w:after="0"/>
              <w:rPr>
                <w:sz w:val="11"/>
                <w:szCs w:val="11"/>
                <w:color w:val="auto"/>
              </w:rPr>
            </w:pPr>
          </w:p>
        </w:tc>
        <w:tc>
          <w:tcPr>
            <w:tcW w:w="820" w:type="dxa"/>
            <w:vAlign w:val="bottom"/>
            <w:gridSpan w:val="2"/>
          </w:tcPr>
          <w:p>
            <w:pPr>
              <w:jc w:val="right"/>
              <w:ind w:right="29"/>
              <w:spacing w:after="0" w:line="135" w:lineRule="exact"/>
              <w:rPr>
                <w:sz w:val="20"/>
                <w:szCs w:val="20"/>
                <w:color w:val="auto"/>
              </w:rPr>
            </w:pPr>
            <w:r>
              <w:rPr>
                <w:rFonts w:ascii="Arial" w:cs="Arial" w:eastAsia="Arial" w:hAnsi="Arial"/>
                <w:sz w:val="13"/>
                <w:szCs w:val="13"/>
                <w:b w:val="1"/>
                <w:bCs w:val="1"/>
                <w:color w:val="auto"/>
                <w:w w:val="97"/>
              </w:rPr>
              <w:t>Year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92"/>
              <w:spacing w:after="0" w:line="135" w:lineRule="exact"/>
              <w:rPr>
                <w:sz w:val="20"/>
                <w:szCs w:val="20"/>
                <w:color w:val="auto"/>
              </w:rPr>
            </w:pPr>
            <w:r>
              <w:rPr>
                <w:rFonts w:ascii="Arial" w:cs="Arial" w:eastAsia="Arial" w:hAnsi="Arial"/>
                <w:sz w:val="13"/>
                <w:szCs w:val="13"/>
                <w:b w:val="1"/>
                <w:bCs w:val="1"/>
                <w:color w:val="auto"/>
                <w:w w:val="96"/>
              </w:rPr>
              <w:t>March 31,</w:t>
            </w:r>
          </w:p>
        </w:tc>
        <w:tc>
          <w:tcPr>
            <w:tcW w:w="4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December 31,</w:t>
            </w:r>
          </w:p>
        </w:tc>
        <w:tc>
          <w:tcPr>
            <w:tcW w:w="40" w:type="dxa"/>
            <w:vAlign w:val="bottom"/>
          </w:tcPr>
          <w:p>
            <w:pPr>
              <w:spacing w:after="0"/>
              <w:rPr>
                <w:sz w:val="11"/>
                <w:szCs w:val="11"/>
                <w:color w:val="auto"/>
              </w:rPr>
            </w:pPr>
          </w:p>
        </w:tc>
        <w:tc>
          <w:tcPr>
            <w:tcW w:w="880" w:type="dxa"/>
            <w:vAlign w:val="bottom"/>
            <w:tcBorders>
              <w:right w:val="single" w:sz="8" w:color="auto"/>
            </w:tcBorders>
            <w:gridSpan w:val="3"/>
          </w:tcPr>
          <w:p>
            <w:pPr>
              <w:jc w:val="center"/>
              <w:ind w:right="11"/>
              <w:spacing w:after="0" w:line="135" w:lineRule="exact"/>
              <w:rPr>
                <w:sz w:val="20"/>
                <w:szCs w:val="20"/>
                <w:color w:val="auto"/>
              </w:rPr>
            </w:pPr>
            <w:r>
              <w:rPr>
                <w:rFonts w:ascii="Arial" w:cs="Arial" w:eastAsia="Arial" w:hAnsi="Arial"/>
                <w:sz w:val="13"/>
                <w:szCs w:val="13"/>
                <w:b w:val="1"/>
                <w:bCs w:val="1"/>
                <w:color w:val="auto"/>
                <w:w w:val="89"/>
              </w:rPr>
              <w:t>December 31,</w:t>
            </w:r>
          </w:p>
        </w:tc>
        <w:tc>
          <w:tcPr>
            <w:tcW w:w="86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9"/>
              </w:rPr>
              <w:t>September 30,</w:t>
            </w:r>
          </w:p>
        </w:tc>
        <w:tc>
          <w:tcPr>
            <w:tcW w:w="8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89"/>
              </w:rPr>
              <w:t>2019</w:t>
            </w: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89"/>
              </w:rPr>
              <w:t>2019</w:t>
            </w: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89"/>
              </w:rPr>
              <w:t>2018</w:t>
            </w: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89"/>
              </w:rPr>
              <w:t>2018</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6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Diluted weighted average TWM LLC</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tcBorders>
              <w:right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shares outstanding</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223,320,457</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222,243,851</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215,365,920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212,568,635</w:t>
            </w:r>
          </w:p>
        </w:tc>
        <w:tc>
          <w:tcPr>
            <w:tcW w:w="0" w:type="dxa"/>
            <w:vAlign w:val="bottom"/>
          </w:tcPr>
          <w:p>
            <w:pPr>
              <w:spacing w:after="0"/>
              <w:rPr>
                <w:sz w:val="1"/>
                <w:szCs w:val="1"/>
                <w:color w:val="auto"/>
              </w:rPr>
            </w:pPr>
          </w:p>
        </w:tc>
      </w:tr>
      <w:tr>
        <w:trPr>
          <w:trHeight w:val="184"/>
        </w:trPr>
        <w:tc>
          <w:tcPr>
            <w:tcW w:w="2680" w:type="dxa"/>
            <w:vAlign w:val="bottom"/>
            <w:gridSpan w:val="3"/>
          </w:tcPr>
          <w:p>
            <w:pPr>
              <w:spacing w:after="0"/>
              <w:rPr>
                <w:sz w:val="20"/>
                <w:szCs w:val="20"/>
                <w:color w:val="auto"/>
              </w:rPr>
            </w:pPr>
            <w:r>
              <w:rPr>
                <w:rFonts w:ascii="Arial" w:cs="Arial" w:eastAsia="Arial" w:hAnsi="Arial"/>
                <w:sz w:val="14"/>
                <w:szCs w:val="14"/>
                <w:color w:val="auto"/>
                <w:w w:val="97"/>
              </w:rPr>
              <w:t>Diluted weighted average shares of Class A</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60" w:type="dxa"/>
            <w:vAlign w:val="bottom"/>
            <w:gridSpan w:val="2"/>
          </w:tcPr>
          <w:p>
            <w:pPr>
              <w:ind w:left="160"/>
              <w:spacing w:after="0"/>
              <w:rPr>
                <w:sz w:val="20"/>
                <w:szCs w:val="20"/>
                <w:color w:val="auto"/>
              </w:rPr>
            </w:pPr>
            <w:r>
              <w:rPr>
                <w:rFonts w:ascii="Arial" w:cs="Arial" w:eastAsia="Arial" w:hAnsi="Arial"/>
                <w:sz w:val="14"/>
                <w:szCs w:val="14"/>
                <w:color w:val="auto"/>
              </w:rPr>
              <w:t>and Class B common stock outstanding</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89"/>
              </w:rPr>
              <w:t>156,540,246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Assumed exchange of LLC interests for</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660" w:type="dxa"/>
            <w:vAlign w:val="bottom"/>
            <w:gridSpan w:val="2"/>
            <w:shd w:val="clear" w:color="auto" w:fill="CCEEFF"/>
          </w:tcPr>
          <w:p>
            <w:pPr>
              <w:ind w:left="160"/>
              <w:spacing w:after="0" w:line="141" w:lineRule="exact"/>
              <w:rPr>
                <w:sz w:val="20"/>
                <w:szCs w:val="20"/>
                <w:color w:val="auto"/>
              </w:rPr>
            </w:pPr>
            <w:r>
              <w:rPr>
                <w:rFonts w:ascii="Arial" w:cs="Arial" w:eastAsia="Arial" w:hAnsi="Arial"/>
                <w:sz w:val="14"/>
                <w:szCs w:val="14"/>
                <w:color w:val="auto"/>
              </w:rPr>
              <w:t>shares of Class A or Class B common</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60" w:type="dxa"/>
            <w:vAlign w:val="bottom"/>
            <w:tcBorders>
              <w:bottom w:val="single" w:sz="8" w:color="CCEEFF"/>
            </w:tcBorders>
            <w:gridSpan w:val="2"/>
            <w:shd w:val="clear" w:color="auto" w:fill="CCEEFF"/>
          </w:tcPr>
          <w:p>
            <w:pPr>
              <w:ind w:left="160"/>
              <w:spacing w:after="0" w:line="230" w:lineRule="exact"/>
              <w:rPr>
                <w:sz w:val="20"/>
                <w:szCs w:val="20"/>
                <w:color w:val="auto"/>
              </w:rPr>
            </w:pPr>
            <w:r>
              <w:rPr>
                <w:rFonts w:ascii="Arial" w:cs="Arial" w:eastAsia="Arial" w:hAnsi="Arial"/>
                <w:sz w:val="14"/>
                <w:szCs w:val="14"/>
                <w:color w:val="auto"/>
              </w:rPr>
              <w:t>stock</w:t>
            </w:r>
            <w:r>
              <w:rPr>
                <w:rFonts w:ascii="Arial" w:cs="Arial" w:eastAsia="Arial" w:hAnsi="Arial"/>
                <w:sz w:val="21"/>
                <w:szCs w:val="21"/>
                <w:color w:val="auto"/>
                <w:vertAlign w:val="superscript"/>
              </w:rPr>
              <w:t>(1)</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74,279,741</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680" w:type="dxa"/>
            <w:vAlign w:val="bottom"/>
            <w:gridSpan w:val="3"/>
          </w:tcPr>
          <w:p>
            <w:pPr>
              <w:spacing w:after="0"/>
              <w:rPr>
                <w:sz w:val="20"/>
                <w:szCs w:val="20"/>
                <w:color w:val="auto"/>
              </w:rPr>
            </w:pPr>
            <w:r>
              <w:rPr>
                <w:rFonts w:ascii="Arial" w:cs="Arial" w:eastAsia="Arial" w:hAnsi="Arial"/>
                <w:sz w:val="14"/>
                <w:szCs w:val="14"/>
                <w:color w:val="auto"/>
              </w:rPr>
              <w:t>Adjusted diluted weighted average shares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6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outstanding</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223,320,457</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230,819,987</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w w:val="89"/>
              </w:rPr>
              <w:t>222,243,851</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215,365,920</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212,568,635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Net Income (in thousands)</w:t>
            </w:r>
          </w:p>
        </w:tc>
        <w:tc>
          <w:tcPr>
            <w:tcW w:w="1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52,190</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178,745</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40,839</w:t>
            </w:r>
          </w:p>
        </w:tc>
        <w:tc>
          <w:tcPr>
            <w:tcW w:w="1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137,327</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80" w:type="dxa"/>
            <w:vAlign w:val="bottom"/>
            <w:gridSpan w:val="3"/>
          </w:tcPr>
          <w:p>
            <w:pPr>
              <w:spacing w:after="0"/>
              <w:rPr>
                <w:sz w:val="20"/>
                <w:szCs w:val="20"/>
                <w:color w:val="auto"/>
              </w:rPr>
            </w:pPr>
            <w:r>
              <w:rPr>
                <w:rFonts w:ascii="Arial" w:cs="Arial" w:eastAsia="Arial" w:hAnsi="Arial"/>
                <w:sz w:val="14"/>
                <w:szCs w:val="14"/>
                <w:color w:val="auto"/>
              </w:rPr>
              <w:t>Adjusted Diluted EPS</w:t>
            </w:r>
          </w:p>
        </w:tc>
        <w:tc>
          <w:tcPr>
            <w:tcW w:w="1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0.23</w:t>
            </w:r>
          </w:p>
        </w:tc>
        <w:tc>
          <w:tcPr>
            <w:tcW w:w="1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0.77</w:t>
            </w:r>
          </w:p>
        </w:tc>
        <w:tc>
          <w:tcPr>
            <w:tcW w:w="1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0.18</w:t>
            </w:r>
          </w:p>
        </w:tc>
        <w:tc>
          <w:tcPr>
            <w:tcW w:w="1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0.64</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0.62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720" w:right="839" w:hanging="354"/>
        <w:spacing w:after="0" w:line="259" w:lineRule="auto"/>
        <w:tabs>
          <w:tab w:leader="none" w:pos="2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Assumes the full exchange of all outstanding LLC Interests held by non-controlling interests for shares of Class A or Class B common stock, resulting in the elimination of the non-controlling interests and recognition of the net income attributable to non-controlling interests.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i w:val="1"/>
          <w:iCs w:val="1"/>
          <w:color w:val="auto"/>
        </w:rPr>
        <w:t>Investing in our Class A common stock involves a high degree of risk. You should carefully consider the following risks, together with all of the other information contained or incorporated by reference in this prospectus, including the information set forth in “Prospectus Summary — Recent Developments — COVID-19,” before deciding to invest in our Class A common stock. Our business, financial condition and results of operations could be materially adversely affected by any of these risks or uncertainties. In that case, the trading price of our Class A common stock could decline, and you may lose all or part of your investment.</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02" w:lineRule="exact"/>
        <w:rPr>
          <w:sz w:val="20"/>
          <w:szCs w:val="20"/>
          <w:color w:val="auto"/>
        </w:rPr>
      </w:pPr>
    </w:p>
    <w:p>
      <w:pPr>
        <w:ind w:left="1260" w:right="1059"/>
        <w:spacing w:after="0" w:line="246" w:lineRule="auto"/>
        <w:rPr>
          <w:sz w:val="20"/>
          <w:szCs w:val="20"/>
          <w:color w:val="auto"/>
        </w:rPr>
      </w:pPr>
      <w:r>
        <w:rPr>
          <w:rFonts w:ascii="Arial" w:cs="Arial" w:eastAsia="Arial" w:hAnsi="Arial"/>
          <w:sz w:val="18"/>
          <w:szCs w:val="18"/>
          <w:b w:val="1"/>
          <w:bCs w:val="1"/>
          <w:i w:val="1"/>
          <w:iCs w:val="1"/>
          <w:color w:val="auto"/>
        </w:rPr>
        <w:t>Economic, political and market conditions may reduce trading volumes, which could have a material adverse effect on our business, financial condition and results of operations.</w:t>
      </w:r>
    </w:p>
    <w:p>
      <w:pPr>
        <w:spacing w:after="0" w:line="75"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The electronic financial services industry is, by its nature, risky and volatile. Our business performance is impacted by a number of global and regional factors that are generally beyond our control. The occurrence of, or uncertainty related to, any one of the following factors may cause a substantial decline in the U.S. and/or global financial markets, which could result in reduced trading volumes and profitability for our business:</w:t>
      </w:r>
    </w:p>
    <w:p>
      <w:pPr>
        <w:spacing w:after="0" w:line="93" w:lineRule="exact"/>
        <w:rPr>
          <w:sz w:val="20"/>
          <w:szCs w:val="20"/>
          <w:color w:val="auto"/>
        </w:rPr>
      </w:pPr>
    </w:p>
    <w:p>
      <w:pPr>
        <w:ind w:left="1980" w:right="799" w:hanging="352"/>
        <w:spacing w:after="0" w:line="257"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economic, political and social conditions in the United States, the United Kingdom, the European Union and/or its member states, China or other major economies around the world, including, among other things, the strength and direction of the U.S. and/or global economy, the exit by the United Kingdom from the European Union (“Brexit”), the prolonged shutdown of the U.S. government and the upcoming 2020 U.S. presidential election;</w:t>
      </w:r>
    </w:p>
    <w:p>
      <w:pPr>
        <w:spacing w:after="0" w:line="79" w:lineRule="exact"/>
        <w:rPr>
          <w:rFonts w:ascii="Arial" w:cs="Arial" w:eastAsia="Arial" w:hAnsi="Arial"/>
          <w:sz w:val="18"/>
          <w:szCs w:val="18"/>
          <w:color w:val="auto"/>
        </w:rPr>
      </w:pPr>
    </w:p>
    <w:p>
      <w:pPr>
        <w:ind w:left="1980" w:right="979" w:hanging="352"/>
        <w:spacing w:after="0" w:line="308" w:lineRule="auto"/>
        <w:tabs>
          <w:tab w:leader="none" w:pos="1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effect of Federal Reserve Board and other central banks’ monetary policy, increased capital requirements for banks and other financial institutions and other regulatory requirements;</w:t>
      </w:r>
    </w:p>
    <w:p>
      <w:pPr>
        <w:spacing w:after="0" w:line="38" w:lineRule="exact"/>
        <w:rPr>
          <w:rFonts w:ascii="Arial" w:cs="Arial" w:eastAsia="Arial" w:hAnsi="Arial"/>
          <w:sz w:val="17"/>
          <w:szCs w:val="17"/>
          <w:color w:val="auto"/>
        </w:rPr>
      </w:pPr>
    </w:p>
    <w:p>
      <w:pPr>
        <w:ind w:left="1980" w:hanging="352"/>
        <w:spacing w:after="0"/>
        <w:tabs>
          <w:tab w:leader="none" w:pos="1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adverse market conditions, including unforeseen market closures or other disruptions in trading;</w:t>
      </w:r>
    </w:p>
    <w:p>
      <w:pPr>
        <w:spacing w:after="0" w:line="128" w:lineRule="exact"/>
        <w:rPr>
          <w:rFonts w:ascii="Arial" w:cs="Arial" w:eastAsia="Arial" w:hAnsi="Arial"/>
          <w:sz w:val="17"/>
          <w:szCs w:val="17"/>
          <w:color w:val="auto"/>
        </w:rPr>
      </w:pPr>
    </w:p>
    <w:p>
      <w:pPr>
        <w:ind w:left="1980" w:right="1219" w:hanging="352"/>
        <w:spacing w:after="0" w:line="277"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broad trends in business and finance, including the amount of new issuances and changes in investment patterns and priorities;</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level and volatility of interest rates;</w:t>
      </w:r>
    </w:p>
    <w:p>
      <w:pPr>
        <w:spacing w:after="0" w:line="117" w:lineRule="exact"/>
        <w:rPr>
          <w:rFonts w:ascii="Arial" w:cs="Arial" w:eastAsia="Arial" w:hAnsi="Arial"/>
          <w:sz w:val="18"/>
          <w:szCs w:val="18"/>
          <w:color w:val="auto"/>
        </w:rPr>
      </w:pPr>
    </w:p>
    <w:p>
      <w:pPr>
        <w:ind w:left="1980" w:right="1259" w:hanging="352"/>
        <w:spacing w:after="0" w:line="277"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consolidation or contraction in the number, and changes in the financial strength, of market participants;</w:t>
      </w:r>
    </w:p>
    <w:p>
      <w:pPr>
        <w:spacing w:after="0" w:line="62" w:lineRule="exact"/>
        <w:rPr>
          <w:rFonts w:ascii="Arial" w:cs="Arial" w:eastAsia="Arial" w:hAnsi="Arial"/>
          <w:sz w:val="18"/>
          <w:szCs w:val="18"/>
          <w:color w:val="auto"/>
        </w:rPr>
      </w:pPr>
    </w:p>
    <w:p>
      <w:pPr>
        <w:ind w:left="1980" w:right="1059" w:hanging="352"/>
        <w:spacing w:after="0" w:line="277"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concerns over a potential recession (in the United States or globally), inflation and weakening consumer and investor confidence levels;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availability of capital for borrowings and investments by our clients;</w:t>
      </w:r>
    </w:p>
    <w:p>
      <w:pPr>
        <w:spacing w:after="0" w:line="130" w:lineRule="exact"/>
        <w:rPr>
          <w:rFonts w:ascii="Arial" w:cs="Arial" w:eastAsia="Arial" w:hAnsi="Arial"/>
          <w:sz w:val="18"/>
          <w:szCs w:val="18"/>
          <w:color w:val="auto"/>
        </w:rPr>
      </w:pPr>
    </w:p>
    <w:p>
      <w:pPr>
        <w:ind w:left="1980" w:right="799" w:hanging="352"/>
        <w:spacing w:after="0" w:line="277"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liquidity concerns, including concerns over credit default or bankruptcy of one or more sovereign nations or corporate entities;</w:t>
      </w:r>
    </w:p>
    <w:p>
      <w:pPr>
        <w:spacing w:after="0" w:line="62" w:lineRule="exact"/>
        <w:rPr>
          <w:rFonts w:ascii="Arial" w:cs="Arial" w:eastAsia="Arial" w:hAnsi="Arial"/>
          <w:sz w:val="18"/>
          <w:szCs w:val="18"/>
          <w:color w:val="auto"/>
        </w:rPr>
      </w:pPr>
    </w:p>
    <w:p>
      <w:pPr>
        <w:ind w:left="1980" w:right="1019" w:hanging="352"/>
        <w:spacing w:after="0" w:line="263"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legislative, regulatory or government policy changes, including changes to financial industry regulations and tax laws that could limit the ability of market participants to engage in a wider array of trading activities;</w:t>
      </w:r>
    </w:p>
    <w:p>
      <w:pPr>
        <w:spacing w:after="0" w:line="89" w:lineRule="exact"/>
        <w:rPr>
          <w:rFonts w:ascii="Arial" w:cs="Arial" w:eastAsia="Arial" w:hAnsi="Arial"/>
          <w:sz w:val="18"/>
          <w:szCs w:val="18"/>
          <w:color w:val="auto"/>
        </w:rPr>
      </w:pPr>
    </w:p>
    <w:p>
      <w:pPr>
        <w:ind w:left="1980" w:right="1319" w:hanging="352"/>
        <w:spacing w:after="0" w:line="308" w:lineRule="auto"/>
        <w:tabs>
          <w:tab w:leader="none" w:pos="1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actual or threatened trade war, including between the United States and China, or other governmental action related to tariffs, international trade agreements or trade policies; and</w:t>
      </w:r>
    </w:p>
    <w:p>
      <w:pPr>
        <w:spacing w:after="0" w:line="38" w:lineRule="exact"/>
        <w:rPr>
          <w:rFonts w:ascii="Arial" w:cs="Arial" w:eastAsia="Arial" w:hAnsi="Arial"/>
          <w:sz w:val="17"/>
          <w:szCs w:val="17"/>
          <w:color w:val="auto"/>
        </w:rPr>
      </w:pPr>
    </w:p>
    <w:p>
      <w:pPr>
        <w:ind w:left="1980" w:right="779" w:hanging="352"/>
        <w:spacing w:after="0" w:line="279" w:lineRule="auto"/>
        <w:tabs>
          <w:tab w:leader="none" w:pos="1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catastrophic events, such as natural disasters, extreme weather events, actual or threatened acts of war, terrorism or other armed hostilities or outbreaks of pandemic or contagious diseases, such as Ebola, Zika, avian flu, severe acute respiratory syndrome (SARS), H1N1 (swine flu), the novel coronavirus (COVID-19), and Middle East Respiratory Syndrome (MERS).</w:t>
      </w:r>
    </w:p>
    <w:p>
      <w:pPr>
        <w:spacing w:after="0" w:line="63" w:lineRule="exact"/>
        <w:rPr>
          <w:sz w:val="20"/>
          <w:szCs w:val="20"/>
          <w:color w:val="auto"/>
        </w:rPr>
      </w:pPr>
    </w:p>
    <w:p>
      <w:pPr>
        <w:jc w:val="both"/>
        <w:ind w:left="1260" w:right="779" w:firstLine="360"/>
        <w:spacing w:after="0" w:line="279" w:lineRule="auto"/>
        <w:rPr>
          <w:sz w:val="20"/>
          <w:szCs w:val="20"/>
          <w:color w:val="auto"/>
        </w:rPr>
      </w:pPr>
      <w:r>
        <w:rPr>
          <w:rFonts w:ascii="Arial" w:cs="Arial" w:eastAsia="Arial" w:hAnsi="Arial"/>
          <w:sz w:val="17"/>
          <w:szCs w:val="17"/>
          <w:color w:val="auto"/>
        </w:rPr>
        <w:t>These factors also affect the degree of volatility (the magnitude and frequency of fluctuations) in the U.S. and/or global financial markets, including in the prices and trading volumes of the products traded on our platforms. Volatility increases the need to hedge price risk and creates opportunities for investment and speculative or arbitrage trading, and thus increases trading volumes. Although we generally experience</w:t>
      </w:r>
    </w:p>
    <w:p>
      <w:pPr>
        <w:sectPr>
          <w:pgSz w:w="11900" w:h="16838" w:orient="portrait"/>
          <w:cols w:equalWidth="0" w:num="1">
            <w:col w:w="10139"/>
          </w:cols>
          <w:pgMar w:left="320" w:top="132" w:right="1440" w:bottom="1440" w:gutter="0" w:footer="0" w:header="0"/>
        </w:sectPr>
      </w:pP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19"/>
        <w:spacing w:after="0" w:line="259" w:lineRule="auto"/>
        <w:rPr>
          <w:sz w:val="20"/>
          <w:szCs w:val="20"/>
          <w:color w:val="auto"/>
        </w:rPr>
      </w:pPr>
      <w:r>
        <w:rPr>
          <w:rFonts w:ascii="Arial" w:cs="Arial" w:eastAsia="Arial" w:hAnsi="Arial"/>
          <w:sz w:val="18"/>
          <w:szCs w:val="18"/>
          <w:color w:val="auto"/>
        </w:rPr>
        <w:t>increased trading volumes across our marketplaces during periods of volatility, use of our platforms and demand for our solutions may decline during periods of significant volatility as market participants in rapidly moving markets may seek to negotiate trades and access information directly over the telephone instead of electronically.</w:t>
      </w:r>
    </w:p>
    <w:p>
      <w:pPr>
        <w:spacing w:after="0" w:line="79"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In the event of stagnant or deteriorating economic conditions or periods of instability or prolonged stability or decreased activity in the U.S. and/or global financial markets, we could experience lower trading volumes. A general decline in trading volumes across our marketplaces would lower revenues and could materially adversely affect our results of operations if we are unable to offset falling volumes through changes in our fee structure. If trading volumes decline substantially or for a sustained period, the critical mass of transaction volume necessary to support viable markets and generate valuable data could be jeopardized, which, in turn, could further discourage clients to use our platforms and solutions and further accelerate the decline in trading volumes. Additionally, if our total market share decreases relative to our competitors, our trading venues may be viewed as less attractive sources of liquidity. If our marketplaces are perceived to be less liquid, we could lose further trading volumes and our business, financial condition and results of operations could be materially adversely affected.</w:t>
      </w:r>
    </w:p>
    <w:p>
      <w:pPr>
        <w:spacing w:after="0" w:line="84"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There have been significant declines in trading volumes in the financial markets generally in the past and there may be similar declines in trading volumes generally or across our marketplaces in particular in the future. During periods of lower trading volumes or during an economic downturn, our clients may become more price sensitive and exert pricing pressure on us, and we may be forced to reduce our fees or to maintain our fees during periods of increased costs. Because our cost structure is largely fixed, if use of our platforms and demand for our solutions decline for any reason or if we are forced to reduce fees, we may not be able to adjust our cost structure to counteract the associated decline in revenues, which would materially harm our profitability.</w:t>
      </w:r>
    </w:p>
    <w:p>
      <w:pPr>
        <w:spacing w:after="0" w:line="178" w:lineRule="exact"/>
        <w:rPr>
          <w:sz w:val="20"/>
          <w:szCs w:val="20"/>
          <w:color w:val="auto"/>
        </w:rPr>
      </w:pPr>
    </w:p>
    <w:p>
      <w:pPr>
        <w:ind w:left="1260" w:right="919"/>
        <w:spacing w:after="0" w:line="246" w:lineRule="auto"/>
        <w:rPr>
          <w:sz w:val="20"/>
          <w:szCs w:val="20"/>
          <w:color w:val="auto"/>
        </w:rPr>
      </w:pPr>
      <w:r>
        <w:rPr>
          <w:rFonts w:ascii="Arial" w:cs="Arial" w:eastAsia="Arial" w:hAnsi="Arial"/>
          <w:sz w:val="18"/>
          <w:szCs w:val="18"/>
          <w:b w:val="1"/>
          <w:bCs w:val="1"/>
          <w:i w:val="1"/>
          <w:iCs w:val="1"/>
          <w:color w:val="auto"/>
        </w:rPr>
        <w:t>Failure to compete successfully could materially adversely affect our business, financial condition and results of operations.</w:t>
      </w:r>
    </w:p>
    <w:p>
      <w:pPr>
        <w:spacing w:after="0" w:line="75"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We face intense competition in both the financial services industry generally and the markets that we serve in particular, and we expect competition with a broad range of competitors to continue to intensify in the future. Within the electronic financial services industry in which we operate, we compete based on our ability to provide a broad range of solutions, trading venues with a broad network of market participants and deep liquidity, a competitive fee structure and comprehensive pre-trade, trade and post-trade functionality, as well as the reliability, security and ease of use of our platforms and solutions.</w:t>
      </w:r>
    </w:p>
    <w:p>
      <w:pPr>
        <w:spacing w:after="0" w:line="70"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8"/>
          <w:szCs w:val="18"/>
          <w:color w:val="auto"/>
        </w:rPr>
        <w:t>We primarily compete with other electronic trading platforms and trading business conducted directly between dealers and their institutional, wholesale and retail client counterparties over telephone, email or instant messaging. We also compete with securities and futures exchanges, other inter-dealer brokers and single bank systems. For example, our trading platforms face existing and potential competition from large exchanges, which have in recent years developed electronic capabilities in-house or through acquisitions. We also face competition from individual banks that offer their own electronic platforms to their institutional clients. In addition, we may face competition from companies with strong market share in specific markets or organizations and businesses that have not traditionally competed with us but that could adapt their products and services or utilize significant financial and information resources, recognized brands, or technological expertise to begin competing with us. We expect that we may compete in the future with a variety of companies with respect to our platforms and solutions. If we are not able to compete successfully in the future, our business, financial condition and results of operations could be materially adversely affected.</w:t>
      </w:r>
    </w:p>
    <w:p>
      <w:pPr>
        <w:spacing w:after="0" w:line="91" w:lineRule="exact"/>
        <w:rPr>
          <w:sz w:val="20"/>
          <w:szCs w:val="20"/>
          <w:color w:val="auto"/>
        </w:rPr>
      </w:pPr>
    </w:p>
    <w:p>
      <w:pPr>
        <w:ind w:left="1260" w:right="659" w:firstLine="360"/>
        <w:spacing w:after="0" w:line="271" w:lineRule="auto"/>
        <w:rPr>
          <w:sz w:val="20"/>
          <w:szCs w:val="20"/>
          <w:color w:val="auto"/>
        </w:rPr>
      </w:pPr>
      <w:r>
        <w:rPr>
          <w:rFonts w:ascii="Arial" w:cs="Arial" w:eastAsia="Arial" w:hAnsi="Arial"/>
          <w:sz w:val="17"/>
          <w:szCs w:val="17"/>
          <w:color w:val="auto"/>
        </w:rPr>
        <w:t>Certain of our current and prospective competitors are substantially larger than we are and have substantially greater market presence than we do, as well as greater financial, technological, marketing and other resources. These competitors may be better able to withstand reductions in fees or other adverse economic or market conditions than we can. Some competitors may be able to adopt new or emerging technologies, or incorporate customized features or functions into existing technologies, to address changing market conditions or client preferences at a relatively low cost and/or more quickly than we can. In addition, because we operate in a rapidly evolving industry, start-up companies can enter the market with new and emerging technologies more easily and quickly than they would in more traditional industries.</w:t>
      </w:r>
    </w:p>
    <w:p>
      <w:pPr>
        <w:sectPr>
          <w:pgSz w:w="11900" w:h="16838" w:orient="portrait"/>
          <w:cols w:equalWidth="0" w:num="1">
            <w:col w:w="10139"/>
          </w:cols>
          <w:pgMar w:left="320" w:top="132" w:right="1440" w:bottom="1440" w:gutter="0" w:footer="0" w:header="0"/>
        </w:sectPr>
      </w:pPr>
    </w:p>
    <w:p>
      <w:pPr>
        <w:spacing w:after="0" w:line="24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59" w:lineRule="auto"/>
        <w:rPr>
          <w:sz w:val="20"/>
          <w:szCs w:val="20"/>
          <w:color w:val="auto"/>
        </w:rPr>
      </w:pPr>
      <w:r>
        <w:rPr>
          <w:rFonts w:ascii="Arial" w:cs="Arial" w:eastAsia="Arial" w:hAnsi="Arial"/>
          <w:sz w:val="18"/>
          <w:szCs w:val="18"/>
          <w:color w:val="auto"/>
        </w:rPr>
        <w:t>If we are unable or unwilling to reduce our fees or make additional investments in the future, we may lose clients and our competitive position may be adversely affected. In addition, our competitive position may be adversely affected by changes in regulations that have a disproportionately negative affect on us or the products or trading protocols we offer our clients.</w:t>
      </w:r>
    </w:p>
    <w:p>
      <w:pPr>
        <w:spacing w:after="0" w:line="79" w:lineRule="exact"/>
        <w:rPr>
          <w:sz w:val="20"/>
          <w:szCs w:val="20"/>
          <w:color w:val="auto"/>
        </w:rPr>
      </w:pPr>
    </w:p>
    <w:p>
      <w:pPr>
        <w:ind w:left="1260" w:right="799" w:firstLine="360"/>
        <w:spacing w:after="0" w:line="252" w:lineRule="auto"/>
        <w:rPr>
          <w:sz w:val="20"/>
          <w:szCs w:val="20"/>
          <w:color w:val="auto"/>
        </w:rPr>
      </w:pPr>
      <w:r>
        <w:rPr>
          <w:rFonts w:ascii="Arial" w:cs="Arial" w:eastAsia="Arial" w:hAnsi="Arial"/>
          <w:sz w:val="18"/>
          <w:szCs w:val="18"/>
          <w:color w:val="auto"/>
        </w:rPr>
        <w:t>Competition in the markets in which we operate has intensified due to consolidation, which has resulted in increasingly large and sophisticated competitors. In recent years, our competitors have made acquisitions and/or entered into joint ventures and consortia to improve the competitiveness of their electronic trading offerings. For example, Intercontinental Exchange (“ICE”) acquired BondPoint, TMC Bonds and IDC, in an effort to expand its portfolio of fixed income products and services. In addition, in 2018, CME Group completed its acquisition of NEX Group, which expands CME Group’s offerings to include NEX Group’s OTC foreign exchange and rates products and market data. If, as a result of industry consolidation, our competitors are able to offer lower cost (including fixed cost fees compared to our variable fees for certain offerings) and/or a wider range of trading venues and solutions, obtain more favorable terms from third-party providers or otherwise take actions that could increase their market share, our competitive position and therefore our business, financial condition and results of operations may be materially adversely affected.</w:t>
      </w:r>
    </w:p>
    <w:p>
      <w:pPr>
        <w:spacing w:after="0" w:line="92"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Our operations also include the sale of pre- and post-trade services, analytics and market data (including through a distribution agreement with Refinitiv). There is a high degree of competition among market data and information vendors in solutions for pre- and post-trade data, analytics and reporting, and such businesses may become more competitive in the future as new competitors emerge. Some of these companies are already in or may enter the electronic trading business. Accordingly, some of our competitors may be able to combine use of their electronic trading platforms with complementary access to market data and analytical tools and/or leverage relationships with existing clients to obtain additional business from such clients, which could preempt use of our platforms or solutions. For example, Bloomberg and ICE have trading platforms that compete with ours and also have a data and analytics relationships with the vast majority of institutional, wholesale and retail market participants. If we are not able to compete successfully in this area in the future, our revenues could be adversely impacted and, as a result, our business, financial condition and results of operations would be materially adversely affected.</w:t>
      </w:r>
    </w:p>
    <w:p>
      <w:pPr>
        <w:spacing w:after="0" w:line="165" w:lineRule="exact"/>
        <w:rPr>
          <w:sz w:val="20"/>
          <w:szCs w:val="20"/>
          <w:color w:val="auto"/>
        </w:rPr>
      </w:pPr>
    </w:p>
    <w:p>
      <w:pPr>
        <w:jc w:val="both"/>
        <w:ind w:left="1260" w:right="719"/>
        <w:spacing w:after="0" w:line="253" w:lineRule="auto"/>
        <w:rPr>
          <w:sz w:val="20"/>
          <w:szCs w:val="20"/>
          <w:color w:val="auto"/>
        </w:rPr>
      </w:pPr>
      <w:r>
        <w:rPr>
          <w:rFonts w:ascii="Arial" w:cs="Arial" w:eastAsia="Arial" w:hAnsi="Arial"/>
          <w:sz w:val="17"/>
          <w:szCs w:val="17"/>
          <w:b w:val="1"/>
          <w:bCs w:val="1"/>
          <w:i w:val="1"/>
          <w:iCs w:val="1"/>
          <w:color w:val="auto"/>
        </w:rPr>
        <w:t>The industry in which we operate is rapidly evolving. If we are unable to adapt our business effectively to keep pace with industry changes, we may not be able to compete effectively, which could have a material adverse effect on our business, financial condition and results of operations.</w:t>
      </w:r>
    </w:p>
    <w:p>
      <w:pPr>
        <w:spacing w:after="0" w:line="70"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The electronic financial services industry is characterized by rapidly changing and increasingly complex technologies and systems, changing and increasingly sophisticated client demands (including access to new technologies and markets), frequent technology and service introductions, evolving industry standards, changing regulatory requirements and new business models. If we are not able to keep pace with changing market conditions or client demands and if our competitors release new technology before we do, our existing platforms, solutions and technologies may become obsolete or our competitive position may be materially harmed, each of which could have a material adverse effect on our business, financial condition and results of operations.</w:t>
      </w:r>
    </w:p>
    <w:p>
      <w:pPr>
        <w:spacing w:after="0" w:line="84" w:lineRule="exact"/>
        <w:rPr>
          <w:sz w:val="20"/>
          <w:szCs w:val="20"/>
          <w:color w:val="auto"/>
        </w:rPr>
      </w:pPr>
    </w:p>
    <w:p>
      <w:pPr>
        <w:ind w:left="1260" w:right="1119" w:firstLine="360"/>
        <w:spacing w:after="0" w:line="277" w:lineRule="auto"/>
        <w:rPr>
          <w:sz w:val="20"/>
          <w:szCs w:val="20"/>
          <w:color w:val="auto"/>
        </w:rPr>
      </w:pPr>
      <w:r>
        <w:rPr>
          <w:rFonts w:ascii="Arial" w:cs="Arial" w:eastAsia="Arial" w:hAnsi="Arial"/>
          <w:sz w:val="18"/>
          <w:szCs w:val="18"/>
          <w:color w:val="auto"/>
        </w:rPr>
        <w:t>Operating in a rapidly evolving industry involves a high degree of risk and our future success will depend in part on our ability to:</w:t>
      </w:r>
    </w:p>
    <w:p>
      <w:pPr>
        <w:spacing w:after="0" w:line="49" w:lineRule="exact"/>
        <w:rPr>
          <w:sz w:val="20"/>
          <w:szCs w:val="20"/>
          <w:color w:val="auto"/>
        </w:rPr>
      </w:pPr>
    </w:p>
    <w:p>
      <w:pPr>
        <w:ind w:left="1980" w:right="739" w:hanging="352"/>
        <w:spacing w:after="0" w:line="277"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enhance and improve the responsiveness, functionality, accessibility and reliability of our existing platforms and solutions;</w:t>
      </w:r>
    </w:p>
    <w:p>
      <w:pPr>
        <w:spacing w:after="0" w:line="35" w:lineRule="exact"/>
        <w:rPr>
          <w:rFonts w:ascii="Arial" w:cs="Arial" w:eastAsia="Arial" w:hAnsi="Arial"/>
          <w:sz w:val="18"/>
          <w:szCs w:val="18"/>
          <w:color w:val="auto"/>
        </w:rPr>
      </w:pPr>
    </w:p>
    <w:p>
      <w:pPr>
        <w:ind w:left="1980" w:right="919" w:hanging="352"/>
        <w:spacing w:after="0" w:line="286" w:lineRule="auto"/>
        <w:tabs>
          <w:tab w:leader="none" w:pos="1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develop and/or license new platforms, solutions and technologies that address the increasingly sophisticated and varied needs of our existing and prospective clients, and that allow us to grow within our existing markets and to expand into new markets, asset classes and products;</w:t>
      </w:r>
    </w:p>
    <w:p>
      <w:pPr>
        <w:spacing w:after="0" w:line="43" w:lineRule="exact"/>
        <w:rPr>
          <w:rFonts w:ascii="Arial" w:cs="Arial" w:eastAsia="Arial" w:hAnsi="Arial"/>
          <w:sz w:val="17"/>
          <w:szCs w:val="17"/>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achieve and maintain market acceptance for our platforms and solutions;</w:t>
      </w:r>
    </w:p>
    <w:p>
      <w:pPr>
        <w:spacing w:after="0" w:line="90"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adapt our existing platforms and solutions for new markets, asset classes and products;</w:t>
      </w:r>
    </w:p>
    <w:p>
      <w:pPr>
        <w:spacing w:after="0" w:line="90" w:lineRule="exact"/>
        <w:rPr>
          <w:rFonts w:ascii="Arial" w:cs="Arial" w:eastAsia="Arial" w:hAnsi="Arial"/>
          <w:sz w:val="18"/>
          <w:szCs w:val="18"/>
          <w:color w:val="auto"/>
        </w:rPr>
      </w:pPr>
    </w:p>
    <w:p>
      <w:pPr>
        <w:ind w:left="1980" w:right="719" w:hanging="352"/>
        <w:spacing w:after="0" w:line="263"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respond to competitive pressures, technological advances, including new or disruptive technology, emerging industry standards and practices and regulatory requirements and changes on a cost-effective and timely basis;</w:t>
      </w:r>
    </w:p>
    <w:p>
      <w:pPr>
        <w:sectPr>
          <w:pgSz w:w="11900" w:h="16838" w:orient="portrait"/>
          <w:cols w:equalWidth="0" w:num="1">
            <w:col w:w="10139"/>
          </w:cols>
          <w:pgMar w:left="320" w:top="132" w:right="1440" w:bottom="1440" w:gutter="0" w:footer="0" w:header="0"/>
        </w:sectPr>
      </w:pPr>
    </w:p>
    <w:p>
      <w:pPr>
        <w:spacing w:after="0" w:line="25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hanging="352"/>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attract highly-skilled technology, regulatory, sales and marketing personnel;</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operate, support, expand, adapt and develop our operations, systems, networks and infrastructure;</w:t>
      </w:r>
    </w:p>
    <w:p>
      <w:pPr>
        <w:spacing w:after="0" w:line="182" w:lineRule="exact"/>
        <w:rPr>
          <w:rFonts w:ascii="Arial" w:cs="Arial" w:eastAsia="Arial" w:hAnsi="Arial"/>
          <w:sz w:val="17"/>
          <w:szCs w:val="17"/>
          <w:color w:val="auto"/>
        </w:rPr>
      </w:pPr>
    </w:p>
    <w:p>
      <w:pPr>
        <w:ind w:left="1980" w:hanging="352"/>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 cybersecurity threats;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take advantage of acquisitions, strategic alliances and other opportunities; and</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obtain any applicable regulatory approval for our platforms and solutions.</w:t>
      </w:r>
    </w:p>
    <w:p>
      <w:pPr>
        <w:spacing w:after="0" w:line="117"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Further, the development of new internet, networking, telecommunications or blockchain technologies may require us to devote substantial resources to modify and adapt our marketplaces. In particular, because our platforms and solutions are designed to operate on a variety of electronic systems, we will need to continuously modify and enhance our marketplaces to keep pace with changes in internet-related hardware and other software, communication and browser technologies. We cannot assure you that we will be able to successfully adapt our existing technologies and systems to incorporate new, or changes to existing, technologies.</w:t>
      </w:r>
    </w:p>
    <w:p>
      <w:pPr>
        <w:spacing w:after="0" w:line="87" w:lineRule="exact"/>
        <w:rPr>
          <w:sz w:val="20"/>
          <w:szCs w:val="20"/>
          <w:color w:val="auto"/>
        </w:rPr>
      </w:pPr>
    </w:p>
    <w:p>
      <w:pPr>
        <w:ind w:left="1260" w:right="799" w:firstLine="360"/>
        <w:spacing w:after="0" w:line="253" w:lineRule="auto"/>
        <w:rPr>
          <w:sz w:val="20"/>
          <w:szCs w:val="20"/>
          <w:color w:val="auto"/>
        </w:rPr>
      </w:pPr>
      <w:r>
        <w:rPr>
          <w:rFonts w:ascii="Arial" w:cs="Arial" w:eastAsia="Arial" w:hAnsi="Arial"/>
          <w:sz w:val="18"/>
          <w:szCs w:val="18"/>
          <w:color w:val="auto"/>
        </w:rPr>
        <w:t>The success of new platforms or solutions, or new features and versions of existing platforms and solutions, depends on several factors, including the timely and cost-effective completion, introduction and market acceptance of such new or enhanced platform or solution. Development efforts entail significant technical and business risks. We may use new technologies ineffectively, fail to adequately address regulatory requirements, experience design defects or errors or fail to accurately determine market demand for new platforms, solutions and enhancements. Furthermore, development efforts may require substantial expenditures and take considerable time, and we may experience cost overrun, delays in delivery or performance problems and not be successful in realizing a return on these development efforts in a timely manner or at all.</w:t>
      </w:r>
    </w:p>
    <w:p>
      <w:pPr>
        <w:spacing w:after="0" w:line="88"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We cannot assure you that we will be able to anticipate or respond in a timely manner to changing market conditions, and new platforms, technologies or solutions, or enhancements to existing platforms, technologies or solutions, may not meet regulatory requirements, address client needs or achieve market acceptance. If we are not able to successfully develop and implement, or face material delays in introducing, new platforms, solutions and enhancements, our clients may forego the use of our platforms and solutions and instead use those of our competitors. Any failure to remain abreast of changing market conditions and to be responsive to market preferences could cause our market share to decline and materially adversely impact our revenues.</w:t>
      </w:r>
    </w:p>
    <w:p>
      <w:pPr>
        <w:spacing w:after="0" w:line="178" w:lineRule="exact"/>
        <w:rPr>
          <w:sz w:val="20"/>
          <w:szCs w:val="20"/>
          <w:color w:val="auto"/>
        </w:rPr>
      </w:pPr>
    </w:p>
    <w:p>
      <w:pPr>
        <w:ind w:left="1260" w:right="839"/>
        <w:spacing w:after="0" w:line="246" w:lineRule="auto"/>
        <w:rPr>
          <w:sz w:val="20"/>
          <w:szCs w:val="20"/>
          <w:color w:val="auto"/>
        </w:rPr>
      </w:pPr>
      <w:r>
        <w:rPr>
          <w:rFonts w:ascii="Arial" w:cs="Arial" w:eastAsia="Arial" w:hAnsi="Arial"/>
          <w:sz w:val="18"/>
          <w:szCs w:val="18"/>
          <w:b w:val="1"/>
          <w:bCs w:val="1"/>
          <w:i w:val="1"/>
          <w:iCs w:val="1"/>
          <w:color w:val="auto"/>
        </w:rPr>
        <w:t>Consolidation and concentration in the financial services industry could materially adversely affect our business, financial condition and results of operations.</w:t>
      </w:r>
    </w:p>
    <w:p>
      <w:pPr>
        <w:spacing w:after="0" w:line="75"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There has been significant consolidation in the financial services industry over the past several years. Further consolidation in the financial services industry could result in a smaller client base and heightened competition, which may lower our trading volumes. If our clients merge with or are acquired by other companies that are not our clients, or companies that use less of our offerings, such clients may discontinue or reduce their use of our platforms and solutions. Any such developments could materially adversely affect our business, financial condition and results of operations.</w:t>
      </w:r>
    </w:p>
    <w:p>
      <w:pPr>
        <w:spacing w:after="0" w:line="84"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The substantial consolidation of market share among companies in the financial services industry has resulted in concentration in markets by some of our largest dealer clients. Because our trading platforms depend on these clients, any event that impacts one or more of these clients or the financial services industry in general could negatively impact our trading volumes and revenues. For example, current financial regulations impose certain capital requirements on, and restrict certain trading activities by, our dealer clients, which could adversely affect such clients’ ability to make markets across a variety of asset classes and products. If our existing dealer clients reduce their trading activity and that activity is not replaced by other market participants, the level of liquidity and pricing available on our trading platforms would be negatively impacted, which could materially adversely affect our business, financial condition and results of operations. In addition, some of our dealer clients have announced plans to reduce their sales and trading businesses in the markets in which we operate. This is in addition to the significant reductions in these businesses already completed by certain of our dealer clients.</w:t>
      </w:r>
    </w:p>
    <w:p>
      <w:pPr>
        <w:sectPr>
          <w:pgSz w:w="11900" w:h="16838" w:orient="portrait"/>
          <w:cols w:equalWidth="0" w:num="1">
            <w:col w:w="10139"/>
          </w:cols>
          <w:pgMar w:left="320" w:top="132" w:right="1440" w:bottom="1440" w:gutter="0" w:footer="0" w:header="0"/>
        </w:sectPr>
      </w:pP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The consolidation and concentration of market share, the limitation on the ability of large clients to engage in a wider array of trading activities and the reduction by large clients of certain businesses may lead to increased revenue concentration among our dealer clients, which may further increase our dependency on such clients and reduce our ability to negotiate pricing and other matters with such clients. Additionally, the sales and trading global market share has become increasingly concentrated over the past several years among the top investment banks, which will increase competition for client trades and place additional pricing pressure on us. If we are not able to compete successfully, our business, financial condition and results of operations could be materially adversely affected.</w:t>
      </w:r>
    </w:p>
    <w:p>
      <w:pPr>
        <w:spacing w:after="0" w:line="178" w:lineRule="exact"/>
        <w:rPr>
          <w:sz w:val="20"/>
          <w:szCs w:val="20"/>
          <w:color w:val="auto"/>
        </w:rPr>
      </w:pPr>
    </w:p>
    <w:p>
      <w:pPr>
        <w:ind w:left="1260" w:right="679"/>
        <w:spacing w:after="0" w:line="246" w:lineRule="auto"/>
        <w:rPr>
          <w:sz w:val="20"/>
          <w:szCs w:val="20"/>
          <w:color w:val="auto"/>
        </w:rPr>
      </w:pPr>
      <w:r>
        <w:rPr>
          <w:rFonts w:ascii="Arial" w:cs="Arial" w:eastAsia="Arial" w:hAnsi="Arial"/>
          <w:sz w:val="18"/>
          <w:szCs w:val="18"/>
          <w:b w:val="1"/>
          <w:bCs w:val="1"/>
          <w:i w:val="1"/>
          <w:iCs w:val="1"/>
          <w:color w:val="auto"/>
        </w:rPr>
        <w:t>We are dependent on our dealer clients, some of which are also stockholders, to support our marketplaces by transacting with our other institutional, wholesale and retail clients.</w:t>
      </w:r>
    </w:p>
    <w:p>
      <w:pPr>
        <w:spacing w:after="0" w:line="75"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We rely on our dealer clients to provide liquidity on our trading platforms by posting prices on our platforms and responding to client inquiries, and some of our dealer clients may account for a significant portion of our total trading volume. In addition, our dealer clients also provide us with data via feeds and through the transactions they execute on our trading platforms, which is an important input for our data and analytics offerings. We have historically earned a substantial portion of our revenues from dealer clients that are also stockholders. For the year ended December 31, 2019, the combined year ended December 31, 2018 and the year ended December 31, 2017, 44.8%, 42.2% and 41.3%, respectively, of our revenues were generated by the pre-IPO Bank Stockholders and their affiliates. Market knowledge and feedback from these stockholders have been important factors in the development of many of our offerings and solutions.</w:t>
      </w:r>
    </w:p>
    <w:p>
      <w:pPr>
        <w:spacing w:after="0" w:line="73" w:lineRule="exact"/>
        <w:rPr>
          <w:sz w:val="20"/>
          <w:szCs w:val="20"/>
          <w:color w:val="auto"/>
        </w:rPr>
      </w:pPr>
    </w:p>
    <w:p>
      <w:pPr>
        <w:ind w:left="1260" w:right="959" w:firstLine="360"/>
        <w:spacing w:after="0" w:line="271" w:lineRule="auto"/>
        <w:rPr>
          <w:sz w:val="20"/>
          <w:szCs w:val="20"/>
          <w:color w:val="auto"/>
        </w:rPr>
      </w:pPr>
      <w:r>
        <w:rPr>
          <w:rFonts w:ascii="Arial" w:cs="Arial" w:eastAsia="Arial" w:hAnsi="Arial"/>
          <w:sz w:val="17"/>
          <w:szCs w:val="17"/>
          <w:color w:val="auto"/>
        </w:rPr>
        <w:t>There are inherent risks whenever a significant percentage of our trading volume and revenues are concentrated with a limited number of clients, and these risks are especially heightened for us due to the potential effects of increased industry consolidation and financial regulation on our business. The contractual obligations of our clients to us are non-exclusive and subject to termination rights by such clients. Any failure by us to meet a key dealer client’s or other key client’s expectations could result in cancellation or non-renewal of the contract. In addition, our reliance on any individual dealer client for a significant portion of our trading volume may also give that client a degree of leverage against us when negotiating contracts and terms of services with us.</w:t>
      </w:r>
    </w:p>
    <w:p>
      <w:pPr>
        <w:spacing w:after="0" w:line="70" w:lineRule="exact"/>
        <w:rPr>
          <w:sz w:val="20"/>
          <w:szCs w:val="20"/>
          <w:color w:val="auto"/>
        </w:rPr>
      </w:pPr>
    </w:p>
    <w:p>
      <w:pPr>
        <w:ind w:left="1260" w:right="739" w:firstLine="360"/>
        <w:spacing w:after="0" w:line="252" w:lineRule="auto"/>
        <w:rPr>
          <w:sz w:val="20"/>
          <w:szCs w:val="20"/>
          <w:color w:val="auto"/>
        </w:rPr>
      </w:pPr>
      <w:r>
        <w:rPr>
          <w:rFonts w:ascii="Arial" w:cs="Arial" w:eastAsia="Arial" w:hAnsi="Arial"/>
          <w:sz w:val="18"/>
          <w:szCs w:val="18"/>
          <w:color w:val="auto"/>
        </w:rPr>
        <w:t>Our dealer clients also buy and sell through traditional methods, including by telephone, e-mail and instant messaging, and through other trading platforms. Some of our dealer clients have developed electronic trading networks that compete with us or have announced their intention to explore the development of such electronic trading networks, and many of our dealer clients are involved in other ventures, including other trading platforms or other distribution channels, as trading participants and/or as investors. In particular, certain of the pre-IPO Bank Stockholders or their affiliates, as is typical for a large number of major banks, have their own single bank or other competing trading platform and frequently invest in such businesses and may acquire ownership interests in similar businesses, and such businesses may also compete with us. These competing trading platforms may offer some features that we do not currently offer or that we are unable to offer, including customized features or functions. Accordingly, there can be no assurance that such dealer clients’ primary commitments will not be to one of our competitors or that they will not continue to rely on their own trading platforms or traditional methods instead of using our trading platforms.</w:t>
      </w:r>
    </w:p>
    <w:p>
      <w:pPr>
        <w:spacing w:after="0" w:line="91"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Although we have established and maintain significant long-term relationships with our key dealer clients, we cannot assure you that all of these relationships will continue or will not diminish. In addition, it is possible that the pre-IPO Bank Stockholders and their affiliates may reduce their use of our trading platforms or their engagement with us in the future due to reductions in the level of their equity ownership following the completion of this or any completed or future offering. Any reduction in the use of our trading platforms by our key dealer clients, including certain of the pre-IPO Bank Stockholders and their affiliates, for any reason, and any associated decrease in the pool of capital and liquidity accessible across our marketplaces, could reduce the volume of trading on our platforms, which could, in turn, reduce the use of our platforms by their counterparty clients. In addition, any decrease in the number of dealer clients competing for trades on our trading platforms, could cause our dealer clients to forego use of our platforms and instead use platforms that provide access to more competitive trading environments and prices. The occurrence of any of the foregoing may have a material adverse effect on our business, financial condition and results of operations.</w:t>
      </w:r>
    </w:p>
    <w:p>
      <w:pPr>
        <w:sectPr>
          <w:pgSz w:w="11900" w:h="16838" w:orient="portrait"/>
          <w:cols w:equalWidth="0" w:num="1">
            <w:col w:w="10139"/>
          </w:cols>
          <w:pgMar w:left="320" w:top="132" w:right="1440" w:bottom="1440" w:gutter="0" w:footer="0" w:header="0"/>
        </w:sectPr>
      </w:pPr>
    </w:p>
    <w:p>
      <w:pPr>
        <w:spacing w:after="0" w:line="25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2" w:name="page53"/>
    <w:bookmarkEnd w:id="5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939"/>
        <w:spacing w:after="0" w:line="307" w:lineRule="auto"/>
        <w:rPr>
          <w:sz w:val="20"/>
          <w:szCs w:val="20"/>
          <w:color w:val="auto"/>
        </w:rPr>
      </w:pPr>
      <w:r>
        <w:rPr>
          <w:rFonts w:ascii="Arial" w:cs="Arial" w:eastAsia="Arial" w:hAnsi="Arial"/>
          <w:sz w:val="16"/>
          <w:szCs w:val="16"/>
          <w:b w:val="1"/>
          <w:bCs w:val="1"/>
          <w:i w:val="1"/>
          <w:iCs w:val="1"/>
          <w:color w:val="auto"/>
        </w:rPr>
        <w:t>We do not have long-term contractual arrangements with most of our liquidity taking clients, and our trading volumes and revenues could be reduced if these clients stop using our platforms and solutions.</w:t>
      </w:r>
    </w:p>
    <w:p>
      <w:pPr>
        <w:spacing w:after="0" w:line="29"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Our business largely depends on certain of our liquidity taking clients to initiate inquiries on our trading platforms. A limited number of such clients can account for a significant portion of our trading volumes, which in turn, results in a significant portion of our transaction fees. Most of our liquidity taking clients do not have long-term contractual arrangements with us and utilize our platforms and solutions on a transaction-by-transaction basis and may choose not to use our platforms at any time. These clients buy and sell a variety of products within various asset classes using traditional methods, including by telephone, e-mail and instant messaging, and through other trading platforms. Any significant loss of these clients or a significant reduction in their use of our platforms and solutions could have a material negative impact on our trading volumes and revenues, and materially adversely affect our business, financial condition and results of operations.</w:t>
      </w:r>
    </w:p>
    <w:p>
      <w:pPr>
        <w:spacing w:after="0" w:line="181" w:lineRule="exact"/>
        <w:rPr>
          <w:sz w:val="20"/>
          <w:szCs w:val="20"/>
          <w:color w:val="auto"/>
        </w:rPr>
      </w:pPr>
    </w:p>
    <w:p>
      <w:pPr>
        <w:ind w:left="1260" w:right="1379"/>
        <w:spacing w:after="0" w:line="246" w:lineRule="auto"/>
        <w:rPr>
          <w:sz w:val="20"/>
          <w:szCs w:val="20"/>
          <w:color w:val="auto"/>
        </w:rPr>
      </w:pPr>
      <w:r>
        <w:rPr>
          <w:rFonts w:ascii="Arial" w:cs="Arial" w:eastAsia="Arial" w:hAnsi="Arial"/>
          <w:sz w:val="18"/>
          <w:szCs w:val="18"/>
          <w:b w:val="1"/>
          <w:bCs w:val="1"/>
          <w:i w:val="1"/>
          <w:iCs w:val="1"/>
          <w:color w:val="auto"/>
        </w:rPr>
        <w:t>Our business could be harmed if we are unable to maintain and grow the capacity of our trading platforms, systems and infrastructure.</w:t>
      </w:r>
    </w:p>
    <w:p>
      <w:pPr>
        <w:spacing w:after="0" w:line="75"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Our success depends on our clients’ confidence in our ability to provide reliable, secure, real-time access to our trading platforms. If our trading platforms cannot cope, or expand to cope, with demand, or otherwise fail to perform, we could experience disruptions in service, slow delivery times and insufficient capacity. These consequences could result in our clients deciding to stop using or to reduce their use of our trading platforms, either of which would have a material adverse effect on our business, financial condition and results of operations.</w:t>
      </w:r>
    </w:p>
    <w:p>
      <w:pPr>
        <w:spacing w:after="0" w:line="84"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We will need to continually improve and upgrade our trading platforms, systems and infrastructure to accommodate increases in trading volumes, trading practices of new and existing clients, irregular or heavy use of our trading platforms, especially during peak trading times or at times of increased market volatility, regulatory changes and the development of new and enhanced trading platform features, functionalities and ancillary solutions. The maintenance and expansion of our trading platforms, systems and infrastructure has required, and will continue to require, substantial financial, operational and technical resources. As our operations grow in both size and scope, these resources will typically need to be committed well in advance of any potential increase in trading volumes. We cannot assure you that our estimates of future trading volumes will be accurate or that our systems will always be able to accommodate actual trading volumes without failure or degradation of performance, especially during periods of abnormally high volumes. If we do not successfully adapt our existing trading platforms, systems and infrastructure to the requirements of our clients or to emerging industry standards, or if our trading platforms otherwise fail to accommodate trading volumes, our business, financial condition and results of operations could be materially adversely affected.</w:t>
      </w:r>
    </w:p>
    <w:p>
      <w:pPr>
        <w:spacing w:after="0" w:line="171" w:lineRule="exact"/>
        <w:rPr>
          <w:sz w:val="20"/>
          <w:szCs w:val="20"/>
          <w:color w:val="auto"/>
        </w:rPr>
      </w:pPr>
    </w:p>
    <w:p>
      <w:pPr>
        <w:ind w:left="1260" w:right="919"/>
        <w:spacing w:after="0" w:line="246" w:lineRule="auto"/>
        <w:rPr>
          <w:sz w:val="20"/>
          <w:szCs w:val="20"/>
          <w:color w:val="auto"/>
        </w:rPr>
      </w:pPr>
      <w:r>
        <w:rPr>
          <w:rFonts w:ascii="Arial" w:cs="Arial" w:eastAsia="Arial" w:hAnsi="Arial"/>
          <w:sz w:val="18"/>
          <w:szCs w:val="18"/>
          <w:b w:val="1"/>
          <w:bCs w:val="1"/>
          <w:i w:val="1"/>
          <w:iCs w:val="1"/>
          <w:color w:val="auto"/>
        </w:rPr>
        <w:t>If we experience design defects, errors, failures or delays with our platforms or solutions, our business could suffer serious harm.</w:t>
      </w:r>
    </w:p>
    <w:p>
      <w:pPr>
        <w:spacing w:after="0" w:line="75"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Despite testing, our platforms and solutions may contain design defects and errors or fail when first introduced or when major new updates or enhancements are released. In our development of new platforms, platform features and solutions or updates and enhancements to our existing platforms and solutions, we may make a design error that causes the platform or solution to fail or operate incorrectly or less effectively. Many of our solutions also rely on data and services provided by third-party providers over which we have no or limited control and may be provided to us with defects, errors or failures. Our clients may also use our platforms and solutions together with their own software, data or products from other companies. As a result, when problems occur, it might be difficult to identify the source of the problem. In addition, we could experience delays while developing and introducing new or enhanced platforms, platform features and solutions, primarily due to difficulties in technology development, obtaining any applicable regulatory approval, licensing data inputs or adapting to new operating environments.</w:t>
      </w:r>
    </w:p>
    <w:p>
      <w:pPr>
        <w:spacing w:after="0" w:line="74"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color w:val="auto"/>
        </w:rPr>
        <w:t>If design defects, errors or failures are discovered in our current or future platforms or solutions, we may not be able to correct or work around them in a cost-effective or timely manner or at all. The existence of design defects, errors, failures or delays that are significant, or are perceived to be significant, could also</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59" w:lineRule="auto"/>
        <w:rPr>
          <w:sz w:val="20"/>
          <w:szCs w:val="20"/>
          <w:color w:val="auto"/>
        </w:rPr>
      </w:pPr>
      <w:r>
        <w:rPr>
          <w:rFonts w:ascii="Arial" w:cs="Arial" w:eastAsia="Arial" w:hAnsi="Arial"/>
          <w:sz w:val="18"/>
          <w:szCs w:val="18"/>
          <w:color w:val="auto"/>
        </w:rPr>
        <w:t>result in rejection or delay in market acceptance of our platforms or solutions, damage to our reputation, loss of clients and related revenues, diversion of resources, product liability claims, regulatory actions or increases in costs, any of which could materially adversely affect our business, financial condition or results of operations.</w:t>
      </w:r>
    </w:p>
    <w:p>
      <w:pPr>
        <w:spacing w:after="0" w:line="173" w:lineRule="exact"/>
        <w:rPr>
          <w:sz w:val="20"/>
          <w:szCs w:val="20"/>
          <w:color w:val="auto"/>
        </w:rPr>
      </w:pPr>
    </w:p>
    <w:p>
      <w:pPr>
        <w:ind w:left="1260" w:right="919"/>
        <w:spacing w:after="0" w:line="274" w:lineRule="auto"/>
        <w:rPr>
          <w:sz w:val="20"/>
          <w:szCs w:val="20"/>
          <w:color w:val="auto"/>
        </w:rPr>
      </w:pPr>
      <w:r>
        <w:rPr>
          <w:rFonts w:ascii="Arial" w:cs="Arial" w:eastAsia="Arial" w:hAnsi="Arial"/>
          <w:sz w:val="17"/>
          <w:szCs w:val="17"/>
          <w:b w:val="1"/>
          <w:bCs w:val="1"/>
          <w:i w:val="1"/>
          <w:iCs w:val="1"/>
          <w:color w:val="auto"/>
        </w:rPr>
        <w:t>Systems failures, interruptions, delays in service, catastrophic events and resulting interruptions in the availability of our platforms or solutions could materially harm our business and reputation.</w:t>
      </w:r>
    </w:p>
    <w:p>
      <w:pPr>
        <w:spacing w:after="0" w:line="53"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Our business depends on the efficient and uninterrupted operation of our systems, networks and infrastructure, in particular those that power our platforms and solutions. From time to time, we have experienced, and we cannot assure you that we, or our third-party providers, will not experience, systems failures, delays in service or business interruptions. Our systems, networks, infrastructure and other operations, in particular our platforms and solutions, are vulnerable to impact or interruption from a wide variety of causes, including: irregular or heavy use of our trading platforms and related solutions during peak trading times or at times of increased market volatility; power, internet or telecommunications failures; hardware failures or software errors; human error, acts of vandalism or sabotage; catastrophic events, such as natural disasters, extreme weather events or acts of war, terrorism or other armed hostilities; malicious cyberattacks or cyber incidents, such as unauthorized access, ransomware, loss or destruction of data, computer viruses or other malicious code; and the loss or failure of systems over which we have no control, such as loss of support services from critical third-party providers. In addition, we may also face significant increases in our use of power and data storage and may experience a shortage of capacity and/or increased costs associated with such usage.</w:t>
      </w:r>
    </w:p>
    <w:p>
      <w:pPr>
        <w:spacing w:after="0" w:line="76" w:lineRule="exact"/>
        <w:rPr>
          <w:sz w:val="20"/>
          <w:szCs w:val="20"/>
          <w:color w:val="auto"/>
        </w:rPr>
      </w:pPr>
    </w:p>
    <w:p>
      <w:pPr>
        <w:ind w:left="1260" w:right="879" w:firstLine="360"/>
        <w:spacing w:after="0" w:line="253" w:lineRule="auto"/>
        <w:rPr>
          <w:sz w:val="20"/>
          <w:szCs w:val="20"/>
          <w:color w:val="auto"/>
        </w:rPr>
      </w:pPr>
      <w:r>
        <w:rPr>
          <w:rFonts w:ascii="Arial" w:cs="Arial" w:eastAsia="Arial" w:hAnsi="Arial"/>
          <w:sz w:val="18"/>
          <w:szCs w:val="18"/>
          <w:color w:val="auto"/>
        </w:rPr>
        <w:t>Any failure of, or significant interruption, delay or disruption to, or security breaches affecting, our systems, networks or infrastructure could result in: disruption to our operations, including disruptions in service to our clients; slower response times; distribution of untimely or inaccurate market data to clients who rely on this data for their trades; delays in trade execution; incomplete or inaccurate accounting, recording or processing of trades; significant expense to repair, replace or remediate systems, networks or infrastructure; financial losses and liabilities to clients; loss of clients; or legal or regulatory claims, proceedings, penalties or fines. Any system failure or significant interruption, delay or disruption in our operations, or decreases in the responsiveness of our platforms and solutions, could materially harm our reputation and business and lead our clients to decrease or cease their use of our platforms and solutions, particularly our trading platforms.</w:t>
      </w:r>
    </w:p>
    <w:p>
      <w:pPr>
        <w:spacing w:after="0" w:line="86"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We internally support and maintain many of our systems and networks, including those underlying our trading platforms; however, we may not have sufficient personnel to properly respond to all systems, networks or infrastructure problems. Our failure to monitor or maintain our systems, networks and infrastructure, including those maintained or supported by our third-party providers, or to find a replacement for defective or obsolete components within our systems, networks and infrastructure in a timely and cost-effective manner when necessary, would have a material adverse effect on our business, financial condition and results of operations. While we generally have disaster recovery and business continuity plans that utilize industry standards and best practices for much of our business, including redundant systems, networks, computer software and hardware and data centers to address interruption to our normal course of business, our systems, networks and infrastructure may not always be fully redundant and our disaster recovery and business continuity plans may not always be sufficient or effective. Similarly, although some contracts with our third-party providers, such as our hosting facility providers, require adequate disaster recovery or business continuity capabilities, we cannot be certain that these will be adequate or implemented properly. Our disaster recovery and business continuity plans are heavily reliant on the availability of the internet and mobile phone technology, so any disruption of those systems would likely affect our ability to recover promptly from a crisis situation. In addition, the ongoing COVID-19 pandemic could potentially disrupt the supply chain of hardware needed to recover from a crisis situation. If we are unable to execute our disaster recovery and business continuity plans, or if our plans prove insufficient for a particular situation or take longer than expected to implement in a crisis situation, it could have a material adverse effect on our business, financial condition and results of operations, and our business interruption insurance may not adequately compensate us for losses that may occur.</w:t>
      </w:r>
    </w:p>
    <w:p>
      <w:pPr>
        <w:spacing w:after="0" w:line="77" w:lineRule="exact"/>
        <w:rPr>
          <w:sz w:val="20"/>
          <w:szCs w:val="20"/>
          <w:color w:val="auto"/>
        </w:rPr>
      </w:pPr>
    </w:p>
    <w:p>
      <w:pPr>
        <w:jc w:val="both"/>
        <w:ind w:left="1260" w:right="1019" w:firstLine="360"/>
        <w:spacing w:after="0" w:line="263" w:lineRule="auto"/>
        <w:rPr>
          <w:sz w:val="20"/>
          <w:szCs w:val="20"/>
          <w:color w:val="auto"/>
        </w:rPr>
      </w:pPr>
      <w:r>
        <w:rPr>
          <w:rFonts w:ascii="Arial" w:cs="Arial" w:eastAsia="Arial" w:hAnsi="Arial"/>
          <w:sz w:val="18"/>
          <w:szCs w:val="18"/>
          <w:color w:val="auto"/>
        </w:rPr>
        <w:t>In addition, high-profile system failures in the electronic financial services industry, whether or not involving us directly, could negatively impact our business. In recent years, U.S. and foreign regulators have</w:t>
      </w:r>
    </w:p>
    <w:p>
      <w:pPr>
        <w:sectPr>
          <w:pgSz w:w="11900" w:h="16838" w:orient="portrait"/>
          <w:cols w:equalWidth="0" w:num="1">
            <w:col w:w="10139"/>
          </w:cols>
          <w:pgMar w:left="320" w:top="132" w:right="1440" w:bottom="1440" w:gutter="0" w:footer="0" w:header="0"/>
        </w:sectPr>
      </w:pP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4" w:name="page55"/>
    <w:bookmarkEnd w:id="5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53" w:lineRule="auto"/>
        <w:rPr>
          <w:sz w:val="20"/>
          <w:szCs w:val="20"/>
          <w:color w:val="auto"/>
        </w:rPr>
      </w:pPr>
      <w:r>
        <w:rPr>
          <w:rFonts w:ascii="Arial" w:cs="Arial" w:eastAsia="Arial" w:hAnsi="Arial"/>
          <w:sz w:val="18"/>
          <w:szCs w:val="18"/>
          <w:color w:val="auto"/>
        </w:rPr>
        <w:t>imposed new requirements on operations such as ours that have been costly for us to implement and that could result in a decrease in the use of our platforms and demand for some of our solutions or result in regulatory investigations, fines and penalties. For example, the SEC’s Regulation Systems Compliance and Integrity and the system safeguards regulations of the Commodity Futures Trading Commission (“CFTC”) subject portions of our trading platforms and other technological systems related to our SEFs to more extensive regulation and oversight. Ensuring our compliance with these regulations requires significant ongoing costs and there can be no assurance that government regulators will not impose additional costly obligations on us in the future. If system failures in the industry continue to occur, it is possible that confidence in the electronic financial services industry could diminish, leading to materially decreased trading volumes and revenues.</w:t>
      </w:r>
    </w:p>
    <w:p>
      <w:pPr>
        <w:spacing w:after="0" w:line="181" w:lineRule="exact"/>
        <w:rPr>
          <w:sz w:val="20"/>
          <w:szCs w:val="20"/>
          <w:color w:val="auto"/>
        </w:rPr>
      </w:pPr>
    </w:p>
    <w:p>
      <w:pPr>
        <w:jc w:val="both"/>
        <w:ind w:left="1260" w:right="1119"/>
        <w:spacing w:after="0" w:line="235" w:lineRule="auto"/>
        <w:rPr>
          <w:sz w:val="20"/>
          <w:szCs w:val="20"/>
          <w:color w:val="auto"/>
        </w:rPr>
      </w:pPr>
      <w:r>
        <w:rPr>
          <w:rFonts w:ascii="Arial" w:cs="Arial" w:eastAsia="Arial" w:hAnsi="Arial"/>
          <w:sz w:val="18"/>
          <w:szCs w:val="18"/>
          <w:b w:val="1"/>
          <w:bCs w:val="1"/>
          <w:i w:val="1"/>
          <w:iCs w:val="1"/>
          <w:color w:val="auto"/>
        </w:rPr>
        <w:t>Actual or perceived security vulnerabilities in our systems, networks and infrastructure, breaches of security controls, unauthorized access to confidential information or cyber-attacks could harm our business, reputation and results of operations.</w:t>
      </w:r>
    </w:p>
    <w:p>
      <w:pPr>
        <w:spacing w:after="0" w:line="80"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Our business relies on technology and automation to perform significant functions within our firm. Because of our reliance on technology, we are susceptible to various cyber-threats to our systems, networks and infrastructure, in particular those that power our platforms and solutions. Similar to other financial services companies that provide services online, we have experienced, and likely will continue to experience, cyber-threats, cyber-attacks and attempted security breaches. Cyber-threats and cyber-attacks vary in technique and sources, are persistent, frequently change and increasingly are more sophisticated, targeted and difficult to detect and prevent against. These threats and attacks may come from external sources such as governments, crime organizations, hackers and other third parties or may originate internally from an employee or a third-party provider, and can include unauthorized attempts to access, disable, improperly modify or degrade our information, systems, networks and infrastructure or the introduction of computer viruses and other malicious codes and fraudulent “phishing” emails that seek to misappropriate data and information or install malware onto users’ computers. We carry what we believe are sufficient levels of cyber insurance. However, if one or more cyber-attacks occur, it could jeopardize the confidential, proprietary and other information processed and stored in, and transmitted through, our systems and networks, or cause interruptions, significant delays, failures or malfunctions in our systems, networks, infrastructure and other operations, in particular our platforms and solutions, which could result in reputational damage, financial losses, client dissatisfaction and/or regulatory fines and penalties, which may not in all cases be covered by insurance.</w:t>
      </w:r>
    </w:p>
    <w:p>
      <w:pPr>
        <w:spacing w:after="0" w:line="82"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While we have dedicated personnel who are responsible for maintaining our cybersecurity program and training our employees on cybersecurity, and while we utilize third-party technology product and services to help identify, protect and remediate our systems, networks and infrastructure, our defensive measures and security controls may not be adequate or effective to prevent, identify or mitigate cyber-attacks or security breaches. We are also dependent on security measures, if any, that our third-party providers and clients take to protect their own systems, networks and infrastructures. Because techniques used to obtain unauthorized access to, or to sabotage, systems, networks and infrastructures change frequently and generally are not recognized until launched against a target, we may be unable to anticipate these techniques or to implement adequate defensive measures or security controls. Additionally, we may be required in the future to incur significant costs to continue to minimize, mitigate against or alleviate the effects of cyber-attacks, security breaches or other security vulnerabilities and to protect against damage caused by cyber-attacks, security breaches or other disruptions that may occur.</w:t>
      </w:r>
    </w:p>
    <w:p>
      <w:pPr>
        <w:spacing w:after="0" w:line="71" w:lineRule="exact"/>
        <w:rPr>
          <w:sz w:val="20"/>
          <w:szCs w:val="20"/>
          <w:color w:val="auto"/>
        </w:rPr>
      </w:pPr>
    </w:p>
    <w:p>
      <w:pPr>
        <w:ind w:left="1260" w:right="899" w:firstLine="360"/>
        <w:spacing w:after="0" w:line="255" w:lineRule="auto"/>
        <w:rPr>
          <w:sz w:val="20"/>
          <w:szCs w:val="20"/>
          <w:color w:val="auto"/>
        </w:rPr>
      </w:pPr>
      <w:r>
        <w:rPr>
          <w:rFonts w:ascii="Arial" w:cs="Arial" w:eastAsia="Arial" w:hAnsi="Arial"/>
          <w:sz w:val="18"/>
          <w:szCs w:val="18"/>
          <w:color w:val="auto"/>
        </w:rPr>
        <w:t>We have a Risk Steering Committee that includes the heads of Risk Management, Information/Cyber Security, Regulatory Compliance and Human Resources. Our information/cyber security program is overseen internally by our Risk Steering Committee (and specifically, our Chief Risk Officer and Chief Information Security Officer), which in turn, is overseen by our board of directors and audit committee. Senior members of the Risk Steering Committee provide regular updates to our audit committee and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There have been an increasing number of cyber-attacks in recent years in various industries, including ours, and cybersecurity risk management has been the subject of increasing focus by U.S. and foreign regulators. As a result, we may be required to devote significant additional financial, operational and technical resources to modify and enhance our defensive measures and security controls and to identify and remediate any security vulnerabilities. In addition, any adverse regulatory actions that may result from a cybersecurity incident or a finding that we have inadequate defensive measures and security controls, could result in reputational harm.</w:t>
      </w:r>
    </w:p>
    <w:p>
      <w:pPr>
        <w:spacing w:after="0" w:line="87"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Although we have not been a victim of a cyber-attack or other cybersecurity incident that has had a material impact on our operations or financial condition, we have from time to time experienced cybersecurity incidents, including attempted distributed denial of service attacks, malware infections, phishing and other information technology incidents that are typical for an electronic financial services company of our size. If an actual, threatened or perceived cyber-attack or breach of our security occurs, our clients could lose confidence in our platforms and solutions, security measures and reliability, which would materially harm our ability to retain existing clients and gain new clients. As a result of any such attack or breach, we may be required to expend significant resources to repair system, network or infrastructure damage and to protect against the threat of future cyber-attacks or security breaches. We could also face litigation or other claims from impacted individuals as well as substantial regulatory sanctions or fines.</w:t>
      </w:r>
    </w:p>
    <w:p>
      <w:pPr>
        <w:spacing w:after="0" w:line="172" w:lineRule="exact"/>
        <w:rPr>
          <w:sz w:val="20"/>
          <w:szCs w:val="20"/>
          <w:color w:val="auto"/>
        </w:rPr>
      </w:pPr>
    </w:p>
    <w:p>
      <w:pPr>
        <w:jc w:val="both"/>
        <w:ind w:left="1260" w:right="959"/>
        <w:spacing w:after="0" w:line="235" w:lineRule="auto"/>
        <w:rPr>
          <w:sz w:val="20"/>
          <w:szCs w:val="20"/>
          <w:color w:val="auto"/>
        </w:rPr>
      </w:pPr>
      <w:r>
        <w:rPr>
          <w:rFonts w:ascii="Arial" w:cs="Arial" w:eastAsia="Arial" w:hAnsi="Arial"/>
          <w:sz w:val="18"/>
          <w:szCs w:val="18"/>
          <w:b w:val="1"/>
          <w:bCs w:val="1"/>
          <w:i w:val="1"/>
          <w:iCs w:val="1"/>
          <w:color w:val="auto"/>
        </w:rPr>
        <w:t>We rely on third parties to perform certain key functions, and their failure to perform those functions could result in the interruption of our operations and systems and could result in significant costs and reputational damage to us.</w:t>
      </w:r>
    </w:p>
    <w:p>
      <w:pPr>
        <w:spacing w:after="0" w:line="80"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We rely on a number of third parties to supply, support and maintain critical elements of our operations, including our trading, information, technology and other systems. In addition, we depend on third parties, such as telephone companies, online service providers, hosting services and software and hardware vendors, for various computer and communications systems, such as our data centers, telecommunications access lines and certain computer software and hardware. Our clients also depend on third-party middleware and clearinghouses for clearing and settlement of certain trades on our trading platforms, which could impact our trading platforms.</w:t>
      </w:r>
    </w:p>
    <w:p>
      <w:pPr>
        <w:spacing w:after="0" w:line="87" w:lineRule="exact"/>
        <w:rPr>
          <w:sz w:val="20"/>
          <w:szCs w:val="20"/>
          <w:color w:val="auto"/>
        </w:rPr>
      </w:pPr>
    </w:p>
    <w:p>
      <w:pPr>
        <w:ind w:left="1260" w:right="799" w:firstLine="360"/>
        <w:spacing w:after="0" w:line="268" w:lineRule="auto"/>
        <w:rPr>
          <w:sz w:val="20"/>
          <w:szCs w:val="20"/>
          <w:color w:val="auto"/>
        </w:rPr>
      </w:pPr>
      <w:r>
        <w:rPr>
          <w:rFonts w:ascii="Arial" w:cs="Arial" w:eastAsia="Arial" w:hAnsi="Arial"/>
          <w:sz w:val="17"/>
          <w:szCs w:val="17"/>
          <w:color w:val="auto"/>
        </w:rPr>
        <w:t>We cannot assure you that any of these third-party providers will be able or willing to continue to provide these products and services in an efficient, cost-effective or timely manner, or at all, or that they will be able to adequately expand their services to meet our needs. In particular, like us, third-party providers are vulnerable to operational and technological disruptions, and we may have limited remedies against these third parties in the event of product or service disruptions. In addition, we have little control over third-party providers, which increases our vulnerability to errors, failures, interruptions or disruptions or problems with their products or services. Further, the priorities and objectives of third-party providers may differ from ours, which may make us vulnerable to terminations of, or adverse changes to, our arrangements with such providers, and there can be no assurance that we will be able to maintain good relationships or the same terms with such providers. If an existing third-party provider is unable or unwilling to provide a critical product or service, and we are unable to make alternative arrangements for the supply of such product or service on commercially reasonable terms or a timely basis, or at all, our business, financial condition and results of operations could be materially adversely affected.</w:t>
      </w:r>
    </w:p>
    <w:p>
      <w:pPr>
        <w:spacing w:after="0" w:line="78"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Further, we also face risks that providers may perform work that deviates from our standards. Moreover, our existing third-party arrangements may bind us for a period of time to terms that become uncompetitive or technology and systems that become obsolete. If we do not obtain the expected benefits from our relationships with third-party providers, we may be less competitive, which could have a material adverse effect on our business, financial condition and results of operations. In the future, if we choose to transition a function previously managed by us to a third party, we may spend significant financial and operational resources and experience delays in completing such transition, and may never realize any of the anticipated benefits of such transition.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We are dependent on third parties for our pre- and post-trade data, analytics and reporting solutions.</w:t>
      </w:r>
    </w:p>
    <w:p>
      <w:pPr>
        <w:spacing w:after="0" w:line="115" w:lineRule="exact"/>
        <w:rPr>
          <w:sz w:val="20"/>
          <w:szCs w:val="20"/>
          <w:color w:val="auto"/>
        </w:rPr>
      </w:pPr>
    </w:p>
    <w:p>
      <w:pPr>
        <w:ind w:left="1260" w:right="659" w:firstLine="360"/>
        <w:spacing w:after="0" w:line="252" w:lineRule="auto"/>
        <w:rPr>
          <w:sz w:val="20"/>
          <w:szCs w:val="20"/>
          <w:color w:val="auto"/>
        </w:rPr>
      </w:pPr>
      <w:r>
        <w:rPr>
          <w:rFonts w:ascii="Arial" w:cs="Arial" w:eastAsia="Arial" w:hAnsi="Arial"/>
          <w:sz w:val="18"/>
          <w:szCs w:val="18"/>
          <w:color w:val="auto"/>
        </w:rPr>
        <w:t>The success of our trading platforms depends in part on our pre- and post-trade data, analytics and reporting solutions. We depend upon data and information services from external sources, including data received from certain competitors, clients, self-regulatory organizations and other third-party data providers for information used on our platforms and by our solutions, including our data, analytical tools and other pre- and post-trade services. In particular, we depend on Refinitiv to source certain reference data for products that trade on our platforms. Our data sources and information providers could increase the price for or withdraw their data or information services for a variety of reasons. For example, our clients, the majority of which are not subject to long-term contractual arrangements or purchase commitments, may stop using or reduce their use of our trading platforms at any time, which would decrease our volume of trade data and may diminish the competitiveness of our market data offerings. In addition, data sources or information providers may enter into exclusive contracts with other third parties, including our competitors, which could preclude us from receiving certain data or information services from these providers or restrict our use of such data or information services, which may give our competitors an advantage. Further, our competitors could revise the current terms on which they provide us with data or information services or could cease providing us with data or information services altogether for a variety of reasons, including competition.</w:t>
      </w:r>
    </w:p>
    <w:p>
      <w:pPr>
        <w:spacing w:after="0" w:line="87"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If a substantial number of our key data sources and information providers withdraw or are unable to provide us with their data or information services, or if a substantial number of clients no longer trade on our platforms or use our solutions, and we are unable to suitably replace such data sources or information services, or if the collection of data or information becomes uneconomical, our ability to offer our pre- and post-trade data, analytics tools and reporting solutions could be adversely impacted. If any of these factors negatively impact our ability to provide these data-based solutions to our clients, our competitive position could be materially harmed, which could have a material adverse effect on our business, financial condition and results of operations.</w:t>
      </w:r>
    </w:p>
    <w:p>
      <w:pPr>
        <w:spacing w:after="0" w:line="84"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In addition, pursuant to a market data license agreement, Refinitiv currently distributes a significant portion of our market data. The cancellation of, or any adverse change to, our arrangement with Refinitiv or the inability of Refinitiv to effectively distribute our data may materially harm our business and competitive position.</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are dependent upon trading counterparties and clearinghouses to perform their obligations.</w:t>
      </w:r>
    </w:p>
    <w:p>
      <w:pPr>
        <w:spacing w:after="0" w:line="104"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Our business consists of providing consistent two-sided liquidity to market participants across numerous geographies, asset classes and products. In addition, in the normal course of our business we, as an agent, execute transactions with, and on behalf of, other brokers and dealers. See “Quantitative and Qualitative Disclosures about Market Risk — Credit Risk” in the 2019 Form 10-K, incorporated by reference in this prospectus. In the event of a systemic market event resulting from large price movements or otherwise, certain market participants may not be able to meet their obligations to their trading counterparties, who, in turn, may not be able to meet their obligations to their other trading counterparties, which could lead to major defaults by one or more market participants. Many trades in the securities markets, and an increasing number of trades in the over-the-counter derivatives markets, are cleared through central counterparties. These central counterparties assume and specialize in managing counterparty performance risk relating to such trades. However, even when trades are cleared in this manner, there can be no assurance that a clearinghouse’s risk management methodology will be adequate to manage one or more defaults. Given the counterparty performance risk that is concentrated in central clearing parties, any failure by a clearinghouse to properly manage a default could lead to a systemic market failure. If trading counterparties do not meet their obligations, including to us, or if any central clearing parties fail to properly manage defaults by market participants, we could suffer a material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260" w:right="839"/>
        <w:spacing w:after="0" w:line="235" w:lineRule="auto"/>
        <w:rPr>
          <w:sz w:val="20"/>
          <w:szCs w:val="20"/>
          <w:color w:val="auto"/>
        </w:rPr>
      </w:pPr>
      <w:r>
        <w:rPr>
          <w:rFonts w:ascii="Arial" w:cs="Arial" w:eastAsia="Arial" w:hAnsi="Arial"/>
          <w:sz w:val="18"/>
          <w:szCs w:val="18"/>
          <w:b w:val="1"/>
          <w:bCs w:val="1"/>
          <w:i w:val="1"/>
          <w:iCs w:val="1"/>
          <w:color w:val="auto"/>
        </w:rPr>
        <w:t>Our ability to conduct our business may be materially adversely impacted by unforeseen or catastrophic events. In addition, our U.S. and European operations are heavily concentrated in particular areas and may be adversely affected by events in those areas.</w:t>
      </w:r>
    </w:p>
    <w:p>
      <w:pPr>
        <w:spacing w:after="0" w:line="80"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We may incur losses as a result of unforeseen or catastrophic events, including fire, natural disasters, extreme weather events, global health issues (including the ongoing COVID-19 pandemic), power loss, telecommunications failure, software or hardware malfunctions, theft, cyber-attacks, acts of war, terrorist attacks or other armed hostilities. In addition, employee misconduct or error could expose us to significant liability, losses, regulatory sanctions and reputational harm. Misconduct or error by employees could include improperly using confidential information or engaging in improper or unauthorized activities or transactions. These unforeseen or catastrophic events could adversely affect our clients’ levels of business activity and precipitate sudden significant changes in regional and global economic conditions and cycles. Certain of these events also pose significant risks to our employees and our physical facilities and operations around the world, whether the facilities are ours or those of our third-party providers or clients. If our systems, networks or infrastructure were to fail or be negatively impacted as a result of an unforeseen or catastrophic event, our business functions could be interrupted, our ability to make our platforms and solutions available to our clients could be impaired and we could lose critical data. If we are unable to develop adequate plans to ensure that our business functions continue to operate during and after an unforeseen or catastrophic event, and successfully execute on those plans should such an event occur, our business, financial condition, results of operations and reputation could be materially harmed.</w:t>
      </w:r>
    </w:p>
    <w:p>
      <w:pPr>
        <w:spacing w:after="0" w:line="72"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In addition, our U.S. operations are heavily concentrated in the New York metro area and our European operations are heavily concentrated in London. Any event that affects either of those geographic areas could affect our ability to operate our business. For example, as discussed below, Brexit is expected to have a material impact on our European operations.</w:t>
      </w:r>
    </w:p>
    <w:p>
      <w:pPr>
        <w:spacing w:after="0" w:line="173" w:lineRule="exact"/>
        <w:rPr>
          <w:sz w:val="20"/>
          <w:szCs w:val="20"/>
          <w:color w:val="auto"/>
        </w:rPr>
      </w:pPr>
    </w:p>
    <w:p>
      <w:pPr>
        <w:ind w:left="1260" w:right="939"/>
        <w:spacing w:after="0" w:line="246" w:lineRule="auto"/>
        <w:rPr>
          <w:sz w:val="20"/>
          <w:szCs w:val="20"/>
          <w:color w:val="auto"/>
        </w:rPr>
      </w:pPr>
      <w:r>
        <w:rPr>
          <w:rFonts w:ascii="Arial" w:cs="Arial" w:eastAsia="Arial" w:hAnsi="Arial"/>
          <w:sz w:val="18"/>
          <w:szCs w:val="18"/>
          <w:b w:val="1"/>
          <w:bCs w:val="1"/>
          <w:i w:val="1"/>
          <w:iCs w:val="1"/>
          <w:color w:val="auto"/>
        </w:rPr>
        <w:t>If we fail to maintain our current level of business or execute our growth plan, our business, financial condition and results of operations may be materially harmed.</w:t>
      </w:r>
    </w:p>
    <w:p>
      <w:pPr>
        <w:spacing w:after="0" w:line="75" w:lineRule="exact"/>
        <w:rPr>
          <w:sz w:val="20"/>
          <w:szCs w:val="20"/>
          <w:color w:val="auto"/>
        </w:rPr>
      </w:pPr>
    </w:p>
    <w:p>
      <w:pPr>
        <w:ind w:left="1260" w:right="799" w:firstLine="360"/>
        <w:spacing w:after="0" w:line="253" w:lineRule="auto"/>
        <w:rPr>
          <w:sz w:val="20"/>
          <w:szCs w:val="20"/>
          <w:color w:val="auto"/>
        </w:rPr>
      </w:pPr>
      <w:r>
        <w:rPr>
          <w:rFonts w:ascii="Arial" w:cs="Arial" w:eastAsia="Arial" w:hAnsi="Arial"/>
          <w:sz w:val="18"/>
          <w:szCs w:val="18"/>
          <w:color w:val="auto"/>
        </w:rPr>
        <w:t>We have experienced significant growth in our operations over the years, including, in part, as a result of favorable industry and market trends, such as the increased electronification of markets, growing global markets and evolving regulatory requirements. However, we cannot assure you that our operations will continue to grow at a similar rate, if at all, or that we will continue to benefit from such favorable industry and market trends. In particular, we cannot assure you that the growth of electronic means of trading will continue at the levels expected or at all. Our future financial performance depends in large part on our ability to successfully execute our growth plan. To effectively manage the expected growth of our operations, we will need to continue to improve our operational, financial and management processes and systems.</w:t>
      </w:r>
    </w:p>
    <w:p>
      <w:pPr>
        <w:spacing w:after="0" w:line="8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The success of our growth plan depends, in part, on our ability to implement our business strategies. In particular, our growth depends on our ability to maintain and expand our network by attracting new clients, increasing the use of our platforms and solutions by existing clients and by integrating them across geographies and a wide range of asset classes, products, trade types and trade sizes within our marketplaces. Our growth also depends on, among other things, our ability to increase our market share, add new products, enhance our existing platforms and solutions, develop new offerings that address client demand and market trends and stay abreast of changing market conditions and regulatory requirements. Our growth may also be dependent on our ability to further diversify our revenue base. We currently derive approximately 56% of our gross revenue from our Rates asset class. Our long-term growth plan includes expanding our asset classes, including the number of products we offer across those asset classes, by investing in our development efforts and increasing our revenues by growing our market share in our existing markets and entering into new markets. Although our long-term growth plan includes entering into new asset classes, we may not enter into new asset classes in the near term. We cannot assure you that we will be able to successfully execute our growth plan or implement our business strategies within our expected timing or at all or be able to maintain or improve our current level of business, and we may decide to alter or discontinue certain aspects of our growth plan at any time.</w:t>
      </w:r>
    </w:p>
    <w:p>
      <w:pPr>
        <w:spacing w:after="0" w:line="72"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7"/>
          <w:szCs w:val="17"/>
          <w:color w:val="auto"/>
        </w:rPr>
        <w:t>Execution of our growth plan entails significant risks and may be impacted by factors outside of our control, including competition, general economic, political and market conditions and industry, legal and regulatory changes. Failure to manage our growth effectively could result in our costs increasing at a faster</w:t>
      </w:r>
    </w:p>
    <w:p>
      <w:pPr>
        <w:sectPr>
          <w:pgSz w:w="11900" w:h="16838" w:orient="portrait"/>
          <w:cols w:equalWidth="0" w:num="1">
            <w:col w:w="10139"/>
          </w:cols>
          <w:pgMar w:left="320" w:top="132" w:right="1440" w:bottom="1440" w:gutter="0" w:footer="0" w:header="0"/>
        </w:sectPr>
      </w:pP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55" w:lineRule="auto"/>
        <w:rPr>
          <w:sz w:val="20"/>
          <w:szCs w:val="20"/>
          <w:color w:val="auto"/>
        </w:rPr>
      </w:pPr>
      <w:r>
        <w:rPr>
          <w:rFonts w:ascii="Arial" w:cs="Arial" w:eastAsia="Arial" w:hAnsi="Arial"/>
          <w:sz w:val="18"/>
          <w:szCs w:val="18"/>
          <w:color w:val="auto"/>
        </w:rPr>
        <w:t>rate than our revenues and distracting management from our core business and operations. For example, we may incur substantial development, sales and marketing expenses and expend significant management effort to create a new platform, platform feature or solution, and the period before such platform, platform feature or solution is successfully developed, introduced and/or adopted may extend over many months or years, if ever. Even after incurring these costs, such platform, platform feature or solution may not achieve market acceptance.</w:t>
      </w:r>
    </w:p>
    <w:p>
      <w:pPr>
        <w:spacing w:after="0" w:line="179" w:lineRule="exact"/>
        <w:rPr>
          <w:sz w:val="20"/>
          <w:szCs w:val="20"/>
          <w:color w:val="auto"/>
        </w:rPr>
      </w:pPr>
    </w:p>
    <w:p>
      <w:pPr>
        <w:ind w:left="1260" w:right="899"/>
        <w:spacing w:after="0" w:line="246" w:lineRule="auto"/>
        <w:rPr>
          <w:sz w:val="20"/>
          <w:szCs w:val="20"/>
          <w:color w:val="auto"/>
        </w:rPr>
      </w:pPr>
      <w:r>
        <w:rPr>
          <w:rFonts w:ascii="Arial" w:cs="Arial" w:eastAsia="Arial" w:hAnsi="Arial"/>
          <w:sz w:val="18"/>
          <w:szCs w:val="18"/>
          <w:b w:val="1"/>
          <w:bCs w:val="1"/>
          <w:i w:val="1"/>
          <w:iCs w:val="1"/>
          <w:color w:val="auto"/>
        </w:rPr>
        <w:t>It is possible that our entry into new markets will not be successful, and potential new markets may not develop quickly or at all.</w:t>
      </w:r>
    </w:p>
    <w:p>
      <w:pPr>
        <w:spacing w:after="0" w:line="75"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Our long-term growth plan includes expanding our operations by entering into new markets, including new asset classes, products and geographies, including markets where we have little or no operating experience. We may have difficulties identifying and entering into new markets due to established competitors, lack of recognition of our brand and lack of acceptance of our platforms and solutions, as has occurred with certain of our initiatives in the past.</w:t>
      </w:r>
    </w:p>
    <w:p>
      <w:pPr>
        <w:spacing w:after="0" w:line="80"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Expansion, particularly in new geographic markets, may require substantial expenditures and take considerable time. In particular, we may need to make additional investments in management and new personnel, infrastructure and compliance systems. Furthermore, our expansion efforts may divert management’s attention or inefficiently utilize our resources. If we are not able to manage our expansion effectively, our expansion costs could increase at a faster rate than our revenues from these new markets. If we cannot successfully implement the necessary processes to support and manage our expansion, our business, financial condition and results of operations may suffer.</w:t>
      </w:r>
    </w:p>
    <w:p>
      <w:pPr>
        <w:spacing w:after="0" w:line="87"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We cannot assure you that we will be able to successfully adapt our platforms, solutions and technologies for use in any new markets. Even if we do adapt our products, services and technologies, we cannot assure you that we will be able to attract clients to our platforms and solutions and compete successfully in any such new markets.</w:t>
      </w:r>
    </w:p>
    <w:p>
      <w:pPr>
        <w:spacing w:after="0" w:line="79"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These and other factors have led us to scale back our expansion efforts into new markets in the past, and there can be no assurance that we will not experience similar difficulties in the future. For example, following the 2008 financial crisis, we did not continue to actively invest in our operations in Asia, following our entry into that market in 2004. There can be no assurance that we will be able to successfully maintain or grow our operations abroad.</w:t>
      </w:r>
    </w:p>
    <w:p>
      <w:pPr>
        <w:spacing w:after="0" w:line="80" w:lineRule="exact"/>
        <w:rPr>
          <w:sz w:val="20"/>
          <w:szCs w:val="20"/>
          <w:color w:val="auto"/>
        </w:rPr>
      </w:pPr>
    </w:p>
    <w:p>
      <w:pPr>
        <w:ind w:left="1260" w:right="719" w:firstLine="360"/>
        <w:spacing w:after="0" w:line="286" w:lineRule="auto"/>
        <w:rPr>
          <w:sz w:val="20"/>
          <w:szCs w:val="20"/>
          <w:color w:val="auto"/>
        </w:rPr>
      </w:pPr>
      <w:r>
        <w:rPr>
          <w:rFonts w:ascii="Arial" w:cs="Arial" w:eastAsia="Arial" w:hAnsi="Arial"/>
          <w:sz w:val="17"/>
          <w:szCs w:val="17"/>
          <w:color w:val="auto"/>
        </w:rPr>
        <w:t>It is possible that our entry into new markets will not be successful, and potential new markets may not develop quickly or at all. If these efforts are not successful, we may realize less than expected earnings, which in turn could result in a material decrease in the market value of our Class A common stock.</w:t>
      </w:r>
    </w:p>
    <w:p>
      <w:pPr>
        <w:spacing w:after="0" w:line="152" w:lineRule="exact"/>
        <w:rPr>
          <w:sz w:val="20"/>
          <w:szCs w:val="20"/>
          <w:color w:val="auto"/>
        </w:rPr>
      </w:pPr>
    </w:p>
    <w:p>
      <w:pPr>
        <w:ind w:left="1260" w:right="799"/>
        <w:spacing w:after="0" w:line="246"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may be materially adversely affected by risks associated with our international operations.</w:t>
      </w:r>
    </w:p>
    <w:p>
      <w:pPr>
        <w:spacing w:after="0" w:line="75"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color w:val="auto"/>
        </w:rPr>
        <w:t>We have operations in the United States, China, Japan, Hong Kong, Singapore and the United Kingdom, and recently expanded our international operations to the Netherlands, where we obtained necessary regulatory approvals. We may further expand our international operations in the future. We have invested significant resources in our international operations and expect to continue to do so in the future. However, there are certain risks inherent in doing business in international markets, particularly in the financial services industry, which is heavily regulated in many jurisdictions. These risks include:</w:t>
      </w:r>
    </w:p>
    <w:p>
      <w:pPr>
        <w:spacing w:after="0" w:line="97" w:lineRule="exact"/>
        <w:rPr>
          <w:sz w:val="20"/>
          <w:szCs w:val="20"/>
          <w:color w:val="auto"/>
        </w:rPr>
      </w:pPr>
    </w:p>
    <w:p>
      <w:pPr>
        <w:ind w:left="1980" w:right="799" w:hanging="352"/>
        <w:spacing w:after="0" w:line="257"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local economic, political and social conditions, including the possibility of economic slowdowns, hyperinflationary conditions, political instability, social unrest or outbreaks of pandemic or contagious diseases, such as Ebola, Zika, avian flu, severe acute respiratory syndrome (SARS), H1N1 (swine flu), the novel coronavirus (COVID-19), and Middle East Respiratory Syndrome (MERS);</w:t>
      </w:r>
    </w:p>
    <w:p>
      <w:pPr>
        <w:spacing w:after="0" w:line="93" w:lineRule="exact"/>
        <w:rPr>
          <w:rFonts w:ascii="Arial" w:cs="Arial" w:eastAsia="Arial" w:hAnsi="Arial"/>
          <w:sz w:val="18"/>
          <w:szCs w:val="18"/>
          <w:color w:val="auto"/>
        </w:rPr>
      </w:pPr>
    </w:p>
    <w:p>
      <w:pPr>
        <w:ind w:left="1980" w:right="939" w:hanging="352"/>
        <w:spacing w:after="0" w:line="277"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differing legal and regulatory requirements, and the possibility that any required approvals may impose restrictions on the operation of our business;</w:t>
      </w:r>
    </w:p>
    <w:p>
      <w:pPr>
        <w:spacing w:after="0" w:line="75" w:lineRule="exact"/>
        <w:rPr>
          <w:rFonts w:ascii="Arial" w:cs="Arial" w:eastAsia="Arial" w:hAnsi="Arial"/>
          <w:sz w:val="18"/>
          <w:szCs w:val="18"/>
          <w:color w:val="auto"/>
        </w:rPr>
      </w:pPr>
    </w:p>
    <w:p>
      <w:pPr>
        <w:ind w:left="1980" w:right="1119" w:hanging="352"/>
        <w:spacing w:after="0" w:line="277"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laws, government policies and regulations, or in how provisions are interpreted or administered and how we are supervised;</w:t>
      </w:r>
    </w:p>
    <w:p>
      <w:pPr>
        <w:sectPr>
          <w:pgSz w:w="11900" w:h="16838" w:orient="portrait"/>
          <w:cols w:equalWidth="0" w:num="1">
            <w:col w:w="10139"/>
          </w:cols>
          <w:pgMar w:left="320" w:top="132" w:right="1440" w:bottom="1440" w:gutter="0" w:footer="0" w:header="0"/>
        </w:sectPr>
      </w:pP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9" w:name="page60"/>
    <w:bookmarkEnd w:id="5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899" w:hanging="352"/>
        <w:spacing w:after="0" w:line="277"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inability to manage and coordinate the various legal and regulatory requirements of multiple jurisdictions that are constantly evolving and subject to change;</w:t>
      </w:r>
    </w:p>
    <w:p>
      <w:pPr>
        <w:spacing w:after="0" w:line="75" w:lineRule="exact"/>
        <w:rPr>
          <w:rFonts w:ascii="Arial" w:cs="Arial" w:eastAsia="Arial" w:hAnsi="Arial"/>
          <w:sz w:val="18"/>
          <w:szCs w:val="18"/>
          <w:color w:val="auto"/>
        </w:rPr>
      </w:pPr>
    </w:p>
    <w:p>
      <w:pPr>
        <w:ind w:left="1980" w:right="999" w:hanging="352"/>
        <w:spacing w:after="0" w:line="342" w:lineRule="auto"/>
        <w:tabs>
          <w:tab w:leader="none" w:pos="1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varying tax regimes, including with respect to imposition or increase of taxes on financial transactions or withholding and other taxes on remittances and other payments by subsidiaries;</w:t>
      </w:r>
    </w:p>
    <w:p>
      <w:pPr>
        <w:spacing w:after="0" w:line="29" w:lineRule="exact"/>
        <w:rPr>
          <w:rFonts w:ascii="Arial" w:cs="Arial" w:eastAsia="Arial" w:hAnsi="Arial"/>
          <w:sz w:val="16"/>
          <w:szCs w:val="16"/>
          <w:color w:val="auto"/>
        </w:rPr>
      </w:pPr>
    </w:p>
    <w:p>
      <w:pPr>
        <w:jc w:val="both"/>
        <w:ind w:left="1980" w:right="1579" w:hanging="352"/>
        <w:spacing w:after="0" w:line="308" w:lineRule="auto"/>
        <w:tabs>
          <w:tab w:leader="none" w:pos="1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actual or threatened trade war, including between the United States and China, or other governmental action related to tariffs, international trade agreements or trade policies;</w:t>
      </w:r>
    </w:p>
    <w:p>
      <w:pPr>
        <w:spacing w:after="0" w:line="51" w:lineRule="exact"/>
        <w:rPr>
          <w:rFonts w:ascii="Arial" w:cs="Arial" w:eastAsia="Arial" w:hAnsi="Arial"/>
          <w:sz w:val="17"/>
          <w:szCs w:val="17"/>
          <w:color w:val="auto"/>
        </w:rPr>
      </w:pPr>
    </w:p>
    <w:p>
      <w:pPr>
        <w:ind w:left="1980" w:right="859" w:hanging="352"/>
        <w:spacing w:after="0" w:line="277"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currency exchange rate fluctuations, changes in currency policies or practices and restrictions on currency conversion;</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limitations or restrictions on the repatriation or other transfer of funds;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potential difficulties in protecting intellectual property;</w:t>
      </w:r>
    </w:p>
    <w:p>
      <w:pPr>
        <w:spacing w:after="0" w:line="130" w:lineRule="exact"/>
        <w:rPr>
          <w:rFonts w:ascii="Arial" w:cs="Arial" w:eastAsia="Arial" w:hAnsi="Arial"/>
          <w:sz w:val="18"/>
          <w:szCs w:val="18"/>
          <w:color w:val="auto"/>
        </w:rPr>
      </w:pPr>
    </w:p>
    <w:p>
      <w:pPr>
        <w:ind w:left="1980" w:right="1219" w:hanging="352"/>
        <w:spacing w:after="0" w:line="277"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inability to enforce agreements, collect payments or seek recourse under or comply with differing commercial laws;</w:t>
      </w:r>
    </w:p>
    <w:p>
      <w:pPr>
        <w:spacing w:after="0" w:line="75" w:lineRule="exact"/>
        <w:rPr>
          <w:rFonts w:ascii="Arial" w:cs="Arial" w:eastAsia="Arial" w:hAnsi="Arial"/>
          <w:sz w:val="18"/>
          <w:szCs w:val="18"/>
          <w:color w:val="auto"/>
        </w:rPr>
      </w:pPr>
    </w:p>
    <w:p>
      <w:pPr>
        <w:ind w:left="1980" w:right="679" w:hanging="352"/>
        <w:spacing w:after="0" w:line="263"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managing the potential conflicts between locally accepted business practices and our obligations to comply with laws and regulations, including anti-corruption and anti-money laundering laws and regulations;</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compliance with economic sanctions laws and regulations;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44" w:lineRule="exact"/>
        <w:rPr>
          <w:rFonts w:ascii="Arial" w:cs="Arial" w:eastAsia="Arial" w:hAnsi="Arial"/>
          <w:sz w:val="18"/>
          <w:szCs w:val="18"/>
          <w:color w:val="auto"/>
        </w:rPr>
      </w:pPr>
    </w:p>
    <w:p>
      <w:pPr>
        <w:ind w:left="1980" w:right="1379" w:hanging="352"/>
        <w:spacing w:after="0" w:line="277"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costs and difficulties in developing and managing our global operations and our technological infrastructure; and</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seasonal reductions in business activity.</w:t>
      </w:r>
    </w:p>
    <w:p>
      <w:pPr>
        <w:spacing w:after="0" w:line="117"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Our overall success depends, in part, on our ability to anticipate and effectively manage these risks and there can be no assurance that we will be able to do so without incurring unexpected or increased costs. If we are not able to manage the risks related to our international operations, our business, financial condition and results of operations may be materially adversely affected. In certain regions, the degree of these risks may be higher due to more volatile economic, political or social conditions, less developed and predictable legal and regulatory regimes and increased potential for various types of adverse governmental action.</w:t>
      </w:r>
    </w:p>
    <w:p>
      <w:pPr>
        <w:spacing w:after="0" w:line="164" w:lineRule="exact"/>
        <w:rPr>
          <w:sz w:val="20"/>
          <w:szCs w:val="20"/>
          <w:color w:val="auto"/>
        </w:rPr>
      </w:pPr>
    </w:p>
    <w:p>
      <w:pPr>
        <w:ind w:left="1260" w:right="1319"/>
        <w:spacing w:after="0" w:line="246" w:lineRule="auto"/>
        <w:rPr>
          <w:sz w:val="20"/>
          <w:szCs w:val="20"/>
          <w:color w:val="auto"/>
        </w:rPr>
      </w:pPr>
      <w:r>
        <w:rPr>
          <w:rFonts w:ascii="Arial" w:cs="Arial" w:eastAsia="Arial" w:hAnsi="Arial"/>
          <w:sz w:val="18"/>
          <w:szCs w:val="18"/>
          <w:b w:val="1"/>
          <w:bCs w:val="1"/>
          <w:i w:val="1"/>
          <w:iCs w:val="1"/>
          <w:color w:val="auto"/>
        </w:rPr>
        <w:t>The United Kingdom’s exit from the European Union could have a material adverse effect on our business, financial condition and results of operations.</w:t>
      </w:r>
    </w:p>
    <w:p>
      <w:pPr>
        <w:spacing w:after="0" w:line="75"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In March 2017, the United Kingdom government invoked article 50 of the Lisbon Treaty and officially notified the European Union of its decision to withdraw from the European Union. This formally initiated the process of negotiations with the European Union regarding the terms of the United Kingdom’s withdrawal, and the framework of the future relationship between the United Kingdom and the European Union (the “Withdrawal Agreement”). The United Kingdom withdrew from the European Union on January 31, 2020 (the “exit date”). As part of the negotiations with the European Union, a transitional period has been agreed which extends to the United Kingdom the application of European Union law, and provides for continuing access to the European Union market, until the end of 2020. The future relationship between the United Kingdom and the European Union will be negotiated between both parties during 2020 and if an agreement is reached — which may or may not include terms of access to each other’s financial markets — it is anticipated under the Withdrawal Agreement that the terms of any such agreement would apply upon expiry of the transitional period. The transitional period is due to expire on December 31, 2020, unless extended by the UK/EU Joint Committee established under the Withdrawal Agreement. The maximum possible extension under the Withdrawal Agreement is two years and Prime Minister Johnson of the United Kingdom has indicated that he does not intend to seek, nor agree to, such an extension.</w:t>
      </w:r>
    </w:p>
    <w:p>
      <w:pPr>
        <w:spacing w:after="0" w:line="74" w:lineRule="exact"/>
        <w:rPr>
          <w:sz w:val="20"/>
          <w:szCs w:val="20"/>
          <w:color w:val="auto"/>
        </w:rPr>
      </w:pPr>
    </w:p>
    <w:p>
      <w:pPr>
        <w:ind w:left="1260" w:right="799" w:firstLine="360"/>
        <w:spacing w:after="0" w:line="286" w:lineRule="auto"/>
        <w:rPr>
          <w:sz w:val="20"/>
          <w:szCs w:val="20"/>
          <w:color w:val="auto"/>
        </w:rPr>
      </w:pPr>
      <w:r>
        <w:rPr>
          <w:rFonts w:ascii="Arial" w:cs="Arial" w:eastAsia="Arial" w:hAnsi="Arial"/>
          <w:sz w:val="17"/>
          <w:szCs w:val="17"/>
          <w:color w:val="auto"/>
        </w:rPr>
        <w:t>The United Kingdom’s departure from the European Union and the terms of the future relationship between the United Kingdom and the European Union could significantly impact the business environment in which we and our clients operate, increase the costs of conducting business in both the European Union</w:t>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72" w:lineRule="auto"/>
        <w:rPr>
          <w:sz w:val="20"/>
          <w:szCs w:val="20"/>
          <w:color w:val="auto"/>
        </w:rPr>
      </w:pPr>
      <w:r>
        <w:rPr>
          <w:rFonts w:ascii="Arial" w:cs="Arial" w:eastAsia="Arial" w:hAnsi="Arial"/>
          <w:sz w:val="17"/>
          <w:szCs w:val="17"/>
          <w:color w:val="auto"/>
        </w:rPr>
        <w:t>and the United Kingdom, impair or prohibit access to European Union clients, affect market liquidity and introduce significant new uncertainties with respect to the legal and regulatory requirements to which we and our clients are subject. In particular, Brexit is expected to significantly affect the fiscal, monetary and regulatory landscape in both the United Kingdom and the European Union, and may have a material impact on their respective economies, which could have a materially adverse impact on us despite our international client-base. Until the terms of the future relationship are known, volatility in exchange rates may continue and it will remain unclear how Brexit may ultimately affect liquidity in our marketplaces.</w:t>
      </w:r>
    </w:p>
    <w:p>
      <w:pPr>
        <w:spacing w:after="0" w:line="69" w:lineRule="exact"/>
        <w:rPr>
          <w:sz w:val="20"/>
          <w:szCs w:val="20"/>
          <w:color w:val="auto"/>
        </w:rPr>
      </w:pPr>
    </w:p>
    <w:p>
      <w:pPr>
        <w:ind w:left="1260" w:right="719" w:firstLine="360"/>
        <w:spacing w:after="0" w:line="287" w:lineRule="auto"/>
        <w:rPr>
          <w:sz w:val="20"/>
          <w:szCs w:val="20"/>
          <w:color w:val="auto"/>
        </w:rPr>
      </w:pPr>
      <w:r>
        <w:rPr>
          <w:rFonts w:ascii="Arial" w:cs="Arial" w:eastAsia="Arial" w:hAnsi="Arial"/>
          <w:sz w:val="16"/>
          <w:szCs w:val="16"/>
          <w:color w:val="auto"/>
        </w:rPr>
        <w:t>Significantly, the effects of Brexit on our business will depend on any agreements the United Kingdom makes to retain access to the European Union single market and vice versa. Negotiations between the United Kingdom and the European Union on their future relationship will continue during 2020, will be complex and will be politically uncertain. Until such an agreement is reached the post-transitional period conditions of UK and EU market access are not known. With a loss of “passporting” rights, which allow financial services firms to operate throughout the European Union, and with no equivalent agreement in place between the United Kingdom and the European Union, our UK authorized subsidiary will no longer be able to provide services to EU clients other than in limited circumstances. As a result of the uncertainty related to Brexit, we have established a new regulated subsidiary in the Netherlands that has started to serve clients in the European Union, and for which we have incurred, and expect to continue to incur, increased regulatory and operational costs. These costs result from having established a new regulated subsidiary in the European Union and the management of a client and employee base that is less centralized in London.</w:t>
      </w:r>
    </w:p>
    <w:p>
      <w:pPr>
        <w:spacing w:after="0" w:line="60"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With Brexit, the United Kingdom has ended the supremacy of EU law in the United Kingdom by repealing the European Communities Act 1972, and by “on-shoring” EU law as it stands at exit into domestic law. With the exception that the United Kingdom has made secondary legislation to enable correction to be made to EU laws as they are on-shored — and where they would otherwise have no longer operated appropriately following Brexit — the UK and EU laws are substantively the same. Over time however, EU and UK laws may diverge, the pace and extent of which will be political and uncertain. The cost and complexity of operating across increasingly divergent regulatory regimes could increase following Brexit, and this could have a material adverse effect on our business, financial condition, and results of operations.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Fluctuations in foreign currency exchange rates may adversely affect our financial results.</w:t>
      </w:r>
    </w:p>
    <w:p>
      <w:pPr>
        <w:spacing w:after="0" w:line="104"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Since we operate in several different countries outside the United States, most notably the UK, Japan and Hong Kong, significant portions of our revenues, expenses, assets and liabilities are denominated in non-U.S. dollar currencies, most notably the pound sterling, euros, Japanese Yen and Hong Kong dollars. Because our consolidated financial statements are presented in U.S. dollars, we must translate non-U.S. dollar denominated revenues, income and expenses, as well as assets and liabilities, into U.S. dollars at exchange rates in effect during or at the end of each reporting period. Accordingly, increases or decreases in the value of the U.S. dollar against other currencies may affect our business, financial condition and results of operations. In recent years, external events, such as Brexit, the 2016 U.S. presidential election, uncertainty regarding actual and potential shifts in U.S. and foreign trade, economic and other policies, the passage of U.S. tax reform legislation and concerns over the interest rate environment (particularly with respect to short-term rates), have caused, and may continue to cause, significant volatility in currency exchange rates, especially among the U.S. dollar, the pound sterling and the euro.</w:t>
      </w:r>
    </w:p>
    <w:p>
      <w:pPr>
        <w:spacing w:after="0" w:line="71"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While we engage in hedging activity to attempt to mitigate currency exchange rate risk, these hedging activities may not fully mitigate the risk. Accordingly, if there are adverse movements in exchange rates, we may suffer significant losses, which would materially adversely affect our financial condition and results of operations.</w:t>
      </w:r>
    </w:p>
    <w:p>
      <w:pPr>
        <w:spacing w:after="0" w:line="173" w:lineRule="exact"/>
        <w:rPr>
          <w:sz w:val="20"/>
          <w:szCs w:val="20"/>
          <w:color w:val="auto"/>
        </w:rPr>
      </w:pPr>
    </w:p>
    <w:p>
      <w:pPr>
        <w:ind w:left="1260" w:right="799"/>
        <w:spacing w:after="0" w:line="246" w:lineRule="auto"/>
        <w:rPr>
          <w:sz w:val="20"/>
          <w:szCs w:val="20"/>
          <w:color w:val="auto"/>
        </w:rPr>
      </w:pPr>
      <w:r>
        <w:rPr>
          <w:rFonts w:ascii="Arial" w:cs="Arial" w:eastAsia="Arial" w:hAnsi="Arial"/>
          <w:sz w:val="18"/>
          <w:szCs w:val="18"/>
          <w:b w:val="1"/>
          <w:bCs w:val="1"/>
          <w:i w:val="1"/>
          <w:iCs w:val="1"/>
          <w:color w:val="auto"/>
        </w:rPr>
        <w:t>We may undertake acquisitions or divestitures, which may not be successful, and which could materially adversely affect our business, financial condition and results of operations.</w:t>
      </w:r>
    </w:p>
    <w:p>
      <w:pPr>
        <w:spacing w:after="0" w:line="75" w:lineRule="exact"/>
        <w:rPr>
          <w:sz w:val="20"/>
          <w:szCs w:val="20"/>
          <w:color w:val="auto"/>
        </w:rPr>
      </w:pPr>
    </w:p>
    <w:p>
      <w:pPr>
        <w:ind w:left="1260" w:right="759" w:firstLine="360"/>
        <w:spacing w:after="0" w:line="279" w:lineRule="auto"/>
        <w:rPr>
          <w:sz w:val="20"/>
          <w:szCs w:val="20"/>
          <w:color w:val="auto"/>
        </w:rPr>
      </w:pPr>
      <w:r>
        <w:rPr>
          <w:rFonts w:ascii="Arial" w:cs="Arial" w:eastAsia="Arial" w:hAnsi="Arial"/>
          <w:sz w:val="17"/>
          <w:szCs w:val="17"/>
          <w:color w:val="auto"/>
        </w:rPr>
        <w:t>From time to time, we consider acquisitions, which may not be completed or, if completed, may not be ultimately beneficial to us. We have made several acquisitions in the past, including the purchase of the Hilliard Farber &amp; Co. business in 2008, the Rafferty Capital Markets business in 2011, BondDesk in 2013 and CodeStreet in 2016. We also may consider potential divestitures of businesses from time to time. We</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spacing w:after="0" w:line="257" w:lineRule="auto"/>
        <w:rPr>
          <w:sz w:val="20"/>
          <w:szCs w:val="20"/>
          <w:color w:val="auto"/>
        </w:rPr>
      </w:pPr>
      <w:r>
        <w:rPr>
          <w:rFonts w:ascii="Arial" w:cs="Arial" w:eastAsia="Arial" w:hAnsi="Arial"/>
          <w:sz w:val="18"/>
          <w:szCs w:val="18"/>
          <w:color w:val="auto"/>
        </w:rPr>
        <w:t>routinely evaluate potential acquisition and divestiture candidates and engage in discussions and negotiations regarding potential acquisitions and divestitures on an ongoing basis; however, even if we execute a definitive agreement, there can be no assurance that we will consummate the transaction within the anticipated closing timeframe, or at all. Moreover, there is significant competition for acquisition and expansion opportunities in the electronic financial services industry.</w:t>
      </w:r>
    </w:p>
    <w:p>
      <w:pPr>
        <w:spacing w:after="0" w:line="80"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Acquisitions involve numerous risks, including (i) failing to properly identify appropriate acquisition targets and to negotiate acceptable terms; (ii) incurring the time and expense associated with identifying and evaluating potential acquisition targets and negotiating potential transactions; (iii) diverting management’s attention from the operation of our existing business; (iv) using inaccurate estimates and judgments to evaluate credit, operations, funding, liquidity, business, management and market risks with respect to the acquisition target or assets; (v) litigation relating to an acquisition, particularly in the context of a publicly held acquisition target, that could require us to incur significant expenses, result in or delay or enjoin the transaction; (vi) failing to properly identify an acquisition target’s significant problems, liabilities or risks;</w:t>
      </w:r>
    </w:p>
    <w:p>
      <w:pPr>
        <w:spacing w:after="0" w:line="3" w:lineRule="exact"/>
        <w:rPr>
          <w:sz w:val="20"/>
          <w:szCs w:val="20"/>
          <w:color w:val="auto"/>
        </w:rPr>
      </w:pPr>
    </w:p>
    <w:p>
      <w:pPr>
        <w:ind w:left="1260" w:right="679" w:firstLine="8"/>
        <w:spacing w:after="0" w:line="271" w:lineRule="auto"/>
        <w:tabs>
          <w:tab w:leader="none" w:pos="1636" w:val="left"/>
        </w:tabs>
        <w:numPr>
          <w:ilvl w:val="0"/>
          <w:numId w:val="44"/>
        </w:numPr>
        <w:rPr>
          <w:rFonts w:ascii="Arial" w:cs="Arial" w:eastAsia="Arial" w:hAnsi="Arial"/>
          <w:sz w:val="17"/>
          <w:szCs w:val="17"/>
          <w:color w:val="auto"/>
        </w:rPr>
      </w:pPr>
      <w:r>
        <w:rPr>
          <w:rFonts w:ascii="Arial" w:cs="Arial" w:eastAsia="Arial" w:hAnsi="Arial"/>
          <w:sz w:val="17"/>
          <w:szCs w:val="17"/>
          <w:color w:val="auto"/>
        </w:rPr>
        <w:t>not receiving required regulatory approvals on the terms expected or such approvals being delayed or restrictively conditional; and (viii) failing to obtain financing on favorable terms, or at all. In addition, in connection with any acquisitions, we must comply with various antitrust requirements, and it is possible that perceived or actual violations of these requirements could give rise to litigation or regulatory enforcement action or result in us not receiving the necessary approvals to complete a desired acquisition.</w:t>
      </w:r>
    </w:p>
    <w:p>
      <w:pPr>
        <w:spacing w:after="0" w:line="70" w:lineRule="exact"/>
        <w:rPr>
          <w:sz w:val="20"/>
          <w:szCs w:val="20"/>
          <w:color w:val="auto"/>
        </w:rPr>
      </w:pPr>
    </w:p>
    <w:p>
      <w:pPr>
        <w:ind w:left="1260" w:right="739" w:firstLine="360"/>
        <w:spacing w:after="0" w:line="252" w:lineRule="auto"/>
        <w:rPr>
          <w:sz w:val="20"/>
          <w:szCs w:val="20"/>
          <w:color w:val="auto"/>
        </w:rPr>
      </w:pPr>
      <w:r>
        <w:rPr>
          <w:rFonts w:ascii="Arial" w:cs="Arial" w:eastAsia="Arial" w:hAnsi="Arial"/>
          <w:sz w:val="18"/>
          <w:szCs w:val="18"/>
          <w:color w:val="auto"/>
        </w:rPr>
        <w:t>Furthermore, even if we complete an acquisition, the anticipated benefits from such acquisition may not be achieved unless the operations of the acquired business, platform or technology are integrated in an efficient, cost-effective and timely manner. The integration of any acquisition includes numerous risks, including an acquired business not performing to our expectations, our not integrating it appropriately and failing to realize anticipated synergies and cost savings as a result, and difficulties, inefficiencies or cost overruns in integrating and assimilating the organizational cultures, operations, technologies, data, products and services of the acquired business with ours. The integration of any acquisition will require substantial attention from management and operating personnel to ensure that the acquisition does not disrupt any existing operations, or affect our reputation or our clients’ opinions and perceptions of our platforms and solutions. We may spend time and resources on acquisitions that do not ultimately increase our profitability or that cause loss of, or harm to, relationships with key employees, clients, third-party providers or other business partners.</w:t>
      </w:r>
    </w:p>
    <w:p>
      <w:pPr>
        <w:spacing w:after="0" w:line="92"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Divestitures also involve numerous risks, including: (i) failing to properly identify appropriate assets or businesses for divestiture and buyers; (ii) inability to negotiate favorable terms for the divestiture of such assets or businesses; (iii) incurring the time and expense associated with identifying and evaluating potential divestitures and negotiating potential transactions; (iv) management’s attention being diverted from the operation of our existing business, including to provide on-going services to the divested business;</w:t>
      </w:r>
    </w:p>
    <w:p>
      <w:pPr>
        <w:spacing w:after="0" w:line="3" w:lineRule="exact"/>
        <w:rPr>
          <w:sz w:val="20"/>
          <w:szCs w:val="20"/>
          <w:color w:val="auto"/>
        </w:rPr>
      </w:pPr>
    </w:p>
    <w:p>
      <w:pPr>
        <w:ind w:left="1260" w:right="739" w:firstLine="8"/>
        <w:spacing w:after="0" w:line="277" w:lineRule="auto"/>
        <w:tabs>
          <w:tab w:leader="none" w:pos="1529" w:val="left"/>
        </w:tabs>
        <w:numPr>
          <w:ilvl w:val="0"/>
          <w:numId w:val="45"/>
        </w:numPr>
        <w:rPr>
          <w:rFonts w:ascii="Arial" w:cs="Arial" w:eastAsia="Arial" w:hAnsi="Arial"/>
          <w:sz w:val="17"/>
          <w:szCs w:val="17"/>
          <w:color w:val="auto"/>
        </w:rPr>
      </w:pPr>
      <w:r>
        <w:rPr>
          <w:rFonts w:ascii="Arial" w:cs="Arial" w:eastAsia="Arial" w:hAnsi="Arial"/>
          <w:sz w:val="17"/>
          <w:szCs w:val="17"/>
          <w:color w:val="auto"/>
        </w:rPr>
        <w:t>encountering difficulties in the separation of operations, platforms, solutions or personnel; (vi) retaining future liabilities as a result of contractual indemnity obligations; and (vii) loss of, or damage to our relationships with, any of our key employees, clients, third-party providers or other business partners.</w:t>
      </w:r>
    </w:p>
    <w:p>
      <w:pPr>
        <w:spacing w:after="0" w:line="65"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We cannot readily predict the timing or size of any future acquisition or divestiture, and there can be no assurance that we will realize any anticipated benefits from any such acquisition or divestiture. If we do not realize any such anticipated benefits, our business, financial condition and results of operations could be materially adversely affected.</w:t>
      </w:r>
    </w:p>
    <w:p>
      <w:pPr>
        <w:spacing w:after="0" w:line="173" w:lineRule="exact"/>
        <w:rPr>
          <w:sz w:val="20"/>
          <w:szCs w:val="20"/>
          <w:color w:val="auto"/>
        </w:rPr>
      </w:pPr>
    </w:p>
    <w:p>
      <w:pPr>
        <w:ind w:left="1260" w:right="1099"/>
        <w:spacing w:after="0" w:line="246" w:lineRule="auto"/>
        <w:rPr>
          <w:sz w:val="20"/>
          <w:szCs w:val="20"/>
          <w:color w:val="auto"/>
        </w:rPr>
      </w:pPr>
      <w:r>
        <w:rPr>
          <w:rFonts w:ascii="Arial" w:cs="Arial" w:eastAsia="Arial" w:hAnsi="Arial"/>
          <w:sz w:val="18"/>
          <w:szCs w:val="18"/>
          <w:b w:val="1"/>
          <w:bCs w:val="1"/>
          <w:i w:val="1"/>
          <w:iCs w:val="1"/>
          <w:color w:val="auto"/>
        </w:rPr>
        <w:t>If we enter into strategic alliances, partnerships or joint ventures, we may not realize the anticipated strategic goals for any such transactions.</w:t>
      </w:r>
    </w:p>
    <w:p>
      <w:pPr>
        <w:spacing w:after="0" w:line="75"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From time to time, we may enter into strategic alliances, partnerships or joint ventures as a means to accelerate our entry into new markets, provide new solutions or enhance our existing capabilities. Entering into strategic alliances, partnerships and joint ventures entails risks, including: (i) difficulties in developing or expanding the business of newly formed alliances, partnerships and joint ventures; (ii) exercising influence over the activities of joint ventures in which we do not have a controlling interest; (iii) potential conflicts with or among our partners; (iv) the possibility that our partners could take action without our approval or prevent us from taking action; and (v) the possibility that our partners become bankrupt or otherwise lack the financial resources to meet their obligations.</w:t>
      </w:r>
    </w:p>
    <w:p>
      <w:pPr>
        <w:sectPr>
          <w:pgSz w:w="11900" w:h="16838" w:orient="portrait"/>
          <w:cols w:equalWidth="0" w:num="1">
            <w:col w:w="10139"/>
          </w:cols>
          <w:pgMar w:left="320" w:top="132" w:right="1440" w:bottom="1440" w:gutter="0" w:footer="0" w:header="0"/>
        </w:sectPr>
      </w:pPr>
    </w:p>
    <w:p>
      <w:pPr>
        <w:spacing w:after="0" w:line="25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2" w:name="page63"/>
    <w:bookmarkEnd w:id="6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In addition, there may be a long negotiation period before we enter into a strategic alliance, partnership or joint venture or a long preparation period before we commence providing trading venues and solutions and/or begin earning revenues pursuant to such arrangement. We typically incur significant business development expenses, and management’s attention may be diverted from the operation of our existing business, during the discussion and negotiation period with no guarantee of consummation of the proposed transaction. Even if we succeed in developing a strategic alliance, partnership or joint venture with a new partner, we may not be successful in maintaining the relationship, which may have a material adverse effect on our business, financial condition or results of operations.</w:t>
      </w:r>
    </w:p>
    <w:p>
      <w:pPr>
        <w:spacing w:after="0" w:line="70"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We cannot assure you that we will be able to enter into strategic alliances, partnerships or joint ventures on terms that are favorable to us, or at all, or that any strategic alliance, partnership or joint venture we have entered into or may enter into will be successful. In particular, these arrangements may not generate the expected number of new clients or increased trading volumes or revenues or other benefits we seek. Unsuccessful strategic alliances, partnerships or joint ventures could harm our reputation and have a material adverse effect on our business, financial condition and results of operations.</w:t>
      </w:r>
    </w:p>
    <w:p>
      <w:pPr>
        <w:spacing w:after="0" w:line="164" w:lineRule="exact"/>
        <w:rPr>
          <w:sz w:val="20"/>
          <w:szCs w:val="20"/>
          <w:color w:val="auto"/>
        </w:rPr>
      </w:pPr>
    </w:p>
    <w:p>
      <w:pPr>
        <w:ind w:left="1260" w:right="739"/>
        <w:spacing w:after="0" w:line="246" w:lineRule="auto"/>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75"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Our quarterly operating results may vary significantly in the future, and period-to-period comparisons of our operating results may not be meaningful. Accordingly, the results of any one quarter should not be relied upon as an indication of future performance. Our quarterly financial results may fluctuate as a result of a variety of factors and, as a result, may not fully reflect the underlying performance of our business. Fluctuations in quarterly results may negatively impact the price at which our Class A common stock trades. Factors that may cause fluctuations in our quarterly financial results include, but are not limited to:</w:t>
      </w:r>
    </w:p>
    <w:p>
      <w:pPr>
        <w:spacing w:after="0" w:line="83" w:lineRule="exact"/>
        <w:rPr>
          <w:sz w:val="20"/>
          <w:szCs w:val="20"/>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fluctuations in overall trading volumes or our market share for our key products;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addition or loss of clients;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unpredictability of the financial services industry;</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drive an increase in the use of our trading platforms by new and existing clients;</w:t>
      </w:r>
    </w:p>
    <w:p>
      <w:pPr>
        <w:spacing w:after="0" w:line="130" w:lineRule="exact"/>
        <w:rPr>
          <w:rFonts w:ascii="Arial" w:cs="Arial" w:eastAsia="Arial" w:hAnsi="Arial"/>
          <w:sz w:val="18"/>
          <w:szCs w:val="18"/>
          <w:color w:val="auto"/>
        </w:rPr>
      </w:pPr>
    </w:p>
    <w:p>
      <w:pPr>
        <w:ind w:left="1980" w:right="1279" w:hanging="352"/>
        <w:spacing w:after="0" w:line="277"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mix of products and volumes traded, changes in fee plans and average variable fees per million;</w:t>
      </w:r>
    </w:p>
    <w:p>
      <w:pPr>
        <w:spacing w:after="0" w:line="75" w:lineRule="exact"/>
        <w:rPr>
          <w:rFonts w:ascii="Arial" w:cs="Arial" w:eastAsia="Arial" w:hAnsi="Arial"/>
          <w:sz w:val="18"/>
          <w:szCs w:val="18"/>
          <w:color w:val="auto"/>
        </w:rPr>
      </w:pPr>
    </w:p>
    <w:p>
      <w:pPr>
        <w:ind w:left="1980" w:right="899" w:hanging="352"/>
        <w:spacing w:after="0" w:line="277"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 and timing of expenses, including those related to the maintenance and expansion of our business, operations and infrastructure;</w:t>
      </w:r>
    </w:p>
    <w:p>
      <w:pPr>
        <w:spacing w:after="0" w:line="62" w:lineRule="exact"/>
        <w:rPr>
          <w:rFonts w:ascii="Arial" w:cs="Arial" w:eastAsia="Arial" w:hAnsi="Arial"/>
          <w:sz w:val="18"/>
          <w:szCs w:val="18"/>
          <w:color w:val="auto"/>
        </w:rPr>
      </w:pPr>
    </w:p>
    <w:p>
      <w:pPr>
        <w:ind w:left="1980" w:right="1359" w:hanging="352"/>
        <w:spacing w:after="0" w:line="277"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network or service outages, internet disruptions, the availability of our platforms, security breaches or perceived security breaches;</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economic, political, social, industry and market conditions;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our business strategies and pricing policies (or those of our competitors);</w:t>
      </w:r>
    </w:p>
    <w:p>
      <w:pPr>
        <w:spacing w:after="0" w:line="117" w:lineRule="exact"/>
        <w:rPr>
          <w:rFonts w:ascii="Arial" w:cs="Arial" w:eastAsia="Arial" w:hAnsi="Arial"/>
          <w:sz w:val="18"/>
          <w:szCs w:val="18"/>
          <w:color w:val="auto"/>
        </w:rPr>
      </w:pPr>
    </w:p>
    <w:p>
      <w:pPr>
        <w:ind w:left="1980" w:right="1099" w:hanging="352"/>
        <w:spacing w:after="0" w:line="279" w:lineRule="auto"/>
        <w:tabs>
          <w:tab w:leader="none" w:pos="1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timing and success of our entry into new markets or introductions of new or enhanced platforms or solutions by us or our competitors, including disruptive technology, or any other change in the competitive dynamics of our industry, including consolidation or new entrants among competitors, market participants or strategic alliances;</w:t>
      </w:r>
    </w:p>
    <w:p>
      <w:pPr>
        <w:spacing w:after="0" w:line="76" w:lineRule="exact"/>
        <w:rPr>
          <w:rFonts w:ascii="Arial" w:cs="Arial" w:eastAsia="Arial" w:hAnsi="Arial"/>
          <w:sz w:val="17"/>
          <w:szCs w:val="17"/>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timing and success of any acquisitions, divestitures or strategic alliances;</w:t>
      </w:r>
    </w:p>
    <w:p>
      <w:pPr>
        <w:spacing w:after="0" w:line="130" w:lineRule="exact"/>
        <w:rPr>
          <w:rFonts w:ascii="Arial" w:cs="Arial" w:eastAsia="Arial" w:hAnsi="Arial"/>
          <w:sz w:val="18"/>
          <w:szCs w:val="18"/>
          <w:color w:val="auto"/>
        </w:rPr>
      </w:pPr>
    </w:p>
    <w:p>
      <w:pPr>
        <w:ind w:left="1980" w:right="779" w:hanging="352"/>
        <w:spacing w:after="0" w:line="263"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platforms, solutions, technologies or businesses and potential future charges for impairment of goodwill from acquired companies;</w:t>
      </w:r>
    </w:p>
    <w:p>
      <w:pPr>
        <w:spacing w:after="0" w:line="89" w:lineRule="exact"/>
        <w:rPr>
          <w:rFonts w:ascii="Arial" w:cs="Arial" w:eastAsia="Arial" w:hAnsi="Arial"/>
          <w:sz w:val="18"/>
          <w:szCs w:val="18"/>
          <w:color w:val="auto"/>
        </w:rPr>
      </w:pPr>
    </w:p>
    <w:p>
      <w:pPr>
        <w:ind w:left="1980" w:right="1579" w:hanging="352"/>
        <w:spacing w:after="0" w:line="277"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new, or changes to existing, regulations that limit or affect our platforms, solutions and technologies or which increase our regulatory compliance costs; and</w:t>
      </w:r>
    </w:p>
    <w:p>
      <w:pPr>
        <w:spacing w:after="0" w:line="75" w:lineRule="exact"/>
        <w:rPr>
          <w:rFonts w:ascii="Arial" w:cs="Arial" w:eastAsia="Arial" w:hAnsi="Arial"/>
          <w:sz w:val="18"/>
          <w:szCs w:val="18"/>
          <w:color w:val="auto"/>
        </w:rPr>
      </w:pPr>
    </w:p>
    <w:p>
      <w:pPr>
        <w:ind w:left="1980" w:right="939" w:hanging="352"/>
        <w:spacing w:after="0" w:line="277"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timing and magnitude of any adjustments in our consolidated financial statements driven by changes in the liability under the Tax Receivable Agreement.</w:t>
      </w:r>
    </w:p>
    <w:p>
      <w:pPr>
        <w:sectPr>
          <w:pgSz w:w="11900" w:h="16838" w:orient="portrait"/>
          <w:cols w:equalWidth="0" w:num="1">
            <w:col w:w="10139"/>
          </w:cols>
          <w:pgMar w:left="320" w:top="132" w:right="1440" w:bottom="1440" w:gutter="0" w:footer="0" w:header="0"/>
        </w:sectPr>
      </w:pPr>
    </w:p>
    <w:p>
      <w:pPr>
        <w:spacing w:after="0" w:line="22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3" w:name="page64"/>
    <w:bookmarkEnd w:id="6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1079"/>
        <w:spacing w:after="0" w:line="307" w:lineRule="auto"/>
        <w:rPr>
          <w:sz w:val="20"/>
          <w:szCs w:val="20"/>
          <w:color w:val="auto"/>
        </w:rPr>
      </w:pPr>
      <w:r>
        <w:rPr>
          <w:rFonts w:ascii="Arial" w:cs="Arial" w:eastAsia="Arial" w:hAnsi="Arial"/>
          <w:sz w:val="16"/>
          <w:szCs w:val="16"/>
          <w:b w:val="1"/>
          <w:bCs w:val="1"/>
          <w:i w:val="1"/>
          <w:iCs w:val="1"/>
          <w:color w:val="auto"/>
        </w:rPr>
        <w:t>Failure to retain our existing senior management team or the inability to attract and retain qualified personnel could materially adversely impact our ability to operate or grow our business.</w:t>
      </w:r>
    </w:p>
    <w:p>
      <w:pPr>
        <w:spacing w:after="0" w:line="29" w:lineRule="exact"/>
        <w:rPr>
          <w:sz w:val="20"/>
          <w:szCs w:val="20"/>
          <w:color w:val="auto"/>
        </w:rPr>
      </w:pPr>
    </w:p>
    <w:p>
      <w:pPr>
        <w:ind w:left="1260" w:right="879" w:firstLine="360"/>
        <w:spacing w:after="0" w:line="274" w:lineRule="auto"/>
        <w:rPr>
          <w:sz w:val="20"/>
          <w:szCs w:val="20"/>
          <w:color w:val="auto"/>
        </w:rPr>
      </w:pPr>
      <w:r>
        <w:rPr>
          <w:rFonts w:ascii="Arial" w:cs="Arial" w:eastAsia="Arial" w:hAnsi="Arial"/>
          <w:sz w:val="17"/>
          <w:szCs w:val="17"/>
          <w:color w:val="auto"/>
        </w:rPr>
        <w:t>The success of our business depends upon the skills, experience and efforts of our executive officers, particularly Lee Olesky, our Chief Executive Officer, and Billy Hult, our President. The terms of</w:t>
      </w:r>
    </w:p>
    <w:p>
      <w:pPr>
        <w:ind w:left="1260" w:right="739"/>
        <w:spacing w:after="0" w:line="269" w:lineRule="auto"/>
        <w:rPr>
          <w:sz w:val="20"/>
          <w:szCs w:val="20"/>
          <w:color w:val="auto"/>
        </w:rPr>
      </w:pPr>
      <w:r>
        <w:rPr>
          <w:rFonts w:ascii="Arial" w:cs="Arial" w:eastAsia="Arial" w:hAnsi="Arial"/>
          <w:sz w:val="17"/>
          <w:szCs w:val="17"/>
          <w:color w:val="auto"/>
        </w:rPr>
        <w:t>Messrs. Olesky’s and Hult’s employment agreements with us do not require them to continue to work for us and allow them to terminate their employment at any time, subject to certain notice requirements and forfeiture of non-vested equity awards. Although we have invested in succession planning, the loss of key members of our senior management team could nevertheless have a material adverse effect on our business, financial condition and results of operations. Should we lose the services of any member of our senior management team, we would have to conduct a search for a qualified replacement. This search may be prolonged, and we may not be able to locate and hire a qualified replacement.</w:t>
      </w:r>
    </w:p>
    <w:p>
      <w:pPr>
        <w:spacing w:after="0" w:line="72"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Our business also depends on our ability to continue to attract, motivate and retain a large number of highly qualified personnel in order to support our clients and achieve business results. There is a limited pool of employees who have the requisite skills, training and education. Identifying, recruiting, training, integrating and retaining qualified personnel requires significant time, expense and attention, and the market for qualified personnel, particularly those with experience in technology, clearing and settlement, product management and regulatory compliance, has become increasingly competitive as an increasing number of companies seek to enhance their positions in the markets we serve. In particular, we compete for technology personnel with highly innovative technology companies and large companies focused on technology development. Many of these companies have significant financial resources and recognized brands and are able to offer more attractive employment opportunities and more lucrative compensation packages. Our inability to attract, retain and motivate personnel with the requisite skills could impair our ability to develop new platforms, platform features or solutions, enhance our existing platforms and solutions, grow our client base, enter into new markets, operate under various regulatory frameworks or manage our business effectively.</w:t>
      </w:r>
    </w:p>
    <w:p>
      <w:pPr>
        <w:spacing w:after="0" w:line="184" w:lineRule="exact"/>
        <w:rPr>
          <w:sz w:val="20"/>
          <w:szCs w:val="20"/>
          <w:color w:val="auto"/>
        </w:rPr>
      </w:pPr>
    </w:p>
    <w:p>
      <w:pPr>
        <w:ind w:left="1260" w:right="759"/>
        <w:spacing w:after="0" w:line="246" w:lineRule="auto"/>
        <w:rPr>
          <w:sz w:val="20"/>
          <w:szCs w:val="20"/>
          <w:color w:val="auto"/>
        </w:rPr>
      </w:pPr>
      <w:r>
        <w:rPr>
          <w:rFonts w:ascii="Arial" w:cs="Arial" w:eastAsia="Arial" w:hAnsi="Arial"/>
          <w:sz w:val="18"/>
          <w:szCs w:val="18"/>
          <w:b w:val="1"/>
          <w:bCs w:val="1"/>
          <w:i w:val="1"/>
          <w:iCs w:val="1"/>
          <w:color w:val="auto"/>
        </w:rPr>
        <w:t>Damage to our reputation or brand could negatively impact our business, financial condition and results of operations.</w:t>
      </w:r>
    </w:p>
    <w:p>
      <w:pPr>
        <w:spacing w:after="0" w:line="75"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Our reputation and the quality of our brand are critical to our business, and we must protect and grow the value of our brand in order for us to continue to be successful. Any incident that erodes client loyalty for our brand could significantly reduce its value and damage our business. We may be adversely affected by any negative publicity, regardless of its accuracy, including with respect to, among other things, the quality and reliability of our platforms and solutions, the accuracy of our market data, our ability to maintain the security of our data and systems, networks and infrastructure and any impropriety, misconduct or fraudulent activity by any person formerly or currently associated with us.</w:t>
      </w:r>
    </w:p>
    <w:p>
      <w:pPr>
        <w:spacing w:after="0" w:line="69" w:lineRule="exact"/>
        <w:rPr>
          <w:sz w:val="20"/>
          <w:szCs w:val="20"/>
          <w:color w:val="auto"/>
        </w:rPr>
      </w:pPr>
    </w:p>
    <w:p>
      <w:pPr>
        <w:ind w:left="1260" w:right="859" w:firstLine="360"/>
        <w:spacing w:after="0" w:line="254" w:lineRule="auto"/>
        <w:rPr>
          <w:sz w:val="20"/>
          <w:szCs w:val="20"/>
          <w:color w:val="auto"/>
        </w:rPr>
      </w:pPr>
      <w:r>
        <w:rPr>
          <w:rFonts w:ascii="Arial" w:cs="Arial" w:eastAsia="Arial" w:hAnsi="Arial"/>
          <w:sz w:val="18"/>
          <w:szCs w:val="18"/>
          <w:color w:val="auto"/>
        </w:rPr>
        <w:t>Also, there has been a marked increase in the use of blogs, social media platforms and other forms of Internet-based communications that provide individuals with access to a broad audience of interested persons. The opportunity for dissemination of information, including inaccurate information, is seemingly limitless and readily available. Information may be posted on such sites and platforms at any time. Information posted may be adverse to our interests or may be inaccurate, each of which may harm our business and reputation. The harm may be immediate without affording us an opportunity for redress or correction.</w:t>
      </w:r>
    </w:p>
    <w:p>
      <w:pPr>
        <w:spacing w:after="0" w:line="87"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Ultimately, the risks associated with any negative publicity or actual, alleged or perceived issues regarding our business or any person formerly or currently associated with us cannot be completely eliminated or mitigated and may materially harm our reputation, business, financial condition and results of operations.</w:t>
      </w:r>
    </w:p>
    <w:p>
      <w:pPr>
        <w:spacing w:after="0" w:line="173" w:lineRule="exact"/>
        <w:rPr>
          <w:sz w:val="20"/>
          <w:szCs w:val="20"/>
          <w:color w:val="auto"/>
        </w:rPr>
      </w:pPr>
    </w:p>
    <w:p>
      <w:pPr>
        <w:ind w:left="1260" w:right="1219"/>
        <w:spacing w:after="0" w:line="246"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which, in turn, could materially adversely affect our brand and our business.</w:t>
      </w:r>
    </w:p>
    <w:p>
      <w:pPr>
        <w:spacing w:after="0" w:line="75" w:lineRule="exact"/>
        <w:rPr>
          <w:sz w:val="20"/>
          <w:szCs w:val="20"/>
          <w:color w:val="auto"/>
        </w:rPr>
      </w:pPr>
    </w:p>
    <w:p>
      <w:pPr>
        <w:ind w:left="1260" w:right="719" w:firstLine="360"/>
        <w:spacing w:after="0" w:line="286" w:lineRule="auto"/>
        <w:rPr>
          <w:sz w:val="20"/>
          <w:szCs w:val="20"/>
          <w:color w:val="auto"/>
        </w:rPr>
      </w:pPr>
      <w:r>
        <w:rPr>
          <w:rFonts w:ascii="Arial" w:cs="Arial" w:eastAsia="Arial" w:hAnsi="Arial"/>
          <w:sz w:val="17"/>
          <w:szCs w:val="17"/>
          <w:color w:val="auto"/>
        </w:rPr>
        <w:t>Our success depends in part on our proprietary technology, processes, methodologies and information and on our ability to further build brand recognition using our tradenames and logos. We rely primarily on a combination of U.S. and foreign patent, copyright, trademark, service mark and trade secret laws and</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59"/>
        <w:spacing w:after="0" w:line="269" w:lineRule="auto"/>
        <w:rPr>
          <w:sz w:val="20"/>
          <w:szCs w:val="20"/>
          <w:color w:val="auto"/>
        </w:rPr>
      </w:pPr>
      <w:r>
        <w:rPr>
          <w:rFonts w:ascii="Arial" w:cs="Arial" w:eastAsia="Arial" w:hAnsi="Arial"/>
          <w:sz w:val="17"/>
          <w:szCs w:val="17"/>
          <w:color w:val="auto"/>
        </w:rPr>
        <w:t>nondisclosure, license, assignment and confidentiality arrangements to establish, maintain and protect our proprietary rights as well as the intellectual property rights of third parties whose content, data, information and other materials we license. We can give no assurances that any such patents, copyrights, trademarks, service marks and other intellectual property rights will protect our business from competition or that any intellectual property rights applied for in the future will be issued. In addition, the steps we take to protect our intellectual property may not adequately protect our rights or prevent third parties from infringing or misappropriating our rights, and third parties may successfully challenge the validity and/or enforceability of our intellectual property rights. Furthermore, we cannot assure you that these protections will be adequate to prevent our competitors from independently developing logos, platforms, solutions or technologies that are substantially equivalent or superior to our logos, platforms, solutions or technologies.</w:t>
      </w:r>
    </w:p>
    <w:p>
      <w:pPr>
        <w:spacing w:after="0" w:line="77"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The protection of our intellectual property may require the expenditure of financial and managerial resources. Litigation brought to protect and enforce our intellectual property rights could be costly, time-consuming and distracting to management and may result in the impairment or loss of portions of our intellectual property. In addition, the laws of some countries in which we now or in the future provide our platforms and solutions may not protect intellectual property rights to the same extent as the laws of the United States. If our efforts to secure, protect and enforce our intellectual property rights are inadequate, or if any third party misappropriates, dilutes or infringes on our intellectual property, the value of our brand may be harmed, which could have a material adverse effect on our business.</w:t>
      </w:r>
    </w:p>
    <w:p>
      <w:pPr>
        <w:spacing w:after="0" w:line="165" w:lineRule="exact"/>
        <w:rPr>
          <w:sz w:val="20"/>
          <w:szCs w:val="20"/>
          <w:color w:val="auto"/>
        </w:rPr>
      </w:pPr>
    </w:p>
    <w:p>
      <w:pPr>
        <w:ind w:left="1260" w:right="919"/>
        <w:spacing w:after="0" w:line="235" w:lineRule="auto"/>
        <w:rPr>
          <w:sz w:val="20"/>
          <w:szCs w:val="20"/>
          <w:color w:val="auto"/>
        </w:rPr>
      </w:pPr>
      <w:r>
        <w:rPr>
          <w:rFonts w:ascii="Arial" w:cs="Arial" w:eastAsia="Arial" w:hAnsi="Arial"/>
          <w:sz w:val="18"/>
          <w:szCs w:val="18"/>
          <w:b w:val="1"/>
          <w:bCs w:val="1"/>
          <w:i w:val="1"/>
          <w:iCs w:val="1"/>
          <w:color w:val="auto"/>
        </w:rPr>
        <w:t>Third parties may claim that we are infringing or misappropriating their intellectual property rights, which could cause us to suffer competitive injury, expend significant resources defending against such claims or be prevented from offering our platforms and solutions.</w:t>
      </w:r>
    </w:p>
    <w:p>
      <w:pPr>
        <w:spacing w:after="0" w:line="80"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Our competitors, as well as other companies and individuals, may have obtained, and may be expected to obtain in the future, intellectual property rights related to the types of platforms and solutions we currently provide or plan to provide. In particular, as the number of trading platforms increases and the functionality of these platforms and related solutions further overlaps, the possibility of intellectual property rights claims against us grows. We cannot assure you that we are or will be aware of all third-party intellectual property rights that may pose a risk of infringement or misappropriation to our platforms, solutions, technologies or the manner in which we operate our business.</w:t>
      </w:r>
    </w:p>
    <w:p>
      <w:pPr>
        <w:spacing w:after="0" w:line="69"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We have in the past been, are currently, and may from time to time in the future become subject to legal proceedings and claims relating to the intellectual property rights of others. The costs of supporting legal and dispute resolution proceedings are considerable, and there can be no assurance that a favorable outcome will be obtained. We may need to settle litigation and disputes on terms that are unfavorable to us, or we may be subject to an unfavorable judgment. The terms of any settlement or judgment may require us to cease some or all of our operations, pay substantial amounts to the other party and/or seek a license to continue practices found to be in violation of third-party intellectual property rights, which may not be available on reasonable terms and may significantly increase our operating expenses. A license may not be available to us at all, and we may be required to develop alternative non-infringing platforms, solutions, technologies or practices or discontinue use of such platforms, solutions, technologies or practices. Any development efforts could require significant effort and expense and, as result, our business, results of operations and financial condition could be materially adversely affected.</w:t>
      </w:r>
    </w:p>
    <w:p>
      <w:pPr>
        <w:spacing w:after="0" w:line="165" w:lineRule="exact"/>
        <w:rPr>
          <w:sz w:val="20"/>
          <w:szCs w:val="20"/>
          <w:color w:val="auto"/>
        </w:rPr>
      </w:pPr>
    </w:p>
    <w:p>
      <w:pPr>
        <w:ind w:left="1260" w:right="1079"/>
        <w:spacing w:after="0" w:line="307" w:lineRule="auto"/>
        <w:rPr>
          <w:sz w:val="20"/>
          <w:szCs w:val="20"/>
          <w:color w:val="auto"/>
        </w:rPr>
      </w:pPr>
      <w:r>
        <w:rPr>
          <w:rFonts w:ascii="Arial" w:cs="Arial" w:eastAsia="Arial" w:hAnsi="Arial"/>
          <w:sz w:val="16"/>
          <w:szCs w:val="16"/>
          <w:b w:val="1"/>
          <w:bCs w:val="1"/>
          <w:i w:val="1"/>
          <w:iCs w:val="1"/>
          <w:color w:val="auto"/>
        </w:rPr>
        <w:t>Extensive regulation of our industry results in ongoing exposure to significant costs and penalties, enhanced oversight and restrictions and limitations on our ability to conduct and grow our business.</w:t>
      </w:r>
    </w:p>
    <w:p>
      <w:pPr>
        <w:spacing w:after="0" w:line="29"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The financial services industry, including our business, is subject to extensive regulation by governmental and self-regulatory organizations in the jurisdictions in which we operate. These regulators have broad powers to promulgate and interpret laws, rules and regulations that often serve to restrict or limit our business. The requirements imposed by these regulators are designed to safeguard the integrity of the financial markets and to protect public investors generally rather than the interests of our stockholders, and we could become subject to increased governmental and public scrutiny in the future in response to global conditions and events. The SEC, the CFTC, the Financial Industry Regulatory Authority, Inc. (“FINRA”), the National Futures Association (“NFA”) and other authorities extensively regulate the U.S. financial services industry, including most of our operations in the United States. Much of our</w:t>
      </w:r>
    </w:p>
    <w:p>
      <w:pPr>
        <w:spacing w:after="0" w:line="24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73" w:lineRule="auto"/>
        <w:rPr>
          <w:sz w:val="20"/>
          <w:szCs w:val="20"/>
          <w:color w:val="auto"/>
        </w:rPr>
      </w:pPr>
      <w:r>
        <w:rPr>
          <w:rFonts w:ascii="Arial" w:cs="Arial" w:eastAsia="Arial" w:hAnsi="Arial"/>
          <w:sz w:val="17"/>
          <w:szCs w:val="17"/>
          <w:color w:val="auto"/>
        </w:rPr>
        <w:t>international operations are subject to similar regulations in their respective jurisdictions, including regulations overseen by the Financial Conduct Authority (“FCA”) in the United Kingdom, De Nederlandsche Bank (“DNB”), the Netherlands Authority for the Financial Markets (“AFM”), the Monetary Authority of Singapore, the Hong Kong Securities and Futures Commission, the Investment Industry Regulatory Organization of Canada and provincial regulators in Canada, the Japanese Financial Services Agency, the Japan Securities Dealers Association and the Australian Securities and Investment Commission.</w:t>
      </w:r>
    </w:p>
    <w:p>
      <w:pPr>
        <w:spacing w:after="0" w:line="70" w:lineRule="exact"/>
        <w:rPr>
          <w:sz w:val="20"/>
          <w:szCs w:val="20"/>
          <w:color w:val="auto"/>
        </w:rPr>
      </w:pPr>
    </w:p>
    <w:p>
      <w:pPr>
        <w:ind w:left="1260" w:right="779" w:firstLine="360"/>
        <w:spacing w:after="0" w:line="285" w:lineRule="auto"/>
        <w:rPr>
          <w:sz w:val="20"/>
          <w:szCs w:val="20"/>
          <w:color w:val="auto"/>
        </w:rPr>
      </w:pPr>
      <w:r>
        <w:rPr>
          <w:rFonts w:ascii="Arial" w:cs="Arial" w:eastAsia="Arial" w:hAnsi="Arial"/>
          <w:sz w:val="16"/>
          <w:szCs w:val="16"/>
          <w:color w:val="auto"/>
        </w:rPr>
        <w:t>Most aspects of our business, and in particular our broker-dealer, SEF and introducing broker subsidiaries, are subject to laws, rules and regulations that cover all aspects of our business, including manner of operation, system integrity, anti-money laundering and financial crimes, handling of material non-public information, safeguarding data, capital requirements, reporting, record retention, market access, licensing of employees and the conduct of officers, employees and other associated persons. See “Business</w:t>
      </w:r>
    </w:p>
    <w:p>
      <w:pPr>
        <w:spacing w:after="0" w:line="2" w:lineRule="exact"/>
        <w:rPr>
          <w:sz w:val="20"/>
          <w:szCs w:val="20"/>
          <w:color w:val="auto"/>
        </w:rPr>
      </w:pPr>
    </w:p>
    <w:p>
      <w:pPr>
        <w:ind w:left="1260" w:right="679"/>
        <w:spacing w:after="0" w:line="252" w:lineRule="auto"/>
        <w:rPr>
          <w:sz w:val="20"/>
          <w:szCs w:val="20"/>
          <w:color w:val="auto"/>
        </w:rPr>
      </w:pPr>
      <w:r>
        <w:rPr>
          <w:rFonts w:ascii="Arial" w:cs="Arial" w:eastAsia="Arial" w:hAnsi="Arial"/>
          <w:sz w:val="18"/>
          <w:szCs w:val="18"/>
          <w:color w:val="auto"/>
        </w:rPr>
        <w:t>— Regulation” in the 2019 Form 10-K, incorporated by reference in this prospectus, for a further description of the laws, rules and regulations that materially impact our business. There can be no assurance that we and/or our directors, officers and employees will be able to fully comply with these laws, rules and regulations. Any failure to comply with such legal and regulatory requirements could subject us to increased costs, fines, penalties or other sanctions, including suspensions of, or prohibitions on, certain of our activities, revocations of certain of our licenses or registrations, such as our membership in FINRA or our registration as a broker-dealer, or suspension of personnel.</w:t>
      </w:r>
    </w:p>
    <w:p>
      <w:pPr>
        <w:spacing w:after="0" w:line="84" w:lineRule="exact"/>
        <w:rPr>
          <w:sz w:val="20"/>
          <w:szCs w:val="20"/>
          <w:color w:val="auto"/>
        </w:rPr>
      </w:pPr>
    </w:p>
    <w:p>
      <w:pPr>
        <w:ind w:left="1260" w:right="939" w:firstLine="360"/>
        <w:spacing w:after="0" w:line="275" w:lineRule="auto"/>
        <w:rPr>
          <w:sz w:val="20"/>
          <w:szCs w:val="20"/>
          <w:color w:val="auto"/>
        </w:rPr>
      </w:pPr>
      <w:r>
        <w:rPr>
          <w:rFonts w:ascii="Arial" w:cs="Arial" w:eastAsia="Arial" w:hAnsi="Arial"/>
          <w:sz w:val="17"/>
          <w:szCs w:val="17"/>
          <w:color w:val="auto"/>
        </w:rPr>
        <w:t>Certain of our subsidiaries are subject to net capital and similar financial resource requirements. For example, our SEF subsidiaries are required to maintain sufficient financial resources to cover operating costs for at least one year. These net capital and related requirements may restrict our ability to withdraw capital from our regulated subsidiaries in certain circumstances, including through the payment of dividends, the redemption of stock or the making of unsecured advances or loans.</w:t>
      </w:r>
    </w:p>
    <w:p>
      <w:pPr>
        <w:spacing w:after="0" w:line="6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Some of our subsidiaries are subject to regulations, including under FINRA, the FCA and the DNB, regarding changes in control of their ownership or organizational structure as defined by the applicable regulatory body. These regulations generally provide that prior regulatory approval must be obtained in connection with any transaction resulting in a change in control or organizational structure of the subsidiary, such as changes in direct and indirect ownership or changes in the composition of the board of directors or similar body or the appointment of new officers, and may include similar changes that occur at Tradeweb Markets Inc. or any of its stockholders that may be deemed to hold a controlling interest as defined by the applicable regulatory body. As a result of these regulations, our future efforts to sell shares or raise additional capital, or to make changes to our organizational structure, may be delayed or prohibited in circumstances in which such a transaction would give rise to a change in control or organizational structure as defined by the applicable regulatory body.</w:t>
      </w:r>
    </w:p>
    <w:p>
      <w:pPr>
        <w:spacing w:after="0" w:line="84" w:lineRule="exact"/>
        <w:rPr>
          <w:sz w:val="20"/>
          <w:szCs w:val="20"/>
          <w:color w:val="auto"/>
        </w:rPr>
      </w:pPr>
    </w:p>
    <w:p>
      <w:pPr>
        <w:ind w:left="1260" w:right="839" w:firstLine="360"/>
        <w:spacing w:after="0" w:line="254" w:lineRule="auto"/>
        <w:rPr>
          <w:sz w:val="20"/>
          <w:szCs w:val="20"/>
          <w:color w:val="auto"/>
        </w:rPr>
      </w:pPr>
      <w:r>
        <w:rPr>
          <w:rFonts w:ascii="Arial" w:cs="Arial" w:eastAsia="Arial" w:hAnsi="Arial"/>
          <w:sz w:val="18"/>
          <w:szCs w:val="18"/>
          <w:color w:val="auto"/>
        </w:rPr>
        <w:t>Our ability to operate our trading platforms or offer our solutions in a particular jurisdiction is dependent on continued registration or authorization in that jurisdiction (or the maintenance of a valid exemption from such registration or authorization). In addition, regulatory approval may be required to expand certain of our operations and activities, and we may not be able to obtain the necessary regulatory approvals on a timely or cost-effective basis, or at all. Even if regulatory approvals are obtained, they may limit or impose restrictions on our operations and activities, and we may not be able to continue to comply with the terms of such approvals.</w:t>
      </w:r>
    </w:p>
    <w:p>
      <w:pPr>
        <w:spacing w:after="0" w:line="87"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We incur significant costs, and will continue to devote significant financial and operational resources, to develop, implement and maintain policies, systems and processes to comply with our evolving legal and regulatory requirements. Future laws, rules and regulations, or adverse changes to, or more stringent enforcement of, existing laws, rules and regulations, could increase these costs and expose us to significant liabilities.</w:t>
      </w:r>
    </w:p>
    <w:p>
      <w:pPr>
        <w:spacing w:after="0" w:line="80" w:lineRule="exact"/>
        <w:rPr>
          <w:sz w:val="20"/>
          <w:szCs w:val="20"/>
          <w:color w:val="auto"/>
        </w:rPr>
      </w:pPr>
    </w:p>
    <w:p>
      <w:pPr>
        <w:ind w:left="1260" w:right="759" w:firstLine="360"/>
        <w:spacing w:after="0" w:line="279" w:lineRule="auto"/>
        <w:rPr>
          <w:sz w:val="20"/>
          <w:szCs w:val="20"/>
          <w:color w:val="auto"/>
        </w:rPr>
      </w:pPr>
      <w:r>
        <w:rPr>
          <w:rFonts w:ascii="Arial" w:cs="Arial" w:eastAsia="Arial" w:hAnsi="Arial"/>
          <w:sz w:val="17"/>
          <w:szCs w:val="17"/>
          <w:color w:val="auto"/>
        </w:rPr>
        <w:t>Our regulators generally require strict compliance with their laws, rules and regulations, and may investigate and enforce compliance and punish non-compliance. Many of our regulators, as well as other governmental authorities, are empowered to bring enforcement actions and to conduct administrative proceedings, examinations, inspections and investigations, which may result in increased compliance costs,</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86" w:lineRule="auto"/>
        <w:rPr>
          <w:sz w:val="20"/>
          <w:szCs w:val="20"/>
          <w:color w:val="auto"/>
        </w:rPr>
      </w:pPr>
      <w:r>
        <w:rPr>
          <w:rFonts w:ascii="Arial" w:cs="Arial" w:eastAsia="Arial" w:hAnsi="Arial"/>
          <w:sz w:val="17"/>
          <w:szCs w:val="17"/>
          <w:color w:val="auto"/>
        </w:rPr>
        <w:t>penalties, fines, enhanced oversight, increased financial and capital requirements, additional restrictions or limitations, censure, suspension or other sanction, such as disgorgement, restitution or the revocation of regulatory approvals. The risks associated with such actions are difficult to assess or quantify.</w:t>
      </w:r>
    </w:p>
    <w:p>
      <w:pPr>
        <w:spacing w:after="0" w:line="57" w:lineRule="exact"/>
        <w:rPr>
          <w:sz w:val="20"/>
          <w:szCs w:val="20"/>
          <w:color w:val="auto"/>
        </w:rPr>
      </w:pPr>
    </w:p>
    <w:p>
      <w:pPr>
        <w:ind w:left="1260" w:right="819" w:firstLine="360"/>
        <w:spacing w:after="0" w:line="269" w:lineRule="auto"/>
        <w:rPr>
          <w:sz w:val="20"/>
          <w:szCs w:val="20"/>
          <w:color w:val="auto"/>
        </w:rPr>
      </w:pPr>
      <w:r>
        <w:rPr>
          <w:rFonts w:ascii="Arial" w:cs="Arial" w:eastAsia="Arial" w:hAnsi="Arial"/>
          <w:sz w:val="17"/>
          <w:szCs w:val="17"/>
          <w:color w:val="auto"/>
        </w:rPr>
        <w:t>In the normal course of our business, we have been, and continue to be from time to time, a party to various legal and regulatory proceedings related to compliance with applicable laws, rules and regulations, including audits, examinations and investigations of our operations and activities. Legal and regulatory actions, from subpoenas and other requests for information to potential criminal investigations, may divert management’s attention, cause us to incur significant expenses, including fees for legal representation and costs for remediation efforts, and result in fines, penalties or other sanctions. We may also be required to change or cease aspects of our operations or activities if a legal or regulatory authority determines that we have failed to comply with any laws, rules or regulations applicable to our business and/or otherwise determines to prohibit any of our operations or activities or revoke any of our approvals. In addition, regardless of the outcome, such actions may result in substantial costs and negative publicity, which may damage our reputation and impair our ability to attract and retain clients.</w:t>
      </w:r>
    </w:p>
    <w:p>
      <w:pPr>
        <w:spacing w:after="0" w:line="74" w:lineRule="exact"/>
        <w:rPr>
          <w:sz w:val="20"/>
          <w:szCs w:val="20"/>
          <w:color w:val="auto"/>
        </w:rPr>
      </w:pPr>
    </w:p>
    <w:p>
      <w:pPr>
        <w:ind w:left="1260" w:right="659" w:firstLine="360"/>
        <w:spacing w:after="0" w:line="272" w:lineRule="auto"/>
        <w:rPr>
          <w:sz w:val="20"/>
          <w:szCs w:val="20"/>
          <w:color w:val="auto"/>
        </w:rPr>
      </w:pPr>
      <w:r>
        <w:rPr>
          <w:rFonts w:ascii="Arial" w:cs="Arial" w:eastAsia="Arial" w:hAnsi="Arial"/>
          <w:sz w:val="17"/>
          <w:szCs w:val="17"/>
          <w:color w:val="auto"/>
        </w:rPr>
        <w:t>Firms in the financial services industry have experienced increased scrutiny in recent years, and penalties, fines and other sanctions sought by governmental and regulatory authorities, including the SEC, the CFTC, the Department of Justice, state securities administrators and state attorneys general in the United States, the FCA in the United Kingdom and other foreign regulators, have increased accordingly. This trend toward a heightened regulatory oversight and enforcement environment is expected to continue for the foreseeable future, and may create uncertainty and may increase our exposure to scrutiny of our operations and activities, significant penalties and liability and negative publicity.</w:t>
      </w:r>
    </w:p>
    <w:p>
      <w:pPr>
        <w:spacing w:after="0" w:line="164" w:lineRule="exact"/>
        <w:rPr>
          <w:sz w:val="20"/>
          <w:szCs w:val="20"/>
          <w:color w:val="auto"/>
        </w:rPr>
      </w:pPr>
    </w:p>
    <w:p>
      <w:pPr>
        <w:jc w:val="both"/>
        <w:ind w:left="1260" w:right="879"/>
        <w:spacing w:after="0" w:line="235" w:lineRule="auto"/>
        <w:rPr>
          <w:sz w:val="20"/>
          <w:szCs w:val="20"/>
          <w:color w:val="auto"/>
        </w:rPr>
      </w:pPr>
      <w:r>
        <w:rPr>
          <w:rFonts w:ascii="Arial" w:cs="Arial" w:eastAsia="Arial" w:hAnsi="Arial"/>
          <w:sz w:val="18"/>
          <w:szCs w:val="18"/>
          <w:b w:val="1"/>
          <w:bCs w:val="1"/>
          <w:i w:val="1"/>
          <w:iCs w:val="1"/>
          <w:color w:val="auto"/>
        </w:rPr>
        <w:t>Our business, and the businesses of many of our clients, could be materially adversely affected by new laws, rules or regulations or changes in existing laws, rules or regulations, including the interpretation and enforcement thereof.</w:t>
      </w:r>
    </w:p>
    <w:p>
      <w:pPr>
        <w:spacing w:after="0" w:line="80"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Our business, and the business of many of our clients, is subject to extensive regulation. Governmental and regulatory authorities periodically review legislative and regulatory policies and initiatives, and may promulgate new or revised, or adopt changes in the interpretation and enforcement of existing, laws, rules and regulations at any time. Any such changes in laws, rules or regulations or in governmental policies could create additional regulatory exposure for our business, cause us to incur significant additional costs, require us to change or cease aspects of our business or restrict or limit our ability to grow our business, any of which could have a material adverse effect on our business, financial condition or results of operations. There have been in the past, and could be in the future, significant technological, operational and compliance costs associated with the obligations that derive from compliance with evolving laws, rules and regulations.</w:t>
      </w:r>
    </w:p>
    <w:p>
      <w:pPr>
        <w:spacing w:after="0" w:line="86"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Changes in legislation and in the rules and regulations promulgated by domestic and foreign regulators, and how they are applied, often directly affect the method of operation and profitability of dealers and other financial services intermediaries, including our dealer clients, and could result in restrictions in the way we and our clients conduct business. For example, various rules promulgated since the financial crisis, including under the Dodd-Frank Act, could adversely affect our dealer clients’ ability to make markets in a variety of products, thereby negatively impacting the level of liquidity and pricing available on our trading platforms. Our business and that of our clients could also be affected by the monetary policies adopted by the Federal Reserve and foreign central banking authorities, which may affect the credit quality of our clients or increase the cost for our clients to trade certain instruments on our trading platforms. In addition, such changes in monetary policy may directly impact our cost of funds for financing and investment activities and may impact the value of any financial instruments we hold.</w:t>
      </w:r>
    </w:p>
    <w:p>
      <w:pPr>
        <w:spacing w:after="0" w:line="74" w:lineRule="exact"/>
        <w:rPr>
          <w:sz w:val="20"/>
          <w:szCs w:val="20"/>
          <w:color w:val="auto"/>
        </w:rPr>
      </w:pPr>
    </w:p>
    <w:p>
      <w:pPr>
        <w:ind w:left="1260" w:right="899" w:firstLine="360"/>
        <w:spacing w:after="0" w:line="279" w:lineRule="auto"/>
        <w:rPr>
          <w:sz w:val="20"/>
          <w:szCs w:val="20"/>
          <w:color w:val="auto"/>
        </w:rPr>
      </w:pPr>
      <w:r>
        <w:rPr>
          <w:rFonts w:ascii="Arial" w:cs="Arial" w:eastAsia="Arial" w:hAnsi="Arial"/>
          <w:sz w:val="17"/>
          <w:szCs w:val="17"/>
          <w:color w:val="auto"/>
        </w:rPr>
        <w:t>Furthermore, many of the underlying markets in which we facilitate trading, and in which our clients trade, are subject to regulation. For example, trading in interest rate swaps has been subject to extensive regulation in the past, and any future regulation could lead to a decline in trading in these markets, which could have a negative impact on our trading volumes and, as a result, our revenues.</w:t>
      </w:r>
    </w:p>
    <w:p>
      <w:pPr>
        <w:spacing w:after="0" w:line="63" w:lineRule="exact"/>
        <w:rPr>
          <w:sz w:val="20"/>
          <w:szCs w:val="20"/>
          <w:color w:val="auto"/>
        </w:rPr>
      </w:pPr>
    </w:p>
    <w:p>
      <w:pPr>
        <w:ind w:left="1260" w:right="799" w:firstLine="360"/>
        <w:spacing w:after="0" w:line="286" w:lineRule="auto"/>
        <w:rPr>
          <w:sz w:val="20"/>
          <w:szCs w:val="20"/>
          <w:color w:val="auto"/>
        </w:rPr>
      </w:pPr>
      <w:r>
        <w:rPr>
          <w:rFonts w:ascii="Arial" w:cs="Arial" w:eastAsia="Arial" w:hAnsi="Arial"/>
          <w:sz w:val="17"/>
          <w:szCs w:val="17"/>
          <w:color w:val="auto"/>
        </w:rPr>
        <w:t>In addition, regulatory bodies in Europe have recently developed new rules and regulations targeted at the financial services industry, including MiFID II and the Markets in Financial Instruments Regulation (“MiFIR”), which were implemented in January 2018 and which introduced significant changes to the EU</w:t>
      </w:r>
    </w:p>
    <w:p>
      <w:pPr>
        <w:sectPr>
          <w:pgSz w:w="11900" w:h="16838" w:orient="portrait"/>
          <w:cols w:equalWidth="0" w:num="1">
            <w:col w:w="10139"/>
          </w:cols>
          <w:pgMar w:left="320" w:top="132" w:right="1440" w:bottom="1440" w:gutter="0" w:footer="0" w:header="0"/>
        </w:sectPr>
      </w:pP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7" w:name="page68"/>
    <w:bookmarkEnd w:id="6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69" w:lineRule="auto"/>
        <w:rPr>
          <w:sz w:val="20"/>
          <w:szCs w:val="20"/>
          <w:color w:val="auto"/>
        </w:rPr>
      </w:pPr>
      <w:r>
        <w:rPr>
          <w:rFonts w:ascii="Arial" w:cs="Arial" w:eastAsia="Arial" w:hAnsi="Arial"/>
          <w:sz w:val="17"/>
          <w:szCs w:val="17"/>
          <w:color w:val="auto"/>
        </w:rPr>
        <w:t>financial markets designed to facilitate more efficient markets and greater transparency for participants. MiFID II and MiFIR may have an adverse effect on our operations and our ability to offer our trading platforms and related solutions in a manner that can successfully compete against other methods of trading and related solutions. Additionally, most of the world’s major economies have introduced and continue to introduce regulations implementing Basel III, a global regulatory standard on bank capital adequacy, stress testing and market liquidity risk. The continued implementation of these and other bank capital standards could restrict the ability of our large bank and dealer customers to raise additional capital or use existing capital for trading purposes, which might cause them to trade less on our trading platforms and diminish transaction velocity. In addition, as regulations are introduced which affect our prudential obligations, the regulatory capital requirements imposed on certain of our subsidiaries may change.</w:t>
      </w:r>
    </w:p>
    <w:p>
      <w:pPr>
        <w:spacing w:after="0" w:line="77" w:lineRule="exact"/>
        <w:rPr>
          <w:sz w:val="20"/>
          <w:szCs w:val="20"/>
          <w:color w:val="auto"/>
        </w:rPr>
      </w:pPr>
    </w:p>
    <w:p>
      <w:pPr>
        <w:ind w:left="1260" w:right="739" w:firstLine="360"/>
        <w:spacing w:after="0" w:line="252" w:lineRule="auto"/>
        <w:rPr>
          <w:sz w:val="20"/>
          <w:szCs w:val="20"/>
          <w:color w:val="auto"/>
        </w:rPr>
      </w:pPr>
      <w:r>
        <w:rPr>
          <w:rFonts w:ascii="Arial" w:cs="Arial" w:eastAsia="Arial" w:hAnsi="Arial"/>
          <w:sz w:val="18"/>
          <w:szCs w:val="18"/>
          <w:color w:val="auto"/>
        </w:rPr>
        <w:t>We believe that it remains premature to know conclusively how specific aspects of the regulatory developments described above may directly affect our business. We cannot predict whether additional changes to the laws, rules and regulations that govern our business and operations, including changes to their interpretation, implementation or enforcement, will occur in the future or the extent to which any such changes will impact our business and operations. In addition, we cannot predict how current proposals that have not yet been finalized and/or that remain subject to ongoing debate will be implemented or in what form. We believe that uncertainty and potential delays around the final form of such new laws, rules and regulations may negatively impact our clients and trading volumes in certain markets in which we transact. Additionally, unintended consequences of such new laws, rules and regulations may adversely affect our industry, our clients and us in ways yet to be determined. Any such legal and regulatory changes could affect us in substantial and unpredictable ways, and could have a material adverse effect on our business, financial condition and results of operations.</w:t>
      </w:r>
    </w:p>
    <w:p>
      <w:pPr>
        <w:spacing w:after="0" w:line="186" w:lineRule="exact"/>
        <w:rPr>
          <w:sz w:val="20"/>
          <w:szCs w:val="20"/>
          <w:color w:val="auto"/>
        </w:rPr>
      </w:pPr>
    </w:p>
    <w:p>
      <w:pPr>
        <w:ind w:left="1260" w:right="999"/>
        <w:spacing w:after="0" w:line="246" w:lineRule="auto"/>
        <w:rPr>
          <w:sz w:val="20"/>
          <w:szCs w:val="20"/>
          <w:color w:val="auto"/>
        </w:rPr>
      </w:pPr>
      <w:r>
        <w:rPr>
          <w:rFonts w:ascii="Arial" w:cs="Arial" w:eastAsia="Arial" w:hAnsi="Arial"/>
          <w:sz w:val="18"/>
          <w:szCs w:val="18"/>
          <w:b w:val="1"/>
          <w:bCs w:val="1"/>
          <w:i w:val="1"/>
          <w:iCs w:val="1"/>
          <w:color w:val="auto"/>
        </w:rPr>
        <w:t>Our actual or perceived failure to comply with privacy, data protection and information security laws, rules, regulations and obligations could harm our business.</w:t>
      </w:r>
    </w:p>
    <w:p>
      <w:pPr>
        <w:spacing w:after="0" w:line="75" w:lineRule="exact"/>
        <w:rPr>
          <w:sz w:val="20"/>
          <w:szCs w:val="20"/>
          <w:color w:val="auto"/>
        </w:rPr>
      </w:pPr>
    </w:p>
    <w:p>
      <w:pPr>
        <w:ind w:left="1260" w:right="739" w:firstLine="360"/>
        <w:spacing w:after="0" w:line="272" w:lineRule="auto"/>
        <w:rPr>
          <w:sz w:val="20"/>
          <w:szCs w:val="20"/>
          <w:color w:val="auto"/>
        </w:rPr>
      </w:pPr>
      <w:r>
        <w:rPr>
          <w:rFonts w:ascii="Arial" w:cs="Arial" w:eastAsia="Arial" w:hAnsi="Arial"/>
          <w:sz w:val="17"/>
          <w:szCs w:val="17"/>
          <w:color w:val="auto"/>
        </w:rPr>
        <w:t>Certain types of information we collect, compile, store, use, transfer and/or publish are subject to numerous federal, state, local and foreign laws and regulations regarding privacy, data protection and information security These laws, rules and regulations govern the storing, sharing, use, processing, transfer, disclosure and protection of personal information and other content. The scope of these laws, rules and regulations are changing, subject to differing interpretations, may be inconsistent among countries or conflict with other law, rules or regulations. We are also subject to the terms of our privacy policies and obligations to third parties related to applicable privacy, data protection and information security.</w:t>
      </w:r>
    </w:p>
    <w:p>
      <w:pPr>
        <w:spacing w:after="0" w:line="69" w:lineRule="exact"/>
        <w:rPr>
          <w:sz w:val="20"/>
          <w:szCs w:val="20"/>
          <w:color w:val="auto"/>
        </w:rPr>
      </w:pPr>
    </w:p>
    <w:p>
      <w:pPr>
        <w:ind w:left="1260" w:right="659" w:firstLine="360"/>
        <w:spacing w:after="0" w:line="253" w:lineRule="auto"/>
        <w:rPr>
          <w:sz w:val="20"/>
          <w:szCs w:val="20"/>
          <w:color w:val="auto"/>
        </w:rPr>
      </w:pPr>
      <w:r>
        <w:rPr>
          <w:rFonts w:ascii="Arial" w:cs="Arial" w:eastAsia="Arial" w:hAnsi="Arial"/>
          <w:sz w:val="18"/>
          <w:szCs w:val="18"/>
          <w:color w:val="auto"/>
        </w:rPr>
        <w:t>The regulatory framework for privacy, data protection and information security worldwide is uncertain, and is likely to remain uncertain for the foreseeable future, and we expect that there will continue to be new laws, rules regulations and industry standards concerning privacy, data protection and information security proposed and enacted in the various jurisdictions in which we operate. For example, European legislators adopted the General Data Protection Regulations (“GDPR”) that became effective in May 2018. The GDPR imposes more stringent EU data protection requirements and provides for greater penalties for noncompliance. Further, Brexit has created uncertainty with regard to the regulation of data protection in the United Kingdom. In particular, it is unclear whether the United Kingdom will enact data protection laws or regulations designed to be consistent with the GDPR and how data transfers to and from the United Kingdom will be regulated.</w:t>
      </w:r>
    </w:p>
    <w:p>
      <w:pPr>
        <w:spacing w:after="0" w:line="86"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Our efforts to comply with privacy, data protection and information security laws, rules and regulations could entail substantial expenses, may divert resources from other initiatives and could impact our ability to provide certain solutions. Additionally, if our third-party providers violate any of these laws or regulations, such violations may also put our operations at risk. Any failure or perceived failure by us to comply with any of our obligations relating to privacy, data protection or information security may result in governmental investigations or enforcement actions, litigation, claims or negative publicity and could result in significant liability, increased costs or cause our clients to lose trust in us, which could have an adverse effect on our reputation and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679"/>
        <w:spacing w:after="0" w:line="246" w:lineRule="auto"/>
        <w:rPr>
          <w:sz w:val="20"/>
          <w:szCs w:val="20"/>
          <w:color w:val="auto"/>
        </w:rPr>
      </w:pPr>
      <w:r>
        <w:rPr>
          <w:rFonts w:ascii="Arial" w:cs="Arial" w:eastAsia="Arial" w:hAnsi="Arial"/>
          <w:sz w:val="18"/>
          <w:szCs w:val="18"/>
          <w:b w:val="1"/>
          <w:bCs w:val="1"/>
          <w:i w:val="1"/>
          <w:iCs w:val="1"/>
          <w:color w:val="auto"/>
        </w:rPr>
        <w:t>New U.S. tax legislation may materially adversely affect our financial condition, results of operations and cash flows.</w:t>
      </w:r>
    </w:p>
    <w:p>
      <w:pPr>
        <w:spacing w:after="0" w:line="75"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At any time, the U.S. federal income tax laws or the administrative interpretations of those laws may be amended. We cannot predict when or if any new U.S. federal income tax law, regulation or administrative interpretation, or any amendment to any existing U.S. federal income tax law, regulation, or administrative interpretation, will be adopted, promulgated or become effective. Any such law, regulation or interpretation could take effect retroactively, and could adversely affect our business and financial condition, and the impact of any such law, regulation or interpretation on holders of our Class A common stock could be adverse.</w:t>
      </w:r>
    </w:p>
    <w:p>
      <w:pPr>
        <w:spacing w:after="0" w:line="181" w:lineRule="exact"/>
        <w:rPr>
          <w:sz w:val="20"/>
          <w:szCs w:val="20"/>
          <w:color w:val="auto"/>
        </w:rPr>
      </w:pPr>
    </w:p>
    <w:p>
      <w:pPr>
        <w:ind w:left="1260" w:right="859"/>
        <w:spacing w:after="0" w:line="274" w:lineRule="auto"/>
        <w:rPr>
          <w:sz w:val="20"/>
          <w:szCs w:val="20"/>
          <w:color w:val="auto"/>
        </w:rPr>
      </w:pPr>
      <w:r>
        <w:rPr>
          <w:rFonts w:ascii="Arial" w:cs="Arial" w:eastAsia="Arial" w:hAnsi="Arial"/>
          <w:sz w:val="17"/>
          <w:szCs w:val="17"/>
          <w:b w:val="1"/>
          <w:bCs w:val="1"/>
          <w:i w:val="1"/>
          <w:iCs w:val="1"/>
          <w:color w:val="auto"/>
        </w:rPr>
        <w:t>Our compliance and risk management programs might not be effective and may result in outcomes that could adversely affect our reputation, business, financial condition and results of operations.</w:t>
      </w:r>
    </w:p>
    <w:p>
      <w:pPr>
        <w:spacing w:after="0" w:line="53"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Our ability to comply with all applicable laws, rules and regulations is largely dependent on our establishment and maintenance of compliance and risk management programs, including audit and reporting systems, that can quickly adapt and respond, as well as our ability to attract and retain qualified compliance, audit, legal, cybersecurity and other compliance and risk management personnel. While we have policies and procedures to identify, monitor and manage our risks and regulatory obligations, we cannot assure you that our policies and procedures will always be effective or that we will always be successful in monitoring or evaluating the risks to which we are or may be exposed. Our risk-management programs may prove to be ineffective because of their design, their implementation and maintenance or the lack of adequate, accurate or timely information. If our risk-management programs and efforts are ineffective, we could suffer losses that could have a material adverse effect on our financial condition and results of operations.</w:t>
      </w:r>
    </w:p>
    <w:p>
      <w:pPr>
        <w:spacing w:after="0" w:line="77"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As part of our compliance and risk management programs, we must rely upon our analysis of laws, rules, regulations and information regarding our industry, markets, personnel, clients and other matters that are publicly available or otherwise accessible to us. That information may not in all cases be accurate, complete, up-to-date or properly analyzed. Furthermore, we rely on a combination of technical and human controls and supervision that are subject to error and potential failure, the challenges of which are exacerbated by the 24-hour-a-day, global nature of our business, which is subject to various legal and regulatory requirements of multiple jurisdictions that are constantly evolving and subject to change.</w:t>
      </w:r>
    </w:p>
    <w:p>
      <w:pPr>
        <w:spacing w:after="0" w:line="69"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In case of non-compliance or alleged non-compliance with applicable laws, rules or regulations by us or third parties on which we may rely, we could be subject to regulatory investigations and proceedings that may be very expensive to defend against and may result in substantial fines and penalties or civil lawsuits, including by clients, for damages which can be significant. Any of these outcomes would adversely affect our reputation, financial condition and results of operations. Further, the implementation of new legislation or regulations, or changes in or unfavorable interpretations of existing legislation or regulations by courts or regulators, could require us to incur significant compliance costs and impede our ability to operate, expand and enhance our platforms and solutions as necessary to remain competitive and grow our business, which could materially adversely affect our business, financial condition and results of operations.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are exposed to litigation risk.</w:t>
      </w:r>
    </w:p>
    <w:p>
      <w:pPr>
        <w:spacing w:after="0" w:line="104"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We are from time to time involved in various litigation matters and claims, including lawsuits regarding employment matters, breach of contract matters and other business and commercial matters. See “Legal Proceedings” in the 2019 Form 10-K, incorporated by reference in this prospectus and “Prospectus Summary — Recent Developments — IDC Matter.” Many aspects of our business, and the businesses of our clients, involve substantial risks of liability. These risks include, among others, disputes over terms of a trade and claims that a system failure or delay caused monetary loss to a client or that an unauthorized trade occurred. Although we carry insurance that may limit our risk of damages in some matters, we may still sustain uncovered losses or losses in excess of available insurance, and we could incur significant legal expenses defending claims, even those without merit. Due to the uncertain nature of the litigation process, it is not possible to predict with certainty the outcome of any particular litigation matter or claim, and we could in the future incur judgments or enter into settlements that could have a material adverse effect on our business, financial condition and results of operations. The ultimate outcome of</w:t>
      </w:r>
    </w:p>
    <w:p>
      <w:pPr>
        <w:spacing w:after="0" w:line="2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59" w:lineRule="auto"/>
        <w:rPr>
          <w:sz w:val="20"/>
          <w:szCs w:val="20"/>
          <w:color w:val="auto"/>
        </w:rPr>
      </w:pPr>
      <w:r>
        <w:rPr>
          <w:rFonts w:ascii="Arial" w:cs="Arial" w:eastAsia="Arial" w:hAnsi="Arial"/>
          <w:sz w:val="18"/>
          <w:szCs w:val="18"/>
          <w:color w:val="auto"/>
        </w:rPr>
        <w:t>litigation matters and claims against us may require us to change or cease certain operations and may result in higher operating costs. An adverse resolution of any litigation matter or claim could cause damage to our reputation and could have a material adverse effect on our business, financial condition and results of operations.</w:t>
      </w:r>
    </w:p>
    <w:p>
      <w:pPr>
        <w:spacing w:after="0" w:line="173" w:lineRule="exact"/>
        <w:rPr>
          <w:sz w:val="20"/>
          <w:szCs w:val="20"/>
          <w:color w:val="auto"/>
        </w:rPr>
      </w:pPr>
    </w:p>
    <w:p>
      <w:pPr>
        <w:ind w:left="1260" w:right="1019"/>
        <w:spacing w:after="0" w:line="246" w:lineRule="auto"/>
        <w:rPr>
          <w:sz w:val="20"/>
          <w:szCs w:val="20"/>
          <w:color w:val="auto"/>
        </w:rPr>
      </w:pPr>
      <w:r>
        <w:rPr>
          <w:rFonts w:ascii="Arial" w:cs="Arial" w:eastAsia="Arial" w:hAnsi="Arial"/>
          <w:sz w:val="18"/>
          <w:szCs w:val="18"/>
          <w:b w:val="1"/>
          <w:bCs w:val="1"/>
          <w:i w:val="1"/>
          <w:iCs w:val="1"/>
          <w:color w:val="auto"/>
        </w:rPr>
        <w:t>Our use of open source software could result in litigation or impose unanticipated restrictions on our ability to commercialize our platforms and solutions.</w:t>
      </w:r>
    </w:p>
    <w:p>
      <w:pPr>
        <w:spacing w:after="0" w:line="75"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We use open source software in our technology, most often as small components within a larger solution. Open source code is also contained in some third-party software we rely on. The terms of many open source licenses are ambiguous and have not been interpreted by U.S. or other courts, and these licenses could be construed in a manner that imposes unanticipated conditions or restrictions on our ability to commercialize our platforms and solutions, license the software on unfavorable terms, require us to re-engineer our platforms and solutions or take other remedial actions, any of which could have a material adverse effect on our business.</w:t>
      </w:r>
    </w:p>
    <w:p>
      <w:pPr>
        <w:spacing w:after="0" w:line="181" w:lineRule="exact"/>
        <w:rPr>
          <w:sz w:val="20"/>
          <w:szCs w:val="20"/>
          <w:color w:val="auto"/>
        </w:rPr>
      </w:pPr>
    </w:p>
    <w:p>
      <w:pPr>
        <w:ind w:left="1260" w:right="979"/>
        <w:spacing w:after="0" w:line="231" w:lineRule="auto"/>
        <w:rPr>
          <w:sz w:val="20"/>
          <w:szCs w:val="20"/>
          <w:color w:val="auto"/>
        </w:rPr>
      </w:pPr>
      <w:r>
        <w:rPr>
          <w:rFonts w:ascii="Arial" w:cs="Arial" w:eastAsia="Arial" w:hAnsi="Arial"/>
          <w:sz w:val="18"/>
          <w:szCs w:val="18"/>
          <w:b w:val="1"/>
          <w:bCs w:val="1"/>
          <w:i w:val="1"/>
          <w:iCs w:val="1"/>
          <w:color w:val="auto"/>
        </w:rPr>
        <w:t>The credit agreement that governs the Revolving Credit Facility imposes significant operating and financial restrictions on us and our restricted subsidiaries, which may prevent us from capitalizing on business opportunities, and we may incur additional debt in the future that may include similar or additional restrictions.</w:t>
      </w:r>
    </w:p>
    <w:p>
      <w:pPr>
        <w:spacing w:after="0" w:line="81"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We are party to a $500.0 million senior secured revolving credit facility (the “Revolving Credit Facility”), with a syndicate of banks. The credit agreement that governs the Revolving Credit Facility imposes significant operating and financial restrictions. These restrictions, which are subject to a number of qualifications and exceptions, could limit our ability and the ability of our restricted subsidiaries to, among other things:</w:t>
      </w:r>
    </w:p>
    <w:p>
      <w:pPr>
        <w:spacing w:after="0" w:line="120" w:lineRule="exact"/>
        <w:rPr>
          <w:sz w:val="20"/>
          <w:szCs w:val="20"/>
          <w:color w:val="auto"/>
        </w:rPr>
      </w:pPr>
    </w:p>
    <w:p>
      <w:pPr>
        <w:ind w:left="1980" w:hanging="352"/>
        <w:spacing w:after="0"/>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make investments, loans and advances; and</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sz w:val="20"/>
          <w:szCs w:val="20"/>
          <w:color w:val="auto"/>
        </w:rPr>
      </w:pPr>
    </w:p>
    <w:p>
      <w:pPr>
        <w:ind w:left="1260" w:right="899" w:firstLine="360"/>
        <w:spacing w:after="0" w:line="279" w:lineRule="auto"/>
        <w:rPr>
          <w:sz w:val="20"/>
          <w:szCs w:val="20"/>
          <w:color w:val="auto"/>
        </w:rPr>
      </w:pPr>
      <w:r>
        <w:rPr>
          <w:rFonts w:ascii="Arial" w:cs="Arial" w:eastAsia="Arial" w:hAnsi="Arial"/>
          <w:sz w:val="17"/>
          <w:szCs w:val="17"/>
          <w:color w:val="auto"/>
        </w:rPr>
        <w:t>In addition, the credit agreement that governs our Revolving Credit Facility requires us to maintain a maximum total net leverage ratio and a minimum cash interest coverage ratio. See “Management’s Discussion and Analysis of Financial Condition and Results of Operations — Liquidity and Capital Resources” in the 2019 Form 10-K, incorporated by reference in this prospectus.</w:t>
      </w:r>
    </w:p>
    <w:p>
      <w:pPr>
        <w:spacing w:after="0" w:line="63"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These covenants could materially adversely affect our ability to finance our future operations or capital needs. Furthermore, they may restrict our ability to expand and pursue our business strategies and otherwise conduct our business. Our ability to comply with these covenants may be affected by circumstances and events beyond our control, such as prevailing economic conditions and changes in regulations, and we cannot assure you that we will be able to comply with such covenants. These restrictions could also limit our ability to obtain future financings to withstand a future downturn in our business or the economy in general. In addition, complying with these covenants may also cause us to take actions that make it more difficult for us to successfully execute our business strategies and compete against companies that are not subject to such restrictions.</w:t>
      </w:r>
    </w:p>
    <w:p>
      <w:pPr>
        <w:spacing w:after="0" w:line="8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Our failure to comply with the covenants and other terms of the Revolving Credit Facility and/or the terms of any future indebtedness could result in an event of default. If any such event of default occurs and is not waived, the lenders under the Revolving Credit Facility could elect to declare all amounts outstanding and accrued and unpaid interest, if any, under the Revolving Credit Facility to be immediately due and payable, and could foreclose on the assets securing the Revolving Credit Facility. The lenders would also have the right in these circumstances to terminate any commitments they have to provide further credit extensions. If we are forced to refinance any borrowings under the Revolving Credit Facility on less favorable terms or if we cannot refinance these borrowings, our financial condition and results of operations could be materially adversely affected.</w:t>
      </w:r>
    </w:p>
    <w:p>
      <w:pPr>
        <w:sectPr>
          <w:pgSz w:w="11900" w:h="16838" w:orient="portrait"/>
          <w:cols w:equalWidth="0" w:num="1">
            <w:col w:w="10139"/>
          </w:cols>
          <w:pgMar w:left="320" w:top="132" w:right="1440" w:bottom="1440" w:gutter="0" w:footer="0" w:header="0"/>
        </w:sectPr>
      </w:pPr>
    </w:p>
    <w:p>
      <w:pPr>
        <w:spacing w:after="0" w:line="25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70" w:name="page71"/>
    <w:bookmarkEnd w:id="7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39" w:firstLine="360"/>
        <w:spacing w:after="0" w:line="257" w:lineRule="auto"/>
        <w:rPr>
          <w:sz w:val="20"/>
          <w:szCs w:val="20"/>
          <w:color w:val="auto"/>
        </w:rPr>
      </w:pPr>
      <w:r>
        <w:rPr>
          <w:rFonts w:ascii="Arial" w:cs="Arial" w:eastAsia="Arial" w:hAnsi="Arial"/>
          <w:sz w:val="18"/>
          <w:szCs w:val="18"/>
          <w:color w:val="auto"/>
        </w:rPr>
        <w:t>In addition, although the credit agreement that governs the Revolving Credit Facility contains restrictions on the incurrence of additional indebtedness, these restrictions are subject to a number of qualifications and exceptions, and we and our subsidiaries may be able to incur substantial additional indebtedness in compliance with these restrictions in the future. The terms of any future indebtedness we may incur could include more restrictive covenants.</w:t>
      </w:r>
    </w:p>
    <w:p>
      <w:pPr>
        <w:spacing w:after="0" w:line="174" w:lineRule="exact"/>
        <w:rPr>
          <w:sz w:val="20"/>
          <w:szCs w:val="20"/>
          <w:color w:val="auto"/>
        </w:rPr>
      </w:pPr>
    </w:p>
    <w:p>
      <w:pPr>
        <w:ind w:left="1260" w:right="1139"/>
        <w:spacing w:after="0" w:line="246" w:lineRule="auto"/>
        <w:rPr>
          <w:sz w:val="20"/>
          <w:szCs w:val="20"/>
          <w:color w:val="auto"/>
        </w:rPr>
      </w:pPr>
      <w:r>
        <w:rPr>
          <w:rFonts w:ascii="Arial" w:cs="Arial" w:eastAsia="Arial" w:hAnsi="Arial"/>
          <w:sz w:val="18"/>
          <w:szCs w:val="18"/>
          <w:b w:val="1"/>
          <w:bCs w:val="1"/>
          <w:i w:val="1"/>
          <w:iCs w:val="1"/>
          <w:color w:val="auto"/>
        </w:rPr>
        <w:t>Any borrowings under the Revolving Credit Facility will subject us to interest rate risk, which could cause our debt service obligations to increase significantly.</w:t>
      </w:r>
    </w:p>
    <w:p>
      <w:pPr>
        <w:spacing w:after="0" w:line="75"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Any borrowings under the Revolving Credit Facility will be at variable rates of interest and expose us to interest rate risk. Although there is uncertainty concerning the current interest rate environment, interest rates are still near historically low levels. If interest rates rise, our debt service obligations on any borrowings under the Revolving Credit Facility will increase even though the amount borrowed may remain the same, and our net income and cash flows will correspondingly decrease. Assuming that the</w:t>
      </w:r>
    </w:p>
    <w:p>
      <w:pPr>
        <w:spacing w:after="0" w:line="3" w:lineRule="exact"/>
        <w:rPr>
          <w:sz w:val="20"/>
          <w:szCs w:val="20"/>
          <w:color w:val="auto"/>
        </w:rPr>
      </w:pPr>
    </w:p>
    <w:p>
      <w:pPr>
        <w:jc w:val="both"/>
        <w:ind w:left="1260" w:right="679"/>
        <w:spacing w:after="0" w:line="255" w:lineRule="auto"/>
        <w:rPr>
          <w:sz w:val="20"/>
          <w:szCs w:val="20"/>
          <w:color w:val="auto"/>
        </w:rPr>
      </w:pPr>
      <w:r>
        <w:rPr>
          <w:rFonts w:ascii="Arial" w:cs="Arial" w:eastAsia="Arial" w:hAnsi="Arial"/>
          <w:sz w:val="18"/>
          <w:szCs w:val="18"/>
          <w:color w:val="auto"/>
        </w:rPr>
        <w:t>$500.0 million Revolving Credit Facility was fully drawn, each 0.125% change in interest rates would result in an approximate change of $0.6 million in annual interest expense on the borrowings under the Revolving Credit Facility.</w:t>
      </w:r>
    </w:p>
    <w:p>
      <w:pPr>
        <w:spacing w:after="0" w:line="176" w:lineRule="exact"/>
        <w:rPr>
          <w:sz w:val="20"/>
          <w:szCs w:val="20"/>
          <w:color w:val="auto"/>
        </w:rPr>
      </w:pPr>
    </w:p>
    <w:p>
      <w:pPr>
        <w:ind w:left="1260" w:right="1099"/>
        <w:spacing w:after="0" w:line="246" w:lineRule="auto"/>
        <w:rPr>
          <w:sz w:val="20"/>
          <w:szCs w:val="20"/>
          <w:color w:val="auto"/>
        </w:rPr>
      </w:pPr>
      <w:r>
        <w:rPr>
          <w:rFonts w:ascii="Arial" w:cs="Arial" w:eastAsia="Arial" w:hAnsi="Arial"/>
          <w:sz w:val="18"/>
          <w:szCs w:val="18"/>
          <w:b w:val="1"/>
          <w:bCs w:val="1"/>
          <w:i w:val="1"/>
          <w:iCs w:val="1"/>
          <w:color w:val="auto"/>
        </w:rPr>
        <w:t>The phase-out, replacement or unavailability of LIBOR and/or other interest rate benchmarks could adversely affect our indebtedness.</w:t>
      </w:r>
    </w:p>
    <w:p>
      <w:pPr>
        <w:spacing w:after="0" w:line="75"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The interest rates applicable to the Revolving Credit Facility are based on, and the interest rates applicable to certain debt obligations we may incur in the future may be based on, a fluctuating rate of interest determined by reference to the London Interbank Offered Rate (“LIBOR”). In July 2017, the U.K.’s Financial Conduct Authority, which regulates LIBOR, announced that it intends to stop persuading or compelling banks to submit rates for the calculation of LIBOR after 2021. In response to concerns regarding the future of LIBOR, the Board of Governors of the Federal Reserve System and the Federal Reserve Bank of New York convened the Alternative Reference Rates Committee (the “ARRC”) to identify alternatives to LIBOR. The ARRC has recommended a benchmark replacement waterfall to assist issuers in continued capital market entry while safeguarding against LIBOR’s discontinuation. The initial steps in the ARRC’s recommended provision reference variations of the Secured Overnight Financing Rate (“SOFR”), calculated using short-term repurchase agreements backed by Treasury securities. At this time, it is not possible to predict whether SOFR will attain market traction as a LIBOR replacement. Additionally, it is uncertain if LIBOR will cease to exist after calendar year 2021, or whether additional reforms to LIBOR may be enacted, or whether alternative reference rates will gain market acceptance as a replacement for LIBOR. In anticipation of LIBOR’s phase-out, the credit agreement governing the Revolving Credit Facility provides for alternative base rates as well as a transition mechanism for selecting a benchmark replacement rate for LIBOR, with such benchmark replacement rate to be mutually agreed with the administrative agent and subject to the majority lenders not objecting to such benchmark replacement. There can be no assurance that we will be able to reach any agreement on a replacement benchmark, and there can be no assurance that any agreement we reach will result in effective interest rates at least as favorable to us as our current effective interest rates. The failure to reach an agreement on a replacement benchmark, or the failure to reach an agreement that results in an effective interest rate at least as favorable to us as our current effective interest rates, could result in a significant increase in our debt service obligations, which could adversely affect our financial condition and results of operations. In addition, the overall financing market may be disrupted as a result of the phase-out or replacement of LIBOR, which could have an adverse impact on our ability to refinance, reprice or amend the Revolving Credit Facility, or incur additional indebtedness, on favorable terms, or at all.</w:t>
      </w:r>
    </w:p>
    <w:p>
      <w:pPr>
        <w:spacing w:after="0" w:line="185" w:lineRule="exact"/>
        <w:rPr>
          <w:sz w:val="20"/>
          <w:szCs w:val="20"/>
          <w:color w:val="auto"/>
        </w:rPr>
      </w:pPr>
    </w:p>
    <w:p>
      <w:pPr>
        <w:ind w:left="1260" w:right="1059"/>
        <w:spacing w:after="0" w:line="246" w:lineRule="auto"/>
        <w:rPr>
          <w:sz w:val="20"/>
          <w:szCs w:val="20"/>
          <w:color w:val="auto"/>
        </w:rPr>
      </w:pPr>
      <w:r>
        <w:rPr>
          <w:rFonts w:ascii="Arial" w:cs="Arial" w:eastAsia="Arial" w:hAnsi="Arial"/>
          <w:sz w:val="18"/>
          <w:szCs w:val="18"/>
          <w:b w:val="1"/>
          <w:bCs w:val="1"/>
          <w:i w:val="1"/>
          <w:iCs w:val="1"/>
          <w:color w:val="auto"/>
        </w:rPr>
        <w:t>We are a restricted subsidiary under Refinitiv’s credit facility and the indentures governing its senior notes, which may limit Refinitiv’s ability to permit us to take certain actions.</w:t>
      </w:r>
    </w:p>
    <w:p>
      <w:pPr>
        <w:spacing w:after="0" w:line="75"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We are a “restricted subsidiary” under Refinitiv’s credit facility and the indentures governing its senior notes. While we are not a guarantor of Refinitiv’s indebtedness, or a party to the agreements governing Refinitiv’s indebtedness, the restrictions applicable to “restricted subsidiaries” contained in such agreements will nevertheless be applicable to us for so long as we are consolidated within Refinitiv’s financial statements in accordance with GAAP. Among these restrictions are limitations on Refinitiv’s ability to permit us to</w:t>
      </w:r>
    </w:p>
    <w:p>
      <w:pPr>
        <w:sectPr>
          <w:pgSz w:w="11900" w:h="16838" w:orient="portrait"/>
          <w:cols w:equalWidth="0" w:num="1">
            <w:col w:w="10139"/>
          </w:cols>
          <w:pgMar w:left="320" w:top="132" w:right="1440" w:bottom="1440" w:gutter="0" w:footer="0" w:header="0"/>
        </w:sectPr>
      </w:pPr>
    </w:p>
    <w:p>
      <w:pPr>
        <w:spacing w:after="0" w:line="26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71" w:name="page72"/>
    <w:bookmarkEnd w:id="7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75" w:lineRule="auto"/>
        <w:rPr>
          <w:sz w:val="20"/>
          <w:szCs w:val="20"/>
          <w:color w:val="auto"/>
        </w:rPr>
      </w:pPr>
      <w:r>
        <w:rPr>
          <w:rFonts w:ascii="Arial" w:cs="Arial" w:eastAsia="Arial" w:hAnsi="Arial"/>
          <w:sz w:val="17"/>
          <w:szCs w:val="17"/>
          <w:color w:val="auto"/>
        </w:rPr>
        <w:t>incur or guarantee indebtedness, issue certain preferred stock, repurchase subordinated indebtedness, make certain investments, transfer or sell certain assets, enter into restrictions affecting our ability to make distributions or loans or advances to Refinitiv, and enter into certain transactions with affiliates. As a result of these restrictions, we may be unable to take certain actions and, accordingly, limited in our ability to expand and pursue our business strategies and otherwise conduct our business.</w:t>
      </w:r>
    </w:p>
    <w:p>
      <w:pPr>
        <w:spacing w:after="0" w:line="163" w:lineRule="exact"/>
        <w:rPr>
          <w:sz w:val="20"/>
          <w:szCs w:val="20"/>
          <w:color w:val="auto"/>
        </w:rPr>
      </w:pPr>
    </w:p>
    <w:p>
      <w:pPr>
        <w:ind w:left="1260" w:right="1019"/>
        <w:spacing w:after="0" w:line="246" w:lineRule="auto"/>
        <w:rPr>
          <w:sz w:val="20"/>
          <w:szCs w:val="20"/>
          <w:color w:val="auto"/>
        </w:rPr>
      </w:pPr>
      <w:r>
        <w:rPr>
          <w:rFonts w:ascii="Arial" w:cs="Arial" w:eastAsia="Arial" w:hAnsi="Arial"/>
          <w:sz w:val="18"/>
          <w:szCs w:val="18"/>
          <w:b w:val="1"/>
          <w:bCs w:val="1"/>
          <w:i w:val="1"/>
          <w:iCs w:val="1"/>
          <w:color w:val="auto"/>
        </w:rPr>
        <w:t>We may incur impairment charges for our goodwill and other indefinite-lived intangible assets which would negatively impact our operating results.</w:t>
      </w:r>
    </w:p>
    <w:p>
      <w:pPr>
        <w:spacing w:after="0" w:line="75"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As of December 31, 2019, we had goodwill of $2,694.8 million and indefinite-lived intangible assets of $323.1 million, which relate to the Refinitiv Transaction. The carrying value of goodwill represents the fair value of an acquired business in excess of identifiable assets and liabilities as of the acquisition date. The carrying value of indefinite-lived intangible assets represents the fair value of licenses and trade names as of the acquisition date. Determining the fair value of certain assets acquired and liabilities assumed is judgmental in nature and requires management to use significant estimates and assumptions, including assumptions with respect to future cash flows, discount rates, growth rates and asset lives. We do not amortize goodwill and indefinite-lived intangible assets that we expect to contribute indefinitely to our cash flows, but instead we evaluate these assets for impairment at least annually, or more frequently if changes in circumstances indicate that a potential impairment could exist. Significant negative industry or economic trends, disruptions to our business, inability to effectively integrate acquired businesses, unexpected significant changes or planned changes in use of the acquired assets, divestitures and market capitalization declines may impair our goodwill and other indefinite-lived intangible assets. Any charges relating to such impairments could materially adversely affect our financial condition and results of operations.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Relating to the Company and Our Organizational Structure</w:t>
      </w:r>
    </w:p>
    <w:p>
      <w:pPr>
        <w:spacing w:after="0" w:line="202" w:lineRule="exact"/>
        <w:rPr>
          <w:sz w:val="20"/>
          <w:szCs w:val="20"/>
          <w:color w:val="auto"/>
        </w:rPr>
      </w:pPr>
    </w:p>
    <w:p>
      <w:pPr>
        <w:ind w:left="1260" w:right="679"/>
        <w:spacing w:after="0" w:line="307" w:lineRule="auto"/>
        <w:rPr>
          <w:sz w:val="20"/>
          <w:szCs w:val="20"/>
          <w:color w:val="auto"/>
        </w:rPr>
      </w:pPr>
      <w:r>
        <w:rPr>
          <w:rFonts w:ascii="Arial" w:cs="Arial" w:eastAsia="Arial" w:hAnsi="Arial"/>
          <w:sz w:val="16"/>
          <w:szCs w:val="16"/>
          <w:b w:val="1"/>
          <w:bCs w:val="1"/>
          <w:i w:val="1"/>
          <w:iCs w:val="1"/>
          <w:color w:val="auto"/>
        </w:rPr>
        <w:t>Our principal asset is our equity interest in TWM LLC, and, accordingly, we depend on distributions from TWM LLC to pay our taxes and expenses, including payments under the Tax Receivable Agreement.</w:t>
      </w:r>
    </w:p>
    <w:p>
      <w:pPr>
        <w:spacing w:after="0" w:line="29" w:lineRule="exact"/>
        <w:rPr>
          <w:sz w:val="20"/>
          <w:szCs w:val="20"/>
          <w:color w:val="auto"/>
        </w:rPr>
      </w:pPr>
    </w:p>
    <w:p>
      <w:pPr>
        <w:ind w:left="1260" w:right="859" w:firstLine="360"/>
        <w:spacing w:after="0" w:line="254" w:lineRule="auto"/>
        <w:rPr>
          <w:sz w:val="20"/>
          <w:szCs w:val="20"/>
          <w:color w:val="auto"/>
        </w:rPr>
      </w:pPr>
      <w:r>
        <w:rPr>
          <w:rFonts w:ascii="Arial" w:cs="Arial" w:eastAsia="Arial" w:hAnsi="Arial"/>
          <w:sz w:val="18"/>
          <w:szCs w:val="18"/>
          <w:color w:val="auto"/>
        </w:rPr>
        <w:t>We are a holding company and our principal asset is our equity interest in TWM LLC. We have no independent means of generating revenue or cash flow, and our ability to pay our taxes and operating expenses or declare and pay dividends, if any, in accordance with our dividend policy will be dependent upon the financial results and cash flows of TWM LLC and its subsidiaries and distributions we receive from TWM LLC. There can be no assurance that TWM LLC and its subsidiaries will generate sufficient cash flow to distribute funds to us or that applicable state law and contractual restrictions will permit such distributions.</w:t>
      </w:r>
    </w:p>
    <w:p>
      <w:pPr>
        <w:spacing w:after="0" w:line="87"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color w:val="auto"/>
        </w:rPr>
        <w:t>We also incur expenses related to our operations, including payments under the Tax Receivable Agreement, which we expect could be significant. See “Certain Relationships and Related Party Transactions — Related Party Transactions Entered Into in Connection With the IPO — Tax Receivable Agreement.” We intend, as its sole manager, to cause TWM LLC to continue to make cash distributions to the owners of LLC Interests, including us, in an amount sufficient to (i) fund all or part of their tax obligations in respect of taxable income allocated to them and (ii) cover our operating expenses, including payments under the Tax Receivable Agreement. When TWM LLC makes distributions, the Continuing LLC Owners will be entitled to receive proportionate distributions based on their economic interests in TWM LLC at the time of such distributions. TWM LLC’s ability to make such distributions may be subject to various limitations and restrictions, such as restrictions on distributions that would either violate any contract or agreement to which TWM LLC is then a party, or any applicable law, or that would have the effect of rendering TWM LLC insolvent. If we do not have sufficient funds to pay tax or other liabilities or to fund our operations, we may have to borrow funds, including under the Revolving Credit Facility, which could materially adversely affect our liquidity and financial condition and subject us to various restrictions imposed by any such indebtedness. To the extent that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See “Certain Relationships and Related Party Transactions — Related Party Transactions Entered Into in Connection With the IPO — Tax Receivable Agreement” and “Certain</w:t>
      </w:r>
    </w:p>
    <w:p>
      <w:pPr>
        <w:spacing w:after="0" w:line="2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59" w:lineRule="auto"/>
        <w:rPr>
          <w:sz w:val="20"/>
          <w:szCs w:val="20"/>
          <w:color w:val="auto"/>
        </w:rPr>
      </w:pPr>
      <w:r>
        <w:rPr>
          <w:rFonts w:ascii="Arial" w:cs="Arial" w:eastAsia="Arial" w:hAnsi="Arial"/>
          <w:sz w:val="18"/>
          <w:szCs w:val="18"/>
          <w:color w:val="auto"/>
        </w:rPr>
        <w:t>Relationships and Related Party Transactions — Related Party Transactions Entered Into in Connection With the IPO — TWM LLC Agreement.” In addition, if TWM LLC does not have sufficient funds to make distributions, our ability to declare and pay cash dividends will also be restricted or impaired. See “—Risks Relating to Ownership of Our Class A Common Stock” and “Dividend Policy.”</w:t>
      </w:r>
    </w:p>
    <w:p>
      <w:pPr>
        <w:spacing w:after="0" w:line="173" w:lineRule="exact"/>
        <w:rPr>
          <w:sz w:val="20"/>
          <w:szCs w:val="20"/>
          <w:color w:val="auto"/>
        </w:rPr>
      </w:pPr>
    </w:p>
    <w:p>
      <w:pPr>
        <w:ind w:left="1260" w:right="719"/>
        <w:spacing w:after="0"/>
        <w:rPr>
          <w:sz w:val="20"/>
          <w:szCs w:val="20"/>
          <w:color w:val="auto"/>
        </w:rPr>
      </w:pPr>
      <w:r>
        <w:rPr>
          <w:rFonts w:ascii="Arial" w:cs="Arial" w:eastAsia="Arial" w:hAnsi="Arial"/>
          <w:sz w:val="17"/>
          <w:szCs w:val="17"/>
          <w:b w:val="1"/>
          <w:bCs w:val="1"/>
          <w:i w:val="1"/>
          <w:iCs w:val="1"/>
          <w:color w:val="auto"/>
        </w:rPr>
        <w:t>In certain circumstances, TWM LLC will be required to make distributions to us and the other holders of LLC Interests, and the distributions that TWM LLC will be required to make may be substantial and in excess of our tax liabilities and obligations under the Tax Receivable Agreement. To the extent we do not distribute such excess cash, the Continuing LLC Owners would benefit from any value attributable to such cash balances as a result of their ownership of Class A common stock or Class B common stock following an exchange of their LLC Interests.</w:t>
      </w:r>
    </w:p>
    <w:p>
      <w:pPr>
        <w:spacing w:after="0" w:line="83"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TWM LLC is treated as a partnership for U.S. federal income tax purposes and, as such, is not subject to any entity-level U.S. federal income tax. Instead, taxable income is allocated to holders of LLC Interests, including us. Accordingly, we incur income taxes on our allocable share of any net taxable income of TWM LLC. Under the TWM LLC Agreement, TWM LLC is generally required from time to time to make pro rata distributions in cash to us and the other holders of LLC Interests in amounts that are intended to be sufficient to cover the taxes on our and the other LLC Interests holders’ respective allocable shares of the taxable income of TWM LLC. As a result of (i) potential differences in the amount of net taxable income allocable to us and the other LLC Interest holders, (ii) the lower tax rate applicable to corporations as compared to individuals and (iii) the favorable tax benefits that we anticipate receiving from (a) acquisitions of LLC Interests in connection with future taxable redemptions or exchanges of LLC Interests for shares of our Class A common stock or Class B common stock, as applicable, and (b) payments under the Tax Receivable Agreement, we expect that these tax distributions will be in amounts that exceed our tax liabilities and obligations to make payments under the Tax Receivable Agreement. Our board of directors will determine the appropriate uses for any excess cash so accumulated, which may include, among other uses, any potential dividends, the payment of obligations under the Tax Receivable Agreement and the payment of other expenses. We have no obligation to distribute such cash (or other available cash other than any declared dividend) to our stockholders. No adjustments to the redemption or exchange ratio of LLC Interests for shares of Class A common stock or Class B common stock, as applicable, will be made as a result of either (i) any cash distribution by TWM LLC or (ii) any cash that we retain and do not distribute to our stockholders. To the extent that we do not distribute such excess cash as dividends on our Class A common stock and Class B common stock and instead, for example, hold such cash balances or lend them to TWM LLC, the Continuing LLC Owners would benefit from any value attributable to such cash balances as a result of their ownership of Class A common stock or Class B common stock, as applicable, following a redemption or exchange of their LLC Interests.</w:t>
      </w:r>
    </w:p>
    <w:p>
      <w:pPr>
        <w:spacing w:after="0" w:line="167" w:lineRule="exact"/>
        <w:rPr>
          <w:sz w:val="20"/>
          <w:szCs w:val="20"/>
          <w:color w:val="auto"/>
        </w:rPr>
      </w:pPr>
    </w:p>
    <w:p>
      <w:pPr>
        <w:ind w:left="1260" w:right="739"/>
        <w:spacing w:after="0" w:line="235" w:lineRule="auto"/>
        <w:rPr>
          <w:sz w:val="20"/>
          <w:szCs w:val="20"/>
          <w:color w:val="auto"/>
        </w:rPr>
      </w:pPr>
      <w:r>
        <w:rPr>
          <w:rFonts w:ascii="Arial" w:cs="Arial" w:eastAsia="Arial" w:hAnsi="Arial"/>
          <w:sz w:val="18"/>
          <w:szCs w:val="18"/>
          <w:b w:val="1"/>
          <w:bCs w:val="1"/>
          <w:i w:val="1"/>
          <w:iCs w:val="1"/>
          <w:color w:val="auto"/>
        </w:rPr>
        <w:t>The Tax Receivable Agreement with the Continuing LLC Owners requires us to make cash payments to them in respect of certain tax benefits to which we may become entitled, and we expect that the payments we will be required to make will be substantial.</w:t>
      </w:r>
    </w:p>
    <w:p>
      <w:pPr>
        <w:spacing w:after="0" w:line="80"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We are a party to the Tax Receivable Agreement with TWM LLC and the Continuing LLC Owners. Under the Tax Receivable Agreement, we are required to make cash payments to a Continuing LLC Owner equal to 50% of the U.S. federal, state and local income or franchise tax savings, if any, that we actually realize, or in certain circumstances are deemed to realize, as a result of (i) increases in the tax basis of TWM LLC’s assets resulting from (a) the purchase of LLC Interests from such Continuing LLC Owner, including with the net proceeds from the IPO, the October 2019 follow-on offering, this offering and any future offerings or (b) redemptions or exchanges by such Continuing LLC Owner of LLC Interests for shares of our Class A common stock or Class B Common Stock or for cash, as applicable, as described under “The IPO and Reorganization Transactions,” and (ii) certain other tax benefits related to our making payments under the Tax Receivable Agreement. We expect that the amount of the cash payments that we will be required to make under the Tax Receivable Agreement will be substantial. Any payments made by us to the Continuing LLC Owners under the Tax Receivable Agreement will generally reduce the amount of overall cash flow that might have otherwise been available to us. Furthermore, our obligation to make payments under the Tax Receivable Agreement could make us a less attractive target for an acquisition, particularly in</w:t>
      </w:r>
    </w:p>
    <w:p>
      <w:pPr>
        <w:spacing w:after="0" w:line="25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86" w:lineRule="auto"/>
        <w:rPr>
          <w:sz w:val="20"/>
          <w:szCs w:val="20"/>
          <w:color w:val="auto"/>
        </w:rPr>
      </w:pPr>
      <w:r>
        <w:rPr>
          <w:rFonts w:ascii="Arial" w:cs="Arial" w:eastAsia="Arial" w:hAnsi="Arial"/>
          <w:sz w:val="17"/>
          <w:szCs w:val="17"/>
          <w:color w:val="auto"/>
        </w:rPr>
        <w:t>the case of an acquirer that cannot use some or all of the tax benefits that are the subject of the Tax Receivable Agreement. For more information, see “Certain Relationships and Related Party Transactions — Related Party Transactions Entered Into in Connection With the IPO — Tax Receivable Agreement.”</w:t>
      </w:r>
    </w:p>
    <w:p>
      <w:pPr>
        <w:spacing w:after="0" w:line="57"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The actual increase in tax basis, as well as the amount and timing of any payments under the Tax Receivable Agreement, will vary depending on a number of factors, including, but not limited to, the timing of any future redemptions, exchanges or purchases of the LLC Interests held by Continuing LLC Owners, the price of our Class A common stock at the time of the redemption, exchange or purchase, the extent to which redemptions or exchanges are taxable, the amount and timing of the taxable income that we generate in the future, the timing and amount of any earlier payments we make under the Tax Receivable Agreement itself, the tax rates then applicable and the portion of our payments under the Tax Receivable Agreement constituting imputed interest. We expect that, as a result of the increases in the tax basis of the tangible and intangible assets of TWM LLC attributable to the redeemed or exchanged LLC Interests, the payments that we may make to the existing Continuing LLC Owners could be substantial. For example, we recorded a liability of $240.8 million related to our projected obligations under the Tax Receivable Agreement with respect to LLC Interests that were purchased by Tradeweb Markets Inc. using the net proceeds from the IPO and the October 2019 follow-on offering and LLC Interests that were exchanged by Continuing LLC Owners during the year ended December 31, 2019. Assuming (i) that the Continuing LLC Owners redeemed or exchanged all of their LLC Interests immediately after the completion of this offering (including the LLC Interests we expect to purchase using the net proceeds of this offering), (ii) no material changes in relevant tax law, and (iii) that we earn sufficient taxable income in each year to realize on a current basis all tax benefits that are subject to the Tax Receivable Agreement, based on an assumed offering price of $53.16 per share (the closing price for our shares of Class A common stock on Nasdaq on April 16, 2020), we expect that the tax savings we would be deemed to realize would aggregate approximately $1,268.6 million over the 15-year period from the assumed date of such redemption or exchange, and over such period we would be required to pay the Continuing LLC Owners 50% of such amount, or approximately $634.3 million, over such period. The actual amounts we may be required to pay under the Tax Receivable Agreement may materially differ from these hypothetical amounts, as potential future tax savings we will be deemed to realize, and Tax Receivable Agreement payments by us, will be calculated based in part on the market value of our Class A common stock at the time of redemption or exchange and the prevailing federal tax rates applicable to us over the life of the Tax Receivable Agreement (as well as the assumed combined state and local tax rate), and will generally be dependent on us generating sufficient future taxable income to realize all of these tax savings (subject to the exceptions described under “Certain Relationships and Related Party Transactions — Related Party Transactions Entered Into in Connection With the IPO — Tax Receivable Agreement”). Payments under the Tax Receivable Agreement are not conditioned on any Continuing LLC Owner’s continued ownership of LLC Interests or our Class A common stock or Class B common stock. There may be a material negative effect on our liquidity if, as described below, the payments under the Tax Receivable Agreement exceed the actual benefits we receive in respect of the tax attributes subject to the Tax Receivable Agreement and/or distributions to us by TWM LLC are not sufficient to permit us to make payments under the Tax Receivable Agreement.</w:t>
      </w:r>
    </w:p>
    <w:p>
      <w:pPr>
        <w:spacing w:after="0" w:line="179" w:lineRule="exact"/>
        <w:rPr>
          <w:sz w:val="20"/>
          <w:szCs w:val="20"/>
          <w:color w:val="auto"/>
        </w:rPr>
      </w:pPr>
    </w:p>
    <w:p>
      <w:pPr>
        <w:ind w:left="1260" w:right="739"/>
        <w:spacing w:after="0" w:line="235" w:lineRule="auto"/>
        <w:rPr>
          <w:sz w:val="20"/>
          <w:szCs w:val="20"/>
          <w:color w:val="auto"/>
        </w:rPr>
      </w:pPr>
      <w:r>
        <w:rPr>
          <w:rFonts w:ascii="Arial" w:cs="Arial" w:eastAsia="Arial" w:hAnsi="Arial"/>
          <w:sz w:val="18"/>
          <w:szCs w:val="18"/>
          <w:b w:val="1"/>
          <w:bCs w:val="1"/>
          <w:i w:val="1"/>
          <w:iCs w:val="1"/>
          <w:color w:val="auto"/>
        </w:rPr>
        <w:t>Our organizational structure, including the Tax Receivable Agreement, confers certain benefits upon the Continuing LLC Owners that will not benefit Class A common stockholders or Class B common stockholders to the same extent as it will benefit the Continuing LLC Owners.</w:t>
      </w:r>
    </w:p>
    <w:p>
      <w:pPr>
        <w:spacing w:after="0" w:line="80" w:lineRule="exact"/>
        <w:rPr>
          <w:sz w:val="20"/>
          <w:szCs w:val="20"/>
          <w:color w:val="auto"/>
        </w:rPr>
      </w:pPr>
    </w:p>
    <w:p>
      <w:pPr>
        <w:ind w:left="1260" w:right="859" w:firstLine="360"/>
        <w:spacing w:after="0" w:line="267" w:lineRule="auto"/>
        <w:rPr>
          <w:sz w:val="20"/>
          <w:szCs w:val="20"/>
          <w:color w:val="auto"/>
        </w:rPr>
      </w:pPr>
      <w:r>
        <w:rPr>
          <w:rFonts w:ascii="Arial" w:cs="Arial" w:eastAsia="Arial" w:hAnsi="Arial"/>
          <w:sz w:val="17"/>
          <w:szCs w:val="17"/>
          <w:color w:val="auto"/>
        </w:rPr>
        <w:t>Our organizational structure, including the Tax Receivable Agreement, confers certain benefits upon the Continuing LLC Owners that will not benefit the holders of our Class A common stock or Class B common stock to the same extent as it will benefit the Continuing LLC Owners. The Tax Receivable Agreement with TWM LLC and the Continuing LLC Owners provides for the payment by us to the Continuing LLC Owners of 50% of the tax benefits, if any, that we actually realize, or in certain circumstances are deemed to realize, as a result of (i) increases in the tax basis of TWM LLC’s assets resulting from (a) the purchase of LLC Interests from such Continuing LLC Owner, including with the net proceeds from the IPO, the October 2019 follow-on offering, this offering and any future offerings or</w:t>
      </w:r>
    </w:p>
    <w:p>
      <w:pPr>
        <w:spacing w:after="0" w:line="3" w:lineRule="exact"/>
        <w:rPr>
          <w:sz w:val="20"/>
          <w:szCs w:val="20"/>
          <w:color w:val="auto"/>
        </w:rPr>
      </w:pPr>
    </w:p>
    <w:p>
      <w:pPr>
        <w:ind w:left="1260" w:right="979" w:firstLine="8"/>
        <w:spacing w:after="0" w:line="290" w:lineRule="auto"/>
        <w:tabs>
          <w:tab w:leader="none" w:pos="1529"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redemptions or exchanges by the Continuing LLC Owners of LLC Interests for shares of our Class A common stock or Class B Common Stock or for cash, as applicable, as described under “The IPO and</w:t>
      </w:r>
    </w:p>
    <w:p>
      <w:pPr>
        <w:spacing w:after="0" w:line="22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59" w:lineRule="auto"/>
        <w:rPr>
          <w:sz w:val="20"/>
          <w:szCs w:val="20"/>
          <w:color w:val="auto"/>
        </w:rPr>
      </w:pPr>
      <w:r>
        <w:rPr>
          <w:rFonts w:ascii="Arial" w:cs="Arial" w:eastAsia="Arial" w:hAnsi="Arial"/>
          <w:sz w:val="18"/>
          <w:szCs w:val="18"/>
          <w:color w:val="auto"/>
        </w:rPr>
        <w:t>Reorganization Transactions,” and (ii) certain other tax benefits related to our making payments under the Tax Receivable Agreement. Although we will retain 50% of the amount of such tax benefits, this and other aspects of our organizational structure may adversely impact the future trading market for the Class A common stock.</w:t>
      </w:r>
    </w:p>
    <w:p>
      <w:pPr>
        <w:spacing w:after="0" w:line="173" w:lineRule="exact"/>
        <w:rPr>
          <w:sz w:val="20"/>
          <w:szCs w:val="20"/>
          <w:color w:val="auto"/>
        </w:rPr>
      </w:pPr>
    </w:p>
    <w:p>
      <w:pPr>
        <w:ind w:left="1260" w:right="739"/>
        <w:spacing w:after="0" w:line="235"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to the Continuing LLC Owners may be accelerated or significantly exceed the actual benefits we realize in respect of the tax attributes subject to the Tax Receivable Agreement.</w:t>
      </w:r>
    </w:p>
    <w:p>
      <w:pPr>
        <w:spacing w:after="0" w:line="80" w:lineRule="exact"/>
        <w:rPr>
          <w:sz w:val="20"/>
          <w:szCs w:val="20"/>
          <w:color w:val="auto"/>
        </w:rPr>
      </w:pPr>
    </w:p>
    <w:p>
      <w:pPr>
        <w:ind w:left="1260" w:right="959" w:firstLine="360"/>
        <w:spacing w:after="0" w:line="275" w:lineRule="auto"/>
        <w:rPr>
          <w:sz w:val="20"/>
          <w:szCs w:val="20"/>
          <w:color w:val="auto"/>
        </w:rPr>
      </w:pPr>
      <w:r>
        <w:rPr>
          <w:rFonts w:ascii="Arial" w:cs="Arial" w:eastAsia="Arial" w:hAnsi="Arial"/>
          <w:sz w:val="17"/>
          <w:szCs w:val="17"/>
          <w:color w:val="auto"/>
        </w:rPr>
        <w:t>The Tax Receivable Agreement provides that upon certain changes of control or if, at any time, we elect an early termination of the Tax Receivable Agreement, then our obligations, or our successor’s obligations, to make payments under the Tax Receivable Agreement would be accelerated and calculated based on certain assumptions, including an assumption that we would have sufficient taxable income to fully utilize all potential future tax benefits that are subject to the Tax Receivable Agreement.</w:t>
      </w:r>
    </w:p>
    <w:p>
      <w:pPr>
        <w:spacing w:after="0" w:line="68"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As a result of the foregoing, (i) we could be required to make payments under the Tax Receivable Agreement that are greater than the specified percentage of the actual benefits we ultimately realize in respect of the tax benefits that are subject to the Tax Receivable Agreement (for example, if we do not end up having any income in the relevant period) and (ii) we would be required to make an immediate cash payment equal to the present value of the anticipated future tax benefits that are the subject of the Tax Receivable Agreement, which payment may be made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change of control transactions. There can be no assurance that we will be able to fund or finance our obligations under the Tax Receivable Agreement.</w:t>
      </w:r>
    </w:p>
    <w:p>
      <w:pPr>
        <w:spacing w:after="0" w:line="172" w:lineRule="exact"/>
        <w:rPr>
          <w:sz w:val="20"/>
          <w:szCs w:val="20"/>
          <w:color w:val="auto"/>
        </w:rPr>
      </w:pPr>
    </w:p>
    <w:p>
      <w:pPr>
        <w:ind w:left="1260" w:right="1419"/>
        <w:spacing w:after="0" w:line="246" w:lineRule="auto"/>
        <w:rPr>
          <w:sz w:val="20"/>
          <w:szCs w:val="20"/>
          <w:color w:val="auto"/>
        </w:rPr>
      </w:pPr>
      <w:r>
        <w:rPr>
          <w:rFonts w:ascii="Arial" w:cs="Arial" w:eastAsia="Arial" w:hAnsi="Arial"/>
          <w:sz w:val="18"/>
          <w:szCs w:val="18"/>
          <w:b w:val="1"/>
          <w:bCs w:val="1"/>
          <w:i w:val="1"/>
          <w:iCs w:val="1"/>
          <w:color w:val="auto"/>
        </w:rPr>
        <w:t>We will not be reimbursed for any payments made to the Continuing LLC Owners under the Tax Receivable Agreement in the event that any tax benefits are disallowed.</w:t>
      </w:r>
    </w:p>
    <w:p>
      <w:pPr>
        <w:spacing w:after="0" w:line="75"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Payments under the Tax Receivable Agreement are based on the tax reporting positions that we determine, and the Internal Revenue Service or another tax authority may challenge all or part of the tax basis increases, as well as other related tax positions we take, and a court could sustain such challenge. We will not be reimbursed for any cash payments previously made to the Continuing LLC Owners under the Tax Receivable Agreement in the event that any tax benefits initially claimed by us and for which payment has been made to a Continuing LLC Owner are subsequently challenged by a taxing authority and are ultimately disallowed. Instead, any excess cash payments made by us to a Continuing LLC Owner will be netted against any future cash payments that we might otherwise be required to make to such Continuing LLC Owner under the terms of the Tax Receivable Agreement. However, we might not determine that we have effectively made an excess cash payment to a Continuing LLC Owner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As a result, payments could be made under the Tax Receivable Agreement in excess of the tax savings that we realize in respect of the tax attributes with respect to a Continuing LLC Owner that are the subject of the Tax Receivable Agreement.</w:t>
      </w:r>
    </w:p>
    <w:p>
      <w:pPr>
        <w:spacing w:after="0" w:line="168" w:lineRule="exact"/>
        <w:rPr>
          <w:sz w:val="20"/>
          <w:szCs w:val="20"/>
          <w:color w:val="auto"/>
        </w:rPr>
      </w:pPr>
    </w:p>
    <w:p>
      <w:pPr>
        <w:jc w:val="both"/>
        <w:ind w:left="1260" w:right="1119"/>
        <w:spacing w:after="0" w:line="235"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materially adversely affect our results of operations and financial condition.</w:t>
      </w:r>
    </w:p>
    <w:p>
      <w:pPr>
        <w:spacing w:after="0" w:line="80"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We are subject to taxation by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pacing w:after="0" w:line="130" w:lineRule="exact"/>
        <w:rPr>
          <w:sz w:val="20"/>
          <w:szCs w:val="20"/>
          <w:color w:val="auto"/>
        </w:rPr>
      </w:pPr>
    </w:p>
    <w:p>
      <w:pPr>
        <w:ind w:left="1980" w:hanging="352"/>
        <w:spacing w:after="0"/>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ectPr>
          <w:pgSz w:w="11900" w:h="16838" w:orient="portrait"/>
          <w:cols w:equalWidth="0" w:num="1">
            <w:col w:w="10139"/>
          </w:cols>
          <w:pgMar w:left="320" w:top="132" w:right="1440" w:bottom="1440" w:gutter="0" w:footer="0" w:header="0"/>
        </w:sectPr>
      </w:pPr>
    </w:p>
    <w:p>
      <w:pPr>
        <w:spacing w:after="0" w:line="29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68065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75" w:name="page76"/>
    <w:bookmarkEnd w:id="7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839" w:hanging="352"/>
        <w:spacing w:after="0" w:line="277" w:lineRule="auto"/>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future earnings being lower than anticipated in countries where we have lower statutory tax rates and higher than anticipated in countries where we have higher statutory tax rates.</w:t>
      </w:r>
    </w:p>
    <w:p>
      <w:pPr>
        <w:spacing w:after="0" w:line="62"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In addition, we may be subject to audits of our income, sales and other transaction taxes by U.S. federal, state, local and foreign taxing authorities. Outcomes from these audits could have an adverse effect on our results of operations and financial condition.</w:t>
      </w:r>
    </w:p>
    <w:p>
      <w:pPr>
        <w:spacing w:after="0" w:line="76" w:lineRule="exact"/>
        <w:rPr>
          <w:sz w:val="20"/>
          <w:szCs w:val="20"/>
          <w:color w:val="auto"/>
        </w:rPr>
      </w:pPr>
    </w:p>
    <w:p>
      <w:pPr>
        <w:jc w:val="both"/>
        <w:ind w:left="1260" w:right="819" w:firstLine="360"/>
        <w:spacing w:after="0" w:line="263" w:lineRule="auto"/>
        <w:rPr>
          <w:sz w:val="20"/>
          <w:szCs w:val="20"/>
          <w:color w:val="auto"/>
        </w:rPr>
      </w:pPr>
      <w:r>
        <w:rPr>
          <w:rFonts w:ascii="Arial" w:cs="Arial" w:eastAsia="Arial" w:hAnsi="Arial"/>
          <w:sz w:val="18"/>
          <w:szCs w:val="18"/>
          <w:color w:val="auto"/>
        </w:rPr>
        <w:t>In certain circumstances, liability for adjustments to a partnership’s tax return may be imputed to the partnership itself absent an election to the contrary. TWM LLC may be subject to material liabilities if, for example, its calculations of taxable income are incorrect.</w:t>
      </w:r>
    </w:p>
    <w:p>
      <w:pPr>
        <w:spacing w:after="0" w:line="170" w:lineRule="exact"/>
        <w:rPr>
          <w:sz w:val="20"/>
          <w:szCs w:val="20"/>
          <w:color w:val="auto"/>
        </w:rPr>
      </w:pPr>
    </w:p>
    <w:p>
      <w:pPr>
        <w:ind w:left="1260" w:right="819"/>
        <w:spacing w:after="0" w:line="231" w:lineRule="auto"/>
        <w:rPr>
          <w:sz w:val="20"/>
          <w:szCs w:val="20"/>
          <w:color w:val="auto"/>
        </w:rPr>
      </w:pPr>
      <w:r>
        <w:rPr>
          <w:rFonts w:ascii="Arial" w:cs="Arial" w:eastAsia="Arial" w:hAnsi="Arial"/>
          <w:sz w:val="18"/>
          <w:szCs w:val="18"/>
          <w:b w:val="1"/>
          <w:bCs w:val="1"/>
          <w:i w:val="1"/>
          <w:iCs w:val="1"/>
          <w:color w:val="auto"/>
        </w:rPr>
        <w:t>If we are deemed to be an investment company under the Investment Company Act of 1940, as amended (the “1940 Act”), as a result of our ownership of TWM LLC, applicable restrictions could make it impractical for us to continue our business as contemplated and could have a material adverse effect on our business.</w:t>
      </w:r>
    </w:p>
    <w:p>
      <w:pPr>
        <w:spacing w:after="0" w:line="81"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84"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As the sole manager of TWM LLC, we control and operate TWM LLC. On that basis, we believe that our interest in TWM LLC is not an “investment security” as that term is used in the 1940 Act. However, if we were to cease participation in the management of TWM LLC, our interest in TWM LLC could be deemed an “investment security” for purposes of the 1940 Act.</w:t>
      </w:r>
    </w:p>
    <w:p>
      <w:pPr>
        <w:spacing w:after="0" w:line="79"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We and TWM LLC intend to continue to conduct our operations so that we will not be deemed an investment company. However, if we are deemed to be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Relating to Ownership of Our Class A Common Stock</w:t>
      </w:r>
    </w:p>
    <w:p>
      <w:pPr>
        <w:spacing w:after="0" w:line="202" w:lineRule="exact"/>
        <w:rPr>
          <w:sz w:val="20"/>
          <w:szCs w:val="20"/>
          <w:color w:val="auto"/>
        </w:rPr>
      </w:pPr>
    </w:p>
    <w:p>
      <w:pPr>
        <w:ind w:left="1260" w:right="759"/>
        <w:spacing w:after="0" w:line="246" w:lineRule="auto"/>
        <w:rPr>
          <w:sz w:val="20"/>
          <w:szCs w:val="20"/>
          <w:color w:val="auto"/>
        </w:rPr>
      </w:pPr>
      <w:r>
        <w:rPr>
          <w:rFonts w:ascii="Arial" w:cs="Arial" w:eastAsia="Arial" w:hAnsi="Arial"/>
          <w:sz w:val="18"/>
          <w:szCs w:val="18"/>
          <w:b w:val="1"/>
          <w:bCs w:val="1"/>
          <w:i w:val="1"/>
          <w:iCs w:val="1"/>
          <w:color w:val="auto"/>
        </w:rPr>
        <w:t>The Refinitiv Owners and their affiliates control us and their interests may conflict with ours or yours in the future.</w:t>
      </w:r>
    </w:p>
    <w:p>
      <w:pPr>
        <w:spacing w:after="0" w:line="75"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The Refinitiv Owners and their affiliates currently control approximately 77.6% of the combined voting power of our common stock, and, immediately following this offering and the application of the net proceeds from this offering, the Refinitiv Owners and their affiliates will control approximately 83.0% of the combined voting power of our common stock (or 83.8%, if the underwriters exercise in full their option to purchase additional shares of Class A common stock) as a result of their ownership of our Class B common stock and Class D common stock, each share of which is entitled to 10 votes on all matters submitted to a vote of our stockholders. Moreover, under our amended and restated bylaws and the Stockholders Agreement, for so long as the Refinitiv Owners and their affiliates together continue to beneficially own at least 10% of the combined voting power of our common stock, we will agree to nominate to our board of directors a certain number of individuals designated by the Refinitiv Owners. See “Certain Relationships and Related Party Transactions — Related Party Transactions Entered Into in Connection With the IPO — Stockholders Agreement.” Even when the Refinitiv Owners and their affiliates cease to own shares of our common stock representing a majority of the combined voting power, for so long as the Refinitiv Owners continue to own a significant percentage of our common stock, the Refinitiv Owners will still be able to significantly influence the composition of our board of directors and the approval of actions requiring stockholder approval through their combined voting power. Accordingly, for such period of time, the Refinitiv Owners and their affiliates will continue to have significant influence with respect to our management, business plans and policies. In particular, the Refinitiv Owners and their</w:t>
      </w:r>
    </w:p>
    <w:p>
      <w:pPr>
        <w:spacing w:after="0" w:line="2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39"/>
        <w:spacing w:after="0" w:line="257" w:lineRule="auto"/>
        <w:rPr>
          <w:sz w:val="20"/>
          <w:szCs w:val="20"/>
          <w:color w:val="auto"/>
        </w:rPr>
      </w:pPr>
      <w:r>
        <w:rPr>
          <w:rFonts w:ascii="Arial" w:cs="Arial" w:eastAsia="Arial" w:hAnsi="Arial"/>
          <w:sz w:val="18"/>
          <w:szCs w:val="18"/>
          <w:color w:val="auto"/>
        </w:rPr>
        <w:t>affiliates are able to cause or prevent a change of control of our company or a change in the composition of our board of directors and could preclude any unsolicited acquisition of our company. The concentration of voting power could deprive you of an opportunity to receive a premium for your shares of Class A common stock as part of a sale of our company and ultimately might affect the market price of our Class A common stock.</w:t>
      </w:r>
    </w:p>
    <w:p>
      <w:pPr>
        <w:spacing w:after="0" w:line="80"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The Refinitiv Owners and their affiliates engage in a broad spectrum of activities. In the ordinary course of their business activities, the Refinitiv Owners and their affiliates may engage in activities where their interests conflict with our interests or those of our stockholders. Our amended and restated certificate of incorporation provides that none of the Refinitiv Owners, any of their affiliates or any director who is not employed by us (including any non-employee director who serves as one of our officers in both his director and officer capacities) or his or her affiliates has any duty to refrain from engaging, directly or indirectly, in the same business activities or similar business activities or lines of business in which we operate. The Refinitiv Owners and their affiliates also may pursue acquisition opportunities that may be complementary to our business, and, as a result, those acquisition opportunities may not be available to us. In addition, the Refinitiv Owners and their affiliates may have an interest in us pursuing acquisitions, divestitures and other transactions that, in their judgment, could enhance their investment, even though such transactions might involve risks to you.</w:t>
      </w:r>
    </w:p>
    <w:p>
      <w:pPr>
        <w:spacing w:after="0" w:line="186" w:lineRule="exact"/>
        <w:rPr>
          <w:sz w:val="20"/>
          <w:szCs w:val="20"/>
          <w:color w:val="auto"/>
        </w:rPr>
      </w:pPr>
    </w:p>
    <w:p>
      <w:pPr>
        <w:ind w:left="1260" w:right="699"/>
        <w:spacing w:after="0" w:line="246" w:lineRule="auto"/>
        <w:rPr>
          <w:sz w:val="20"/>
          <w:szCs w:val="20"/>
          <w:color w:val="auto"/>
        </w:rPr>
      </w:pPr>
      <w:r>
        <w:rPr>
          <w:rFonts w:ascii="Arial" w:cs="Arial" w:eastAsia="Arial" w:hAnsi="Arial"/>
          <w:sz w:val="18"/>
          <w:szCs w:val="18"/>
          <w:b w:val="1"/>
          <w:bCs w:val="1"/>
          <w:i w:val="1"/>
          <w:iCs w:val="1"/>
          <w:color w:val="auto"/>
        </w:rPr>
        <w:t>The Refinitiv Direct Owner and Continuing LLC Owners may require us to issue additional shares of our Class A common stock.</w:t>
      </w:r>
    </w:p>
    <w:p>
      <w:pPr>
        <w:spacing w:after="0" w:line="75"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After giving effect to this offering, we will have an aggregate of more than 918,337,779 shares of Class A common stock authorized but unissued, including approximately 143,560,803 shares of Class A common stock (or 141,965,761 shares, if the underwriters exercise in full their option to purchase additional shares of Class A common stock) issuable upon the redemption or exchange of LLC Interests that are held by the Continuing LLC Owners or the exchange of shares of Class B common stock that are held by the Refinitiv Direct Owner and any other future holders of Class B common stock. Subject to certain restrictions set forth in the TWM LLC Agreement and as described elsewhere in this prospectus, Continuing LLC Owners are entitled to have their LLC Interests redeemed for newly issued shares of our Class A common stock or Class B common stock, in each case, on a one-for-one basis (in which case such holders’ shares of Class C common stock or Class D common stock, as the case may be, will be cancelled on a one-for-one basis upon any such issuance). Shares of our Class B common stock may also be exchanged at any time, at the option of the holder, for newly issued shares of Class A common stock (in which case such holders’ shares of Class B common stock will be cancelled on a one-for-one basis upon any such issuance).</w:t>
      </w:r>
    </w:p>
    <w:p>
      <w:pPr>
        <w:spacing w:after="0" w:line="78" w:lineRule="exact"/>
        <w:rPr>
          <w:sz w:val="20"/>
          <w:szCs w:val="20"/>
          <w:color w:val="auto"/>
        </w:rPr>
      </w:pPr>
    </w:p>
    <w:p>
      <w:pPr>
        <w:ind w:left="1260" w:right="839" w:firstLine="360"/>
        <w:spacing w:after="0" w:line="275" w:lineRule="auto"/>
        <w:rPr>
          <w:sz w:val="20"/>
          <w:szCs w:val="20"/>
          <w:color w:val="auto"/>
        </w:rPr>
      </w:pPr>
      <w:r>
        <w:rPr>
          <w:rFonts w:ascii="Arial" w:cs="Arial" w:eastAsia="Arial" w:hAnsi="Arial"/>
          <w:sz w:val="17"/>
          <w:szCs w:val="17"/>
          <w:color w:val="auto"/>
        </w:rPr>
        <w:t>We cannot predict the size of future issuances of our Class A common stock or the effect, if any, that future issuances and sales of shares of our Class A common stock may have on the market price of our Class A common stock. Sales or distributions of substantial amounts of our Class A common stock, including shares issued in connection with an acquisition, or the perception that such sales or distributions could occur, may cause the market price of our Class A common stock to decline.</w:t>
      </w:r>
    </w:p>
    <w:p>
      <w:pPr>
        <w:spacing w:after="0" w:line="163" w:lineRule="exact"/>
        <w:rPr>
          <w:sz w:val="20"/>
          <w:szCs w:val="20"/>
          <w:color w:val="auto"/>
        </w:rPr>
      </w:pPr>
    </w:p>
    <w:p>
      <w:pPr>
        <w:jc w:val="both"/>
        <w:ind w:left="1260" w:right="959"/>
        <w:spacing w:after="0" w:line="307" w:lineRule="auto"/>
        <w:rPr>
          <w:sz w:val="20"/>
          <w:szCs w:val="20"/>
          <w:color w:val="auto"/>
        </w:rPr>
      </w:pPr>
      <w:r>
        <w:rPr>
          <w:rFonts w:ascii="Arial" w:cs="Arial" w:eastAsia="Arial" w:hAnsi="Arial"/>
          <w:sz w:val="16"/>
          <w:szCs w:val="16"/>
          <w:b w:val="1"/>
          <w:bCs w:val="1"/>
          <w:i w:val="1"/>
          <w:iCs w:val="1"/>
          <w:color w:val="auto"/>
        </w:rPr>
        <w:t>We are a “controlled company” within the meaning of the corporate governance standards of Nasdaq and, as a result, qualify for, and rely on, exemptions from certain corporate governance requirements.</w:t>
      </w:r>
    </w:p>
    <w:p>
      <w:pPr>
        <w:spacing w:after="0" w:line="29"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Refinitiv owns a majority of the combined voting power in us. As a result, we are a “controlled company” within the meaning of the corporate governance standards of Nasdaq. A company of which more than 50% of the voting power is held by an individual, a group or another company is a “controlled company” within the meaning of the corporate governance standards of Nasdaq and may elect not to comply with certain corporate governance requirements of Nasdaq, including:</w:t>
      </w:r>
    </w:p>
    <w:p>
      <w:pPr>
        <w:spacing w:after="0" w:line="161" w:lineRule="exact"/>
        <w:rPr>
          <w:sz w:val="20"/>
          <w:szCs w:val="20"/>
          <w:color w:val="auto"/>
        </w:rPr>
      </w:pPr>
    </w:p>
    <w:p>
      <w:pPr>
        <w:ind w:left="1980" w:hanging="352"/>
        <w:spacing w:after="0"/>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184" w:lineRule="exact"/>
        <w:rPr>
          <w:rFonts w:ascii="Arial" w:cs="Arial" w:eastAsia="Arial" w:hAnsi="Arial"/>
          <w:sz w:val="18"/>
          <w:szCs w:val="18"/>
          <w:color w:val="auto"/>
        </w:rPr>
      </w:pPr>
    </w:p>
    <w:p>
      <w:pPr>
        <w:ind w:left="1980" w:right="759" w:hanging="352"/>
        <w:spacing w:after="0" w:line="263" w:lineRule="auto"/>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requirement that director nominations be made, or recommended to the full board of directors, by its independent directors or by a nominations committee that is composed entirely of independent directors; and</w:t>
      </w: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779" w:hanging="352"/>
        <w:spacing w:after="0" w:line="342" w:lineRule="auto"/>
        <w:tabs>
          <w:tab w:leader="none" w:pos="1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requirement that we have a compensation committee that is composed entirely of independent directors with a written charter addressing the committee’s purpose and responsibilities.</w:t>
      </w:r>
    </w:p>
    <w:p>
      <w:pPr>
        <w:spacing w:after="0" w:line="16"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We intend to continue to rely on all of the exemptions listed above. If we continue to utilize the exemptions, we will not have a majority of independent directors and our nominating and corporate governance and compensation committees will not consist entirely of independent directors. As a result, our board of directors and those committees may have more directors who do not meet Nasdaq independence standards than they would if those standards were to apply. The independence standards are intended to ensure that directors who meet those standards are free of any conflicting interest that could influence their actions as directors. Accordingly, you will not have the same protections afforded to stockholders of companies that are subject to all of the corporate governance requirements of Nasdaq.</w:t>
      </w:r>
    </w:p>
    <w:p>
      <w:pPr>
        <w:spacing w:after="0" w:line="165" w:lineRule="exact"/>
        <w:rPr>
          <w:sz w:val="20"/>
          <w:szCs w:val="20"/>
          <w:color w:val="auto"/>
        </w:rPr>
      </w:pPr>
    </w:p>
    <w:p>
      <w:pPr>
        <w:ind w:left="1260" w:right="839"/>
        <w:spacing w:after="0" w:line="246" w:lineRule="auto"/>
        <w:rPr>
          <w:sz w:val="20"/>
          <w:szCs w:val="20"/>
          <w:color w:val="auto"/>
        </w:rPr>
      </w:pPr>
      <w:r>
        <w:rPr>
          <w:rFonts w:ascii="Arial" w:cs="Arial" w:eastAsia="Arial" w:hAnsi="Arial"/>
          <w:sz w:val="18"/>
          <w:szCs w:val="18"/>
          <w:b w:val="1"/>
          <w:bCs w:val="1"/>
          <w:i w:val="1"/>
          <w:iCs w:val="1"/>
          <w:color w:val="auto"/>
        </w:rPr>
        <w:t>The market price of our Class A common stock may be highly volatile, and you may not be able to resell your shares at or above the public offering price.</w:t>
      </w:r>
    </w:p>
    <w:p>
      <w:pPr>
        <w:spacing w:after="0" w:line="75"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7"/>
          <w:szCs w:val="17"/>
          <w:color w:val="auto"/>
        </w:rPr>
        <w:t>Prior to the IPO, there was no public market for our Class A common stock. Given our limited trading history, an active trading market for our Class A common stock may not be sustained, which could adversely affect your ability to sell your shares and the market price for your shares. Further, the market price and trading volumes of our Class A common stock could be volatile, and you could lose all or part of your investment. Stock markets have experienced extreme price and volume fluctuations that have affected and continue to affect the market prices of equity securities of many companies in our industry. The following factors, in addition to other factors described in this “Risk Factors” section, may have a significant impact on the market price and trading volume of our Class A common stock:</w:t>
      </w:r>
    </w:p>
    <w:p>
      <w:pPr>
        <w:spacing w:after="0" w:line="111" w:lineRule="exact"/>
        <w:rPr>
          <w:sz w:val="20"/>
          <w:szCs w:val="20"/>
          <w:color w:val="auto"/>
        </w:rPr>
      </w:pPr>
    </w:p>
    <w:p>
      <w:pPr>
        <w:ind w:left="1980" w:hanging="352"/>
        <w:spacing w:after="0"/>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negative trends in global economic conditions or activity levels in our industry;</w:t>
      </w:r>
    </w:p>
    <w:p>
      <w:pPr>
        <w:spacing w:after="0" w:line="144" w:lineRule="exact"/>
        <w:rPr>
          <w:rFonts w:ascii="Arial" w:cs="Arial" w:eastAsia="Arial" w:hAnsi="Arial"/>
          <w:sz w:val="18"/>
          <w:szCs w:val="18"/>
          <w:color w:val="auto"/>
        </w:rPr>
      </w:pPr>
    </w:p>
    <w:p>
      <w:pPr>
        <w:ind w:left="1980" w:right="1159" w:hanging="352"/>
        <w:spacing w:after="0" w:line="277"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our relationship with our clients or in client needs or expectations or trends in the markets in which we operate;</w:t>
      </w:r>
    </w:p>
    <w:p>
      <w:pPr>
        <w:spacing w:after="0" w:line="89" w:lineRule="exact"/>
        <w:rPr>
          <w:rFonts w:ascii="Arial" w:cs="Arial" w:eastAsia="Arial" w:hAnsi="Arial"/>
          <w:sz w:val="18"/>
          <w:szCs w:val="18"/>
          <w:color w:val="auto"/>
        </w:rPr>
      </w:pPr>
    </w:p>
    <w:p>
      <w:pPr>
        <w:ind w:left="1980" w:right="1039" w:hanging="352"/>
        <w:spacing w:after="0" w:line="277"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announcements concerning or by our competitors or concerning our industry or the markets in which we operate in general;</w:t>
      </w:r>
    </w:p>
    <w:p>
      <w:pPr>
        <w:spacing w:after="0" w:line="102" w:lineRule="exact"/>
        <w:rPr>
          <w:rFonts w:ascii="Arial" w:cs="Arial" w:eastAsia="Arial" w:hAnsi="Arial"/>
          <w:sz w:val="18"/>
          <w:szCs w:val="18"/>
          <w:color w:val="auto"/>
        </w:rPr>
      </w:pPr>
    </w:p>
    <w:p>
      <w:pPr>
        <w:ind w:left="1980" w:right="799" w:hanging="352"/>
        <w:spacing w:after="0" w:line="277"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implement our business strategy;</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complete and integrate acquisitions;</w:t>
      </w:r>
    </w:p>
    <w:p>
      <w:pPr>
        <w:spacing w:after="0" w:line="144" w:lineRule="exact"/>
        <w:rPr>
          <w:rFonts w:ascii="Arial" w:cs="Arial" w:eastAsia="Arial" w:hAnsi="Arial"/>
          <w:sz w:val="18"/>
          <w:szCs w:val="18"/>
          <w:color w:val="auto"/>
        </w:rPr>
      </w:pPr>
    </w:p>
    <w:p>
      <w:pPr>
        <w:ind w:left="1980" w:right="1039" w:hanging="352"/>
        <w:spacing w:after="0" w:line="308" w:lineRule="auto"/>
        <w:tabs>
          <w:tab w:leader="none" w:pos="1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or annual operating results or failure to meet guidance given by us or any change in guidance given by us or in our guidance practices;</w:t>
      </w:r>
    </w:p>
    <w:p>
      <w:pPr>
        <w:spacing w:after="0" w:line="78" w:lineRule="exact"/>
        <w:rPr>
          <w:rFonts w:ascii="Arial" w:cs="Arial" w:eastAsia="Arial" w:hAnsi="Arial"/>
          <w:sz w:val="17"/>
          <w:szCs w:val="17"/>
          <w:color w:val="auto"/>
        </w:rPr>
      </w:pPr>
    </w:p>
    <w:p>
      <w:pPr>
        <w:ind w:left="1980" w:hanging="352"/>
        <w:spacing w:after="0"/>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trading volume of our Class A common stock;</w:t>
      </w:r>
    </w:p>
    <w:p>
      <w:pPr>
        <w:spacing w:after="0" w:line="157" w:lineRule="exact"/>
        <w:rPr>
          <w:rFonts w:ascii="Arial" w:cs="Arial" w:eastAsia="Arial" w:hAnsi="Arial"/>
          <w:sz w:val="18"/>
          <w:szCs w:val="18"/>
          <w:color w:val="auto"/>
        </w:rPr>
      </w:pPr>
    </w:p>
    <w:p>
      <w:pPr>
        <w:ind w:left="1980" w:right="999" w:hanging="352"/>
        <w:spacing w:after="0" w:line="277"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failure of securities analysts to cover the Company or changes in financial estimates by the analysts who cover us, our competitors or our industry in general;</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economic, political, social, legal and regulatory factors unrelated to our performance;</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loss of any of our management or key personnel;</w:t>
      </w:r>
    </w:p>
    <w:p>
      <w:pPr>
        <w:spacing w:after="0" w:line="144" w:lineRule="exact"/>
        <w:rPr>
          <w:rFonts w:ascii="Arial" w:cs="Arial" w:eastAsia="Arial" w:hAnsi="Arial"/>
          <w:sz w:val="18"/>
          <w:szCs w:val="18"/>
          <w:color w:val="auto"/>
        </w:rPr>
      </w:pPr>
    </w:p>
    <w:p>
      <w:pPr>
        <w:ind w:left="1980" w:right="859" w:hanging="352"/>
        <w:spacing w:after="0" w:line="277"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sales of our Class A common stock by us, our executive officers, directors or our stockholders in the future;</w:t>
      </w:r>
    </w:p>
    <w:p>
      <w:pPr>
        <w:spacing w:after="0" w:line="102" w:lineRule="exact"/>
        <w:rPr>
          <w:rFonts w:ascii="Arial" w:cs="Arial" w:eastAsia="Arial" w:hAnsi="Arial"/>
          <w:sz w:val="18"/>
          <w:szCs w:val="18"/>
          <w:color w:val="auto"/>
        </w:rPr>
      </w:pPr>
    </w:p>
    <w:p>
      <w:pPr>
        <w:ind w:left="1980" w:hanging="352"/>
        <w:spacing w:after="0"/>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investor perception of us, our competitors and our industry;</w:t>
      </w:r>
    </w:p>
    <w:p>
      <w:pPr>
        <w:spacing w:after="0" w:line="157" w:lineRule="exact"/>
        <w:rPr>
          <w:rFonts w:ascii="Arial" w:cs="Arial" w:eastAsia="Arial" w:hAnsi="Arial"/>
          <w:sz w:val="18"/>
          <w:szCs w:val="18"/>
          <w:color w:val="auto"/>
        </w:rPr>
      </w:pPr>
    </w:p>
    <w:p>
      <w:pPr>
        <w:ind w:left="1980" w:right="1279" w:hanging="352"/>
        <w:spacing w:after="0" w:line="308" w:lineRule="auto"/>
        <w:tabs>
          <w:tab w:leader="none" w:pos="1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adverse consequences related to our multi-class capital structure, such as stock index providers excluding companies with multi-class capital structures from certain indices; and</w:t>
      </w:r>
    </w:p>
    <w:p>
      <w:pPr>
        <w:spacing w:after="0" w:line="65" w:lineRule="exact"/>
        <w:rPr>
          <w:rFonts w:ascii="Arial" w:cs="Arial" w:eastAsia="Arial" w:hAnsi="Arial"/>
          <w:sz w:val="17"/>
          <w:szCs w:val="17"/>
          <w:color w:val="auto"/>
        </w:rPr>
      </w:pPr>
    </w:p>
    <w:p>
      <w:pPr>
        <w:ind w:left="1980" w:hanging="352"/>
        <w:spacing w:after="0"/>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overall fluctuations in the U.S. equity markets generally.</w:t>
      </w:r>
    </w:p>
    <w:p>
      <w:pPr>
        <w:sectPr>
          <w:pgSz w:w="11900" w:h="16838" w:orient="portrait"/>
          <w:cols w:equalWidth="0" w:num="1">
            <w:col w:w="10139"/>
          </w:cols>
          <w:pgMar w:left="320" w:top="131" w:right="1440" w:bottom="1440" w:gutter="0" w:footer="0" w:header="0"/>
        </w:sectPr>
      </w:pPr>
    </w:p>
    <w:p>
      <w:pPr>
        <w:spacing w:after="0" w:line="29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68065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8" w:name="page79"/>
    <w:bookmarkEnd w:id="7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99" w:firstLine="360"/>
        <w:spacing w:after="0" w:line="263" w:lineRule="auto"/>
        <w:rPr>
          <w:sz w:val="20"/>
          <w:szCs w:val="20"/>
          <w:color w:val="auto"/>
        </w:rPr>
      </w:pPr>
      <w:r>
        <w:rPr>
          <w:rFonts w:ascii="Arial" w:cs="Arial" w:eastAsia="Arial" w:hAnsi="Arial"/>
          <w:sz w:val="18"/>
          <w:szCs w:val="18"/>
          <w:color w:val="auto"/>
        </w:rPr>
        <w:t>In addition, broad market and industry factors may negatively affect the market price of our Class A common stock, regardless of our actual operating performance, and factors beyond our control may cause our stock price to decline rapidly and unexpectedly.</w:t>
      </w:r>
    </w:p>
    <w:p>
      <w:pPr>
        <w:spacing w:after="0" w:line="170" w:lineRule="exact"/>
        <w:rPr>
          <w:sz w:val="20"/>
          <w:szCs w:val="20"/>
          <w:color w:val="auto"/>
        </w:rPr>
      </w:pPr>
    </w:p>
    <w:p>
      <w:pPr>
        <w:ind w:left="1260" w:right="959"/>
        <w:spacing w:after="0" w:line="246" w:lineRule="auto"/>
        <w:rPr>
          <w:sz w:val="20"/>
          <w:szCs w:val="20"/>
          <w:color w:val="auto"/>
        </w:rPr>
      </w:pPr>
      <w:r>
        <w:rPr>
          <w:rFonts w:ascii="Arial" w:cs="Arial" w:eastAsia="Arial" w:hAnsi="Arial"/>
          <w:sz w:val="18"/>
          <w:szCs w:val="18"/>
          <w:b w:val="1"/>
          <w:bCs w:val="1"/>
          <w:i w:val="1"/>
          <w:iCs w:val="1"/>
          <w:color w:val="auto"/>
        </w:rPr>
        <w:t>Sales, or the potential for sales, of a substantial number of shares of our Class A common stock in the public market could cause our stock price to drop significantly.</w:t>
      </w:r>
    </w:p>
    <w:p>
      <w:pPr>
        <w:spacing w:after="0" w:line="75" w:lineRule="exact"/>
        <w:rPr>
          <w:sz w:val="20"/>
          <w:szCs w:val="20"/>
          <w:color w:val="auto"/>
        </w:rPr>
      </w:pPr>
    </w:p>
    <w:p>
      <w:pPr>
        <w:ind w:left="1260" w:right="659" w:firstLine="360"/>
        <w:spacing w:after="0" w:line="272" w:lineRule="auto"/>
        <w:rPr>
          <w:sz w:val="20"/>
          <w:szCs w:val="20"/>
          <w:color w:val="auto"/>
        </w:rPr>
      </w:pPr>
      <w:r>
        <w:rPr>
          <w:rFonts w:ascii="Arial" w:cs="Arial" w:eastAsia="Arial" w:hAnsi="Arial"/>
          <w:sz w:val="17"/>
          <w:szCs w:val="17"/>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Upon the closing of this offering, we will have 81,662,221 outstanding shares of Class A common stock (or 83,257,263 shares, if the underwriters exercise in full their option to purchase additional shares of Class A common stock) and 143,560,803 shares of Class A common stock that are authorized but unissued that would be issuable upon redemption or exchange of LLC Interests or exchange of shares of our Class B common stock.</w:t>
      </w:r>
    </w:p>
    <w:p>
      <w:pPr>
        <w:spacing w:after="0" w:line="69"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We and each of our directors and executive officers and the Refinitiv Owners and Bank Stockholders that continue to own LLC Interests or shares of Class A common stock have agreed with the underwriters, subject to certain exceptions, not to dispose of or hedge any shares of Class A common stock or securities convertible into or exchangeable for, or that represent the right to receive, shares of Class A common stock (including the LLC Interests and shares of Class B common stock) during the period from the date of this prospectus continuing through the date 60 days after the date of this prospectus, except with the prior written consent of the representatives. All of our shares of Class A common stock outstanding as of the date of this prospectus (and shares of Class A common stock issuable upon redemption or exchange of LLC Interests or exchange of shares of our Class B common stock) may be sold in the public market by existing stockholders following the expiration or early release of such lock-up period, subject to applicable limitations imposed under federal securities laws. Sales of a substantial number of Class A common stock upon expiration of such lock-up period, the perception that such sales may occur, or early release of such lock-up period, could cause the market price of our shares of Class A common stock to fall or make it more difficult for you to sell your Class A common stock at a time and price that you deem appropriate. See “Shares Eligible for Future Sale.”</w:t>
      </w:r>
    </w:p>
    <w:p>
      <w:pPr>
        <w:spacing w:after="0" w:line="74"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In addition, shares of Class A common stock issued or issuable upon exercise of options that have currently vested are eligible for sale. We have filed a registration statement on Form S-8 under the Securities Act covering 31,819,860 shares of Class A common stock issued or issuable under our equity incentive plans. Accordingly, shares registered under such registration statement are available for sale in the open market following the vesting of awards, as applicable, the expiration or waiver of any applicable lockup period and subject to Rule 144 limitations applicable to affiliates.</w:t>
      </w:r>
    </w:p>
    <w:p>
      <w:pPr>
        <w:spacing w:after="0" w:line="84"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In addition, pursuant to the Registration Rights Agreement, we granted the Refinitiv Owners, the Bank Stockholders, their affiliates and certain of their transferees the right, under certain circumstances and subject to certain restrictions, to require us to register under the Securities Act shares of Class A common stock. See “Certain Relationships and Related Party Transactions — Related Party Transactions Entered Into in Connection With the IPO — Registration Rights Agreement.” Registration of these shares under the Securities Act, would result in the shares becoming freely tradable without restriction under the Securities Act, except for shares held by our affiliates as defined in Rule 144 under the Securities Act.</w:t>
      </w:r>
    </w:p>
    <w:p>
      <w:pPr>
        <w:spacing w:after="0" w:line="164" w:lineRule="exact"/>
        <w:rPr>
          <w:sz w:val="20"/>
          <w:szCs w:val="20"/>
          <w:color w:val="auto"/>
        </w:rPr>
      </w:pPr>
    </w:p>
    <w:p>
      <w:pPr>
        <w:ind w:left="1260" w:right="1019"/>
        <w:spacing w:after="0" w:line="231" w:lineRule="auto"/>
        <w:rPr>
          <w:sz w:val="20"/>
          <w:szCs w:val="20"/>
          <w:color w:val="auto"/>
        </w:rPr>
      </w:pPr>
      <w:r>
        <w:rPr>
          <w:rFonts w:ascii="Arial" w:cs="Arial" w:eastAsia="Arial" w:hAnsi="Arial"/>
          <w:sz w:val="18"/>
          <w:szCs w:val="18"/>
          <w:b w:val="1"/>
          <w:bCs w:val="1"/>
          <w:i w:val="1"/>
          <w:iCs w:val="1"/>
          <w:color w:val="auto"/>
        </w:rPr>
        <w:t>If securities or industry analysts cease publishing research or reports about us, our business, our industry or markets or our competitors, or if they adversely change their recommendations or publish negative reports regarding our business or our Class A common stock, our stock price and trading volume could materially decline.</w:t>
      </w:r>
    </w:p>
    <w:p>
      <w:pPr>
        <w:spacing w:after="0" w:line="81" w:lineRule="exact"/>
        <w:rPr>
          <w:sz w:val="20"/>
          <w:szCs w:val="20"/>
          <w:color w:val="auto"/>
        </w:rPr>
      </w:pPr>
    </w:p>
    <w:p>
      <w:pPr>
        <w:ind w:left="1260" w:right="899" w:firstLine="360"/>
        <w:spacing w:after="0" w:line="275"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securities analysts may publish about us, our business, our industry or markets or our competitors. We do not have any control over these analysts and we cannot provide any assurance that analysts will continue to cover us or provide favorable coverage. If any of the analysts who cover us adversely change their recommendation regarding our Class A common stock, or provide more favorable</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spacing w:after="0" w:line="259" w:lineRule="auto"/>
        <w:rPr>
          <w:sz w:val="20"/>
          <w:szCs w:val="20"/>
          <w:color w:val="auto"/>
        </w:rPr>
      </w:pPr>
      <w:r>
        <w:rPr>
          <w:rFonts w:ascii="Arial" w:cs="Arial" w:eastAsia="Arial" w:hAnsi="Arial"/>
          <w:sz w:val="18"/>
          <w:szCs w:val="18"/>
          <w:color w:val="auto"/>
        </w:rPr>
        <w:t>relative recommendations about our competitors, our stock price could materially decline. If any analyst who covers us were to cease coverage of our company or fail to regularly publish reports on us, we could lose visibility in the financial markets, which in turn could cause our stock price or trading volumes to materially decline.</w:t>
      </w:r>
    </w:p>
    <w:p>
      <w:pPr>
        <w:spacing w:after="0" w:line="173" w:lineRule="exact"/>
        <w:rPr>
          <w:sz w:val="20"/>
          <w:szCs w:val="20"/>
          <w:color w:val="auto"/>
        </w:rPr>
      </w:pPr>
    </w:p>
    <w:p>
      <w:pPr>
        <w:ind w:left="1260" w:right="719"/>
        <w:spacing w:after="0" w:line="246" w:lineRule="auto"/>
        <w:rPr>
          <w:sz w:val="20"/>
          <w:szCs w:val="20"/>
          <w:color w:val="auto"/>
        </w:rPr>
      </w:pPr>
      <w:r>
        <w:rPr>
          <w:rFonts w:ascii="Arial" w:cs="Arial" w:eastAsia="Arial" w:hAnsi="Arial"/>
          <w:sz w:val="18"/>
          <w:szCs w:val="18"/>
          <w:b w:val="1"/>
          <w:bCs w:val="1"/>
          <w:i w:val="1"/>
          <w:iCs w:val="1"/>
          <w:color w:val="auto"/>
        </w:rPr>
        <w:t>We intend to continue to pay regular dividends on our Class A common stock and Class B common stock, but our ability to do so may be limited.</w:t>
      </w:r>
    </w:p>
    <w:p>
      <w:pPr>
        <w:spacing w:after="0" w:line="75"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We intend to continue to pay cash dividends on our Class A common stock and Class B common stock on a quarterly basis, subject to the discretion of our board of directors and our compliance with applicable law, and depending on our and our subsidiaries’ results of operations, capital requirements, financial condition, business prospects, contractual restrictions, restrictions imposed by applicable laws and other factors that our board of directors deems relevant.</w:t>
      </w:r>
    </w:p>
    <w:p>
      <w:pPr>
        <w:spacing w:after="0" w:line="80"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8"/>
          <w:szCs w:val="18"/>
          <w:color w:val="auto"/>
        </w:rPr>
        <w:t>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at the time of such distributions. See “The IPO and Reorganization Transactions.” In order for TWM LLC to make distributions, it may need to receive distributions from its subsidiaries. Certain of these subsidiaries are or may in the future be subject to regulatory capital requirements that limit the size or frequency of distributions. If TWM LLC is unable to cause these subsidiaries to make distributions, it may have inadequate funds to distribute to us and we may be unable to fund our dividends. Our ability to pay dividends may also be restricted by the terms of the Revolving Credit Facility, any future credit agreement or any future debt or preferred equity securities of Tradeweb or its subsidiaries.</w:t>
      </w:r>
    </w:p>
    <w:p>
      <w:pPr>
        <w:spacing w:after="0" w:line="89" w:lineRule="exact"/>
        <w:rPr>
          <w:sz w:val="20"/>
          <w:szCs w:val="20"/>
          <w:color w:val="auto"/>
        </w:rPr>
      </w:pPr>
    </w:p>
    <w:p>
      <w:pPr>
        <w:ind w:left="1260" w:right="859" w:firstLine="360"/>
        <w:spacing w:after="0" w:line="271" w:lineRule="auto"/>
        <w:rPr>
          <w:sz w:val="20"/>
          <w:szCs w:val="20"/>
          <w:color w:val="auto"/>
        </w:rPr>
      </w:pPr>
      <w:r>
        <w:rPr>
          <w:rFonts w:ascii="Arial" w:cs="Arial" w:eastAsia="Arial" w:hAnsi="Arial"/>
          <w:sz w:val="17"/>
          <w:szCs w:val="17"/>
          <w:color w:val="auto"/>
        </w:rPr>
        <w:t>Our dividend policy entails certain risks and limitations, particularly with respect to our liquidity. By paying cash dividends rather than investing that cash in our business or repaying any outstanding debt, we risk, among other things, slowing the expansion of our business, having insufficient cash to fund our operations or make capital expenditures or limiting our ability to incur borrowings. Our board of directors will periodically review the cash generated from our business and the capital expenditures required to finance our growth plans and determine whether to modify the amount of regular dividends and/or declare any periodic special dividends. There can be no assurance that our board of directors will not reduce the amount of regular cash dividends or cause us to cease paying dividends altogether.</w:t>
      </w:r>
    </w:p>
    <w:p>
      <w:pPr>
        <w:spacing w:after="0" w:line="165" w:lineRule="exact"/>
        <w:rPr>
          <w:sz w:val="20"/>
          <w:szCs w:val="20"/>
          <w:color w:val="auto"/>
        </w:rPr>
      </w:pPr>
    </w:p>
    <w:p>
      <w:pPr>
        <w:ind w:left="1260" w:right="879"/>
        <w:spacing w:after="0" w:line="246"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75" w:lineRule="exact"/>
        <w:rPr>
          <w:sz w:val="20"/>
          <w:szCs w:val="20"/>
          <w:color w:val="auto"/>
        </w:rPr>
      </w:pPr>
    </w:p>
    <w:p>
      <w:pPr>
        <w:ind w:left="1260" w:right="859" w:firstLine="360"/>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may make the merger or acquisition of our company more difficult without the approval of our board of directors. Among other things, these provisions:</w:t>
      </w:r>
    </w:p>
    <w:p>
      <w:pPr>
        <w:spacing w:after="0" w:line="157" w:lineRule="exact"/>
        <w:rPr>
          <w:sz w:val="20"/>
          <w:szCs w:val="20"/>
          <w:color w:val="auto"/>
        </w:rPr>
      </w:pPr>
    </w:p>
    <w:p>
      <w:pPr>
        <w:ind w:left="1980" w:right="879" w:hanging="352"/>
        <w:spacing w:after="0" w:line="277"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for a multi-class common stock structure with a 10 vote per share feature of our Class B common stock and Class D common stock;</w:t>
      </w:r>
    </w:p>
    <w:p>
      <w:pPr>
        <w:spacing w:after="0" w:line="129" w:lineRule="exact"/>
        <w:rPr>
          <w:rFonts w:ascii="Arial" w:cs="Arial" w:eastAsia="Arial" w:hAnsi="Arial"/>
          <w:sz w:val="18"/>
          <w:szCs w:val="18"/>
          <w:color w:val="auto"/>
        </w:rPr>
      </w:pPr>
    </w:p>
    <w:p>
      <w:pPr>
        <w:ind w:left="1980" w:right="879" w:hanging="352"/>
        <w:spacing w:after="0" w:line="257"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allow us to authorize the issuance of undesignated preferred stock in connection with a stockholder rights plan or otherwise, the terms of which may be established and the shares of which may be issued without stockholder approval, and which may include super voting, special approval, dividend, or other rights or preferences superior to the rights of the holders of our common stock;</w:t>
      </w:r>
    </w:p>
    <w:p>
      <w:pPr>
        <w:spacing w:after="0" w:line="147" w:lineRule="exact"/>
        <w:rPr>
          <w:rFonts w:ascii="Arial" w:cs="Arial" w:eastAsia="Arial" w:hAnsi="Arial"/>
          <w:sz w:val="18"/>
          <w:szCs w:val="18"/>
          <w:color w:val="auto"/>
        </w:rPr>
      </w:pPr>
    </w:p>
    <w:p>
      <w:pPr>
        <w:ind w:left="1980" w:right="979" w:hanging="352"/>
        <w:spacing w:after="0" w:line="286" w:lineRule="auto"/>
        <w:tabs>
          <w:tab w:leader="none" w:pos="19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prohibit stockholder action by written consent from and after the date on which the Refinitiv Owners cease to beneficially own at least 50% of the total voting power of all then outstanding shares of our capital stock unless such action is recommended by all directors then in office;</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8065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759" w:hanging="352"/>
        <w:spacing w:after="0" w:line="261"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 and that our stockholders may only amend our bylaws with the approval of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or more in voting power of all outstanding shares of our capital stock, if the Refinitiv Owners and their respective affiliates beneficially own less than 50% in voting power of our stock entitled to vote generally in the election of directors; and</w:t>
      </w:r>
    </w:p>
    <w:p>
      <w:pPr>
        <w:spacing w:after="0" w:line="116" w:lineRule="exact"/>
        <w:rPr>
          <w:rFonts w:ascii="Arial" w:cs="Arial" w:eastAsia="Arial" w:hAnsi="Arial"/>
          <w:sz w:val="18"/>
          <w:szCs w:val="18"/>
          <w:color w:val="auto"/>
        </w:rPr>
      </w:pPr>
    </w:p>
    <w:p>
      <w:pPr>
        <w:ind w:left="1980" w:right="799" w:hanging="352"/>
        <w:spacing w:after="0" w:line="277"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or for proposing matters that can be acted upon by stockholders at stockholder meetings.</w:t>
      </w:r>
    </w:p>
    <w:p>
      <w:pPr>
        <w:spacing w:after="0" w:line="62"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In addition, while we have opted out of Section 203 of the DGCL,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19" w:lineRule="exact"/>
        <w:rPr>
          <w:sz w:val="20"/>
          <w:szCs w:val="20"/>
          <w:color w:val="auto"/>
        </w:rPr>
      </w:pPr>
    </w:p>
    <w:p>
      <w:pPr>
        <w:ind w:left="1980" w:right="1419" w:hanging="352"/>
        <w:spacing w:after="0" w:line="308" w:lineRule="auto"/>
        <w:tabs>
          <w:tab w:leader="none" w:pos="1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prior to such time, our board of directors approved either the business combination or the transaction which resulted in the stockholder becoming an interested stockholder;</w:t>
      </w:r>
    </w:p>
    <w:p>
      <w:pPr>
        <w:spacing w:after="0" w:line="78" w:lineRule="exact"/>
        <w:rPr>
          <w:rFonts w:ascii="Arial" w:cs="Arial" w:eastAsia="Arial" w:hAnsi="Arial"/>
          <w:sz w:val="17"/>
          <w:szCs w:val="17"/>
          <w:color w:val="auto"/>
        </w:rPr>
      </w:pPr>
    </w:p>
    <w:p>
      <w:pPr>
        <w:ind w:left="1980" w:right="859" w:hanging="352"/>
        <w:spacing w:after="0" w:line="263"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16" w:lineRule="exact"/>
        <w:rPr>
          <w:rFonts w:ascii="Arial" w:cs="Arial" w:eastAsia="Arial" w:hAnsi="Arial"/>
          <w:sz w:val="18"/>
          <w:szCs w:val="18"/>
          <w:color w:val="auto"/>
        </w:rPr>
      </w:pPr>
    </w:p>
    <w:p>
      <w:pPr>
        <w:ind w:left="1980" w:right="839" w:hanging="352"/>
        <w:spacing w:after="0" w:line="271"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outstanding voting stock that is not owned by the interested stockholder.</w:t>
      </w:r>
    </w:p>
    <w:p>
      <w:pPr>
        <w:spacing w:after="0" w:line="68" w:lineRule="exact"/>
        <w:rPr>
          <w:sz w:val="20"/>
          <w:szCs w:val="20"/>
          <w:color w:val="auto"/>
        </w:rPr>
      </w:pPr>
    </w:p>
    <w:p>
      <w:pPr>
        <w:ind w:left="1260" w:right="879" w:firstLine="360"/>
        <w:spacing w:after="0" w:line="263" w:lineRule="auto"/>
        <w:rPr>
          <w:sz w:val="20"/>
          <w:szCs w:val="20"/>
          <w:color w:val="auto"/>
        </w:rPr>
      </w:pPr>
      <w:r>
        <w:rPr>
          <w:rFonts w:ascii="Arial" w:cs="Arial" w:eastAsia="Arial" w:hAnsi="Arial"/>
          <w:sz w:val="18"/>
          <w:szCs w:val="18"/>
          <w:color w:val="auto"/>
        </w:rPr>
        <w:t>Our amended and restated certificate of incorporation provides that the Refinitiv Owners and their affiliates, and any of their respective direct or indirect transferees and any group as to which such persons are a party, do not constitute “interested stockholders” for purposes of this provision.</w:t>
      </w:r>
    </w:p>
    <w:p>
      <w:pPr>
        <w:spacing w:after="0" w:line="76"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Further, as a Delaware corporation, we are also subject to provisions of Delaware law, which may impair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market price of our Class A common stock. These provisions could also discourage proxy contests and make it more difficult for you and other stockholders to elect directors of your choosing and to cause us to take other corporate actions you desire. See “Description of Capital Stock.”</w:t>
      </w:r>
    </w:p>
    <w:p>
      <w:pPr>
        <w:spacing w:after="0" w:line="164" w:lineRule="exact"/>
        <w:rPr>
          <w:sz w:val="20"/>
          <w:szCs w:val="20"/>
          <w:color w:val="auto"/>
        </w:rPr>
      </w:pPr>
    </w:p>
    <w:p>
      <w:pPr>
        <w:ind w:left="1260" w:right="679"/>
        <w:spacing w:after="0" w:line="266" w:lineRule="auto"/>
        <w:rPr>
          <w:sz w:val="20"/>
          <w:szCs w:val="20"/>
          <w:color w:val="auto"/>
        </w:rPr>
      </w:pPr>
      <w:r>
        <w:rPr>
          <w:rFonts w:ascii="Arial" w:cs="Arial" w:eastAsia="Arial" w:hAnsi="Arial"/>
          <w:sz w:val="16"/>
          <w:szCs w:val="16"/>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what such stockholders believe to be a favorable judicial forum for disputes with us or our directors, officers or other employees.</w:t>
      </w:r>
    </w:p>
    <w:p>
      <w:pPr>
        <w:spacing w:after="0" w:line="62"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Our amended and restated certificate of incorporation provides that, unless we consent to the selection of an alternative forum, any (i) derivative action or proceeding brought on behalf of our company, (ii) action asserting a claim of breach of a fiduciary duty owed by any director, officer or other employee of our company to our company or our stockholders, (iii) action asserting a claim against us or any director or officer arising pursuant to any provision of the Delaware General Corporation Law (“DGCL”) or our amended and restated certificate of incorporation or our amended and restated bylaws or (iv) action asserting a claim against us or any director or officer of our company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Notwithstanding the foregoing, the exclusive forum provision does not apply to suits brought to enforce any liability or duty created by the Exchange Act, the Securities Act or any other claim for which the federal courts have exclusive jurisdiction. Any person or entity purchasing or otherwise acquiring an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w:t>
      </w:r>
    </w:p>
    <w:p>
      <w:pPr>
        <w:sectPr>
          <w:pgSz w:w="11900" w:h="16838" w:orient="portrait"/>
          <w:cols w:equalWidth="0" w:num="1">
            <w:col w:w="10139"/>
          </w:cols>
          <w:pgMar w:left="320" w:top="131" w:right="1440" w:bottom="1440" w:gutter="0" w:footer="0" w:header="0"/>
        </w:sectPr>
      </w:pPr>
    </w:p>
    <w:p>
      <w:pPr>
        <w:spacing w:after="0" w:line="25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68065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1" w:name="page82"/>
    <w:bookmarkEnd w:id="8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79" w:lineRule="auto"/>
        <w:rPr>
          <w:sz w:val="20"/>
          <w:szCs w:val="20"/>
          <w:color w:val="auto"/>
        </w:rPr>
      </w:pPr>
      <w:r>
        <w:rPr>
          <w:rFonts w:ascii="Arial" w:cs="Arial" w:eastAsia="Arial" w:hAnsi="Arial"/>
          <w:sz w:val="17"/>
          <w:szCs w:val="17"/>
          <w:color w:val="auto"/>
        </w:rPr>
        <w:t>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158" w:lineRule="exact"/>
        <w:rPr>
          <w:sz w:val="20"/>
          <w:szCs w:val="20"/>
          <w:color w:val="auto"/>
        </w:rPr>
      </w:pPr>
    </w:p>
    <w:p>
      <w:pPr>
        <w:ind w:left="1260" w:right="979"/>
        <w:spacing w:after="0" w:line="246" w:lineRule="auto"/>
        <w:rPr>
          <w:sz w:val="20"/>
          <w:szCs w:val="20"/>
          <w:color w:val="auto"/>
        </w:rPr>
      </w:pPr>
      <w:r>
        <w:rPr>
          <w:rFonts w:ascii="Arial" w:cs="Arial" w:eastAsia="Arial" w:hAnsi="Arial"/>
          <w:sz w:val="18"/>
          <w:szCs w:val="18"/>
          <w:b w:val="1"/>
          <w:bCs w:val="1"/>
          <w:i w:val="1"/>
          <w:iCs w:val="1"/>
          <w:color w:val="auto"/>
        </w:rPr>
        <w:t>Taking advantage of the reduced disclosure requirements applicable to “emerging growth companies” may make our Class A common stock less attractive to investors.</w:t>
      </w:r>
    </w:p>
    <w:p>
      <w:pPr>
        <w:spacing w:after="0" w:line="75"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The JOBS Act provides that, so long as a company qualifies as an “emerging growth company,” it will, among other things:</w:t>
      </w:r>
    </w:p>
    <w:p>
      <w:pPr>
        <w:spacing w:after="0" w:line="76" w:lineRule="exact"/>
        <w:rPr>
          <w:sz w:val="20"/>
          <w:szCs w:val="20"/>
          <w:color w:val="auto"/>
        </w:rPr>
      </w:pPr>
    </w:p>
    <w:p>
      <w:pPr>
        <w:ind w:left="1980" w:right="739" w:hanging="352"/>
        <w:spacing w:after="0" w:line="263" w:lineRule="auto"/>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be exempt from the provisions of Section 404(b) of the Sarbanes-Oxley Act requiring that its independent registered public accounting firm provide an attestation report on the effectiveness of its internal control over financial reporting;</w:t>
      </w:r>
    </w:p>
    <w:p>
      <w:pPr>
        <w:spacing w:after="0" w:line="89" w:lineRule="exact"/>
        <w:rPr>
          <w:rFonts w:ascii="Arial" w:cs="Arial" w:eastAsia="Arial" w:hAnsi="Arial"/>
          <w:sz w:val="18"/>
          <w:szCs w:val="18"/>
          <w:color w:val="auto"/>
        </w:rPr>
      </w:pPr>
    </w:p>
    <w:p>
      <w:pPr>
        <w:ind w:left="1980" w:right="719" w:hanging="352"/>
        <w:spacing w:after="0" w:line="277" w:lineRule="auto"/>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be exempt from the “say on pay” and “say on golden parachute” advisory vote requirements of the Dodd-Frank Act;</w:t>
      </w:r>
    </w:p>
    <w:p>
      <w:pPr>
        <w:spacing w:after="0" w:line="75" w:lineRule="exact"/>
        <w:rPr>
          <w:rFonts w:ascii="Arial" w:cs="Arial" w:eastAsia="Arial" w:hAnsi="Arial"/>
          <w:sz w:val="18"/>
          <w:szCs w:val="18"/>
          <w:color w:val="auto"/>
        </w:rPr>
      </w:pPr>
    </w:p>
    <w:p>
      <w:pPr>
        <w:ind w:left="1980" w:right="679" w:hanging="352"/>
        <w:spacing w:after="0" w:line="263" w:lineRule="auto"/>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be exempt from certain disclosure requirements of the Dodd-Frank Act relating to compensation of its executive officers and be permitted to omit the detailed compensation discussion and analysis from proxy statements and reports filed under the Exchange Act; and</w:t>
      </w:r>
    </w:p>
    <w:p>
      <w:pPr>
        <w:spacing w:after="0" w:line="89" w:lineRule="exact"/>
        <w:rPr>
          <w:rFonts w:ascii="Arial" w:cs="Arial" w:eastAsia="Arial" w:hAnsi="Arial"/>
          <w:sz w:val="18"/>
          <w:szCs w:val="18"/>
          <w:color w:val="auto"/>
        </w:rPr>
      </w:pPr>
    </w:p>
    <w:p>
      <w:pPr>
        <w:jc w:val="both"/>
        <w:ind w:left="1980" w:right="1119" w:hanging="352"/>
        <w:spacing w:after="0" w:line="263" w:lineRule="auto"/>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be exempt from any rules that may be adopted by the Public Company Accounting Oversight Board requiring mandatory audit firm rotations or a supplement to the auditor’s report on the financial statements.</w:t>
      </w:r>
    </w:p>
    <w:p>
      <w:pPr>
        <w:spacing w:after="0" w:line="76"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We intend to continue to take advantage of each of the exemptions described above. In addition, the JOBS Act permits an emerging growth company like us to take advantage of an extended transition period to comply with new or revised accounting standards applicable to public companies. We have irrevocably elected not to take advantage of the extension of time to comply with new or revised financial accounting standards available under Section 107(b) of the JOBS Act.</w:t>
      </w:r>
    </w:p>
    <w:p>
      <w:pPr>
        <w:spacing w:after="0" w:line="80"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We could be an emerging growth company for up to five years after the IPO. We cannot predict if investors will find our Class A common stock less attractive because we rely on these exemptions, or if taking advantage of these exemptions will result in less active trading or more volatility in the market price of our Class A common stock.</w:t>
      </w:r>
    </w:p>
    <w:p>
      <w:pPr>
        <w:spacing w:after="0" w:line="173" w:lineRule="exact"/>
        <w:rPr>
          <w:sz w:val="20"/>
          <w:szCs w:val="20"/>
          <w:color w:val="auto"/>
        </w:rPr>
      </w:pPr>
    </w:p>
    <w:p>
      <w:pPr>
        <w:ind w:left="1260" w:right="1259"/>
        <w:spacing w:after="0" w:line="274" w:lineRule="auto"/>
        <w:rPr>
          <w:sz w:val="20"/>
          <w:szCs w:val="20"/>
          <w:color w:val="auto"/>
        </w:rPr>
      </w:pPr>
      <w:r>
        <w:rPr>
          <w:rFonts w:ascii="Arial" w:cs="Arial" w:eastAsia="Arial" w:hAnsi="Arial"/>
          <w:sz w:val="17"/>
          <w:szCs w:val="17"/>
          <w:b w:val="1"/>
          <w:bCs w:val="1"/>
          <w:i w:val="1"/>
          <w:iCs w:val="1"/>
          <w:color w:val="auto"/>
        </w:rPr>
        <w:t>Failure to establish and maintain effective internal controls in accordance with Section 404 of the Sarbanes-Oxley Act could have a material adverse effect on our business and stock price.</w:t>
      </w:r>
    </w:p>
    <w:p>
      <w:pPr>
        <w:spacing w:after="0" w:line="53"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We are not currently required to make a formal assessment of the effectiveness of our internal control over financial reporting for purposes of the rules of the SEC implementing Section 404 of the Sarbanes-Oxley Act. We are required to comply with the SEC’s rules implementing Sections 302 and 906 of the Sarbanes-Oxley Act, which require management to certify financial and other information in our quarterly and annual reports and provide an annual management report on the effectiveness of control over financial reporting. Although we are required to disclose changes made in our internal controls and procedures on a quarterly basis, we are not required to make our first annual assessment of our internal control over financial reporting pursuant to Section 404 until our annual report on Form 10-K for the year ending December 31, 2020. As an emerging growth company, our independent registered public accounting firm will not be required to formally attest to the effectiveness of our internal control over financial reporting in our annual report on Form 10-K at the later of the year following our first annual report required to be filed with the SEC or the date on which we are no longer an emerging growth company. At such time, our independent registered public accounting firm may issue a report that is adverse in the event that in its opinion we have not maintained effective internal control over financial reporting based on criteria established in Internal Control — Integrated Framework (2013) issued by the Committee of Sponsoring Organizations of the Treadway Commission.</w:t>
      </w:r>
    </w:p>
    <w:p>
      <w:pPr>
        <w:spacing w:after="0" w:line="72"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As a private company, we did not have any internal audit function. To comply with the requirements of being a public company, we have undertaken various actions, and will need to take additional actions, such as implementing new internal controls and procedures and hiring additional accounting or internal audit</w:t>
      </w:r>
    </w:p>
    <w:p>
      <w:pPr>
        <w:sectPr>
          <w:pgSz w:w="11900" w:h="16838" w:orient="portrait"/>
          <w:cols w:equalWidth="0" w:num="1">
            <w:col w:w="10139"/>
          </w:cols>
          <w:pgMar w:left="320" w:top="131" w:right="1440" w:bottom="1440" w:gutter="0" w:footer="0" w:header="0"/>
        </w:sectPr>
      </w:pP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2" w:name="page83"/>
    <w:bookmarkEnd w:id="8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68" w:lineRule="auto"/>
        <w:rPr>
          <w:sz w:val="20"/>
          <w:szCs w:val="20"/>
          <w:color w:val="auto"/>
        </w:rPr>
      </w:pPr>
      <w:r>
        <w:rPr>
          <w:rFonts w:ascii="Arial" w:cs="Arial" w:eastAsia="Arial" w:hAnsi="Arial"/>
          <w:sz w:val="17"/>
          <w:szCs w:val="17"/>
          <w:color w:val="auto"/>
        </w:rPr>
        <w:t>staff or consultants. Testing and maintaining internal control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management assessment and auditor attestation requirements of Section 404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Class A common stock could be negatively affected, and we could become subject to investigations by the stock exchange on which our securities are listed, the SEC or other regulatory authorities, which could require additional financial and management resources. In addition, if we fail to remedy any material weakness, our financial statements could be inaccurate and we could face restricted access to capital markets.</w:t>
      </w:r>
    </w:p>
    <w:p>
      <w:pPr>
        <w:spacing w:after="0" w:line="171" w:lineRule="exact"/>
        <w:rPr>
          <w:sz w:val="20"/>
          <w:szCs w:val="20"/>
          <w:color w:val="auto"/>
        </w:rPr>
      </w:pPr>
    </w:p>
    <w:p>
      <w:pPr>
        <w:ind w:left="1260" w:right="659"/>
        <w:spacing w:after="0" w:line="231" w:lineRule="auto"/>
        <w:rPr>
          <w:sz w:val="20"/>
          <w:szCs w:val="20"/>
          <w:color w:val="auto"/>
        </w:rPr>
      </w:pPr>
      <w:r>
        <w:rPr>
          <w:rFonts w:ascii="Arial" w:cs="Arial" w:eastAsia="Arial" w:hAnsi="Arial"/>
          <w:sz w:val="18"/>
          <w:szCs w:val="18"/>
          <w:b w:val="1"/>
          <w:bCs w:val="1"/>
          <w:i w:val="1"/>
          <w:iCs w:val="1"/>
          <w:color w:val="auto"/>
        </w:rPr>
        <w:t>The requirements of being a public company, including compliance with the reporting requirements of the Exchange Act and the requirements of the Sarbanes-Oxley Act and Nasdaq, may strain our resources, increase our costs and divert management’s attention, and we may be unable to comply with these requirements in a timely or cost-effective manner.</w:t>
      </w:r>
    </w:p>
    <w:p>
      <w:pPr>
        <w:spacing w:after="0" w:line="81"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As a public company, we are subject to the reporting requirements of the Exchange Act, and the corporate governance standards of the Sarbanes-Oxley Act and Nasdaq. We have a limited history operating as a public company, and these requirements may place a strain on our management, systems and resources. In addition, we have incurred, and expect to continue to incur significant legal, accounting, insurance and other expenses that we did not incur as a private company. The Exchange Act requires us to file annual, quarterly and current reports with respect to our business and financial condition within specified time periods and to prepare a proxy statement with respect to our annual meeting of stockholders. The Sarbanes-Oxley Act requires that we maintain effective disclosure controls and procedures and internal control over financial reporting. Nasdaq requires that we comply with various corporate governance requirements. To maintain and improve the effectiveness of our disclosure controls and procedures and internal control over financial reporting and comply with the Exchange Act and Nasdaq requirements, significant resources and management oversight are required. This may divert management’s attention from other business concerns and lead to significant costs associated with compliance, which could have a material adverse effect on us and the market price of our Class A common stock.</w:t>
      </w:r>
    </w:p>
    <w:p>
      <w:pPr>
        <w:spacing w:after="0" w:line="76"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The expenses incurred by public companies generally for reporting and corporate governance purposes have been increasing. We expect these rules and regulations to continue to increase our legal and financial compliance costs and to make some activities more time-consuming and costly. These laws and regulations could also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its committees or as our executive officers. Advocacy efforts by stockholders and third parties may also prompt even more changes in governance and reporting requirements. We cannot predict or estimate the amount of additional costs we may incur or the timing of these costs. Furthermore, if we are unable to satisfy our obligations as a public company, we could be subject to delisting of our Class A common stock, fines, sanctions and other regulatory action and potentially civil litigation.</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We may be subject to securities litigation, which is expensive and could divert management attention.</w:t>
      </w:r>
    </w:p>
    <w:p>
      <w:pPr>
        <w:spacing w:after="0" w:line="127"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Our stock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could also subject us to significant liabilities.</w:t>
      </w:r>
    </w:p>
    <w:p>
      <w:pPr>
        <w:spacing w:after="0" w:line="26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0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This prospectus and the documents incorporated by reference herein contain forward-looking statements within the meaning of Section 27A of the Securities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potential tax savings we may realize as a result of our organizational structure, our dividend policy and our expectations, beliefs, plans, strategies, objectives, prospects or assumptions regarding future events, including the pending LSEG Transaction, our performance or otherwise, contained in this prospectus under the headings “Prospectus Summary,” “Risk Factors” and “Dividend Policy,” are forward-looking statements. In addition, statements in this prospectus relating to the COVID-19 pandemic, the potential impacts of which remain inherently uncertain, are forward-looking statements.</w:t>
      </w:r>
    </w:p>
    <w:p>
      <w:pPr>
        <w:spacing w:after="0" w:line="7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contained in this prospectus under the headings “Prospectus Summary,” “Risk Factors” and “Dividend Policy,” may cause our actual results, performance or achievements to differ materially from those expressed or implied by these forward-looking statements, or could affect our share price. Some of the factors that could cause actual results to differ materially from those expressed or implied by the forward-looking statements include:</w:t>
      </w:r>
    </w:p>
    <w:p>
      <w:pPr>
        <w:spacing w:after="0" w:line="102" w:lineRule="exact"/>
        <w:rPr>
          <w:sz w:val="20"/>
          <w:szCs w:val="20"/>
          <w:color w:val="auto"/>
        </w:rPr>
      </w:pPr>
    </w:p>
    <w:p>
      <w:pPr>
        <w:ind w:left="1980" w:right="899" w:hanging="352"/>
        <w:spacing w:after="0" w:line="277" w:lineRule="auto"/>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changes in economic, political, social and market conditions and the impact of these changes on trading volumes;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our dependence on dealer clients, including those that are also current or former stockholders;</w:t>
      </w:r>
    </w:p>
    <w:p>
      <w:pPr>
        <w:spacing w:after="0" w:line="142" w:lineRule="exact"/>
        <w:rPr>
          <w:rFonts w:ascii="Arial" w:cs="Arial" w:eastAsia="Arial" w:hAnsi="Arial"/>
          <w:sz w:val="17"/>
          <w:szCs w:val="17"/>
          <w:color w:val="auto"/>
        </w:rPr>
      </w:pPr>
    </w:p>
    <w:p>
      <w:pPr>
        <w:ind w:left="1980" w:right="1739" w:hanging="352"/>
        <w:spacing w:after="0" w:line="277" w:lineRule="auto"/>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inability to maintain and grow the capacity of our trading platforms, systems and infrastructure;</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 defects, errors, failures or delays with our platforms or solutions;</w:t>
      </w:r>
    </w:p>
    <w:p>
      <w:pPr>
        <w:spacing w:after="0" w:line="117" w:lineRule="exact"/>
        <w:rPr>
          <w:rFonts w:ascii="Arial" w:cs="Arial" w:eastAsia="Arial" w:hAnsi="Arial"/>
          <w:sz w:val="18"/>
          <w:szCs w:val="18"/>
          <w:color w:val="auto"/>
        </w:rPr>
      </w:pPr>
    </w:p>
    <w:p>
      <w:pPr>
        <w:ind w:left="1980" w:right="739" w:hanging="352"/>
        <w:spacing w:after="0" w:line="277" w:lineRule="auto"/>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systems failures, interruptions, delays in services, cybersecurity incidents, catastrophic events and any resulting interruptions;</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dependence on third parties for certain market data and certain key functions;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implement our business strategies profitably;</w:t>
      </w:r>
    </w:p>
    <w:p>
      <w:pPr>
        <w:spacing w:after="0" w:line="130" w:lineRule="exact"/>
        <w:rPr>
          <w:rFonts w:ascii="Arial" w:cs="Arial" w:eastAsia="Arial" w:hAnsi="Arial"/>
          <w:sz w:val="18"/>
          <w:szCs w:val="18"/>
          <w:color w:val="auto"/>
        </w:rPr>
      </w:pPr>
    </w:p>
    <w:p>
      <w:pPr>
        <w:ind w:left="1980" w:right="1279" w:hanging="352"/>
        <w:spacing w:after="0" w:line="277" w:lineRule="auto"/>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 or to realize benefits from any strategic alliances, partnerships or joint ventures;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retain the services of certain members of our management;</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inadequate protection of our intellectual property;</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extensive regulation of our industry;</w:t>
      </w:r>
    </w:p>
    <w:p>
      <w:pPr>
        <w:spacing w:after="0" w:line="130" w:lineRule="exact"/>
        <w:rPr>
          <w:rFonts w:ascii="Arial" w:cs="Arial" w:eastAsia="Arial" w:hAnsi="Arial"/>
          <w:sz w:val="18"/>
          <w:szCs w:val="18"/>
          <w:color w:val="auto"/>
        </w:rPr>
      </w:pPr>
    </w:p>
    <w:p>
      <w:pPr>
        <w:ind w:left="1980" w:right="739" w:hanging="352"/>
        <w:spacing w:after="0" w:line="277" w:lineRule="auto"/>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limitations on operating our business and incurring additional indebtedness as a result of covenant restrictions under the Revolving Credit Facility and certain Refinitiv indebtedness;</w:t>
      </w:r>
    </w:p>
    <w:p>
      <w:pPr>
        <w:spacing w:after="0" w:line="62" w:lineRule="exact"/>
        <w:rPr>
          <w:rFonts w:ascii="Arial" w:cs="Arial" w:eastAsia="Arial" w:hAnsi="Arial"/>
          <w:sz w:val="18"/>
          <w:szCs w:val="18"/>
          <w:color w:val="auto"/>
        </w:rPr>
      </w:pPr>
    </w:p>
    <w:p>
      <w:pPr>
        <w:ind w:left="1980" w:right="839" w:hanging="352"/>
        <w:spacing w:after="0" w:line="308" w:lineRule="auto"/>
        <w:tabs>
          <w:tab w:leader="none" w:pos="1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our dependence on distributions from TWM LLC to fund our expected dividend payments and to pay our taxes and expenses, including payments under the Tax Receivable Agreement;</w:t>
      </w:r>
    </w:p>
    <w:p>
      <w:pPr>
        <w:spacing w:after="0" w:line="21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hanging="352"/>
        <w:spacing w:after="0"/>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realize any benefit from our organizational structure;</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Refinitiv’s control of us and our status as a controlled company; and</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“Risk Factors.”</w:t>
      </w:r>
    </w:p>
    <w:p>
      <w:pPr>
        <w:spacing w:after="0" w:line="117"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Given these risks and uncertainties, you are cautioned not to place undue reliance on such forward-looking statements. The forward-looking statements contained or incorporated by reference in this prospectus are not guarantees of future performance and our actual results of operations, financial condition or liquidity, and the development of the industry and markets in which we operate, may differ materially from the forward-looking statements contained or incorporated by reference in this prospectus. In addition, even if our results of operations, financial condition or liquidity, and events in the industry and markets in which we operate, are consistent with the forward-looking statements contained or incorporated by reference in this prospectus, they may not be predictive of results or developments in future periods.</w:t>
      </w:r>
    </w:p>
    <w:p>
      <w:pPr>
        <w:spacing w:after="0" w:line="70"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7"/>
          <w:szCs w:val="17"/>
          <w:color w:val="auto"/>
        </w:rPr>
        <w:t>Any forward-looking statement speaks only as of the date of such statement. Except as required by law, we do not undertake any obligation to update or revise, or to publicly announce any update or revision to, any of the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THE IPO AND REORGANIZATION TRANSACTIONS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Pre-IPO Organization</w:t>
      </w:r>
    </w:p>
    <w:p>
      <w:pPr>
        <w:spacing w:after="0" w:line="108"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Prior to the completion of the IPO and the Reorganization Transactions described below, the Original LLC Owners were the only members of TWM LLC. TWM LLC is treated as a partnership for U.S. federal income tax purposes and, as such, is not subject to any U.S. federal entity-level income taxes. Rather, taxable income or loss is included in the U.S. federal income tax returns of TWM LLC’s members.</w:t>
      </w:r>
    </w:p>
    <w:p>
      <w:pPr>
        <w:spacing w:after="0" w:line="63"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Tradeweb Markets Inc. was incorporated as a Delaware corporation on November 7, 2018 to serve as the issuer of the Class A common stock offered hereby.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IPO and Reorganization Transactions</w:t>
      </w:r>
    </w:p>
    <w:p>
      <w:pPr>
        <w:spacing w:after="0" w:line="108" w:lineRule="exact"/>
        <w:rPr>
          <w:sz w:val="20"/>
          <w:szCs w:val="20"/>
          <w:color w:val="auto"/>
        </w:rPr>
      </w:pPr>
    </w:p>
    <w:p>
      <w:pPr>
        <w:ind w:left="1260" w:right="899" w:firstLine="360"/>
        <w:spacing w:after="0" w:line="253" w:lineRule="auto"/>
        <w:rPr>
          <w:sz w:val="20"/>
          <w:szCs w:val="20"/>
          <w:color w:val="auto"/>
        </w:rPr>
      </w:pPr>
      <w:r>
        <w:rPr>
          <w:rFonts w:ascii="Arial" w:cs="Arial" w:eastAsia="Arial" w:hAnsi="Arial"/>
          <w:sz w:val="18"/>
          <w:szCs w:val="18"/>
          <w:color w:val="auto"/>
        </w:rPr>
        <w:t>On April 8, 2019, we completed our IPO of 46,000,000 shares of Class A common stock at a public offering price of $27.00 per share, which included 6,000,000 shares of Class A common stock issued pursuant to the underwriters’ option to purchase additional shares of Class A common stock. We received $1,161.3 million in net proceeds, after deducting underwriting discounts and commissions, but before deducting offering expenses of $15.9 million, which we used to purchase 46,000,000 LLC Interests from certain of the Bank Stockholders (and the corresponding shares of common stock held by such Bank Stockholders were cancelled), at a purchase price per interest equal to the public offering price of $27.00, less the underwriting discounts and commissions payable thereon, collectively representing a 20.7% economic interest in TWM LLC.</w:t>
      </w:r>
    </w:p>
    <w:p>
      <w:pPr>
        <w:spacing w:after="0" w:line="88"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Prior to the closing of the IPO, we consummated the Reorganization Transactions. In connection with the Reorganization Transactions, the following steps occurred:</w:t>
      </w:r>
    </w:p>
    <w:p>
      <w:pPr>
        <w:spacing w:after="0" w:line="143" w:lineRule="exact"/>
        <w:rPr>
          <w:sz w:val="20"/>
          <w:szCs w:val="20"/>
          <w:color w:val="auto"/>
        </w:rPr>
      </w:pPr>
    </w:p>
    <w:p>
      <w:pPr>
        <w:ind w:left="1980" w:right="719" w:hanging="352"/>
        <w:spacing w:after="0" w:line="259" w:lineRule="auto"/>
        <w:tabs>
          <w:tab w:leader="none" w:pos="1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amended and restated the TWM LLC Agreement to, among other things, (i) provide for LLC Interests that are the single class of common membership interests in TWM LLC, (ii) exchange all of the existing membership interests in TWM LLC for LLC Interests and (iii) appoint us as the sole manager of TWM LLC;</w:t>
      </w:r>
    </w:p>
    <w:p>
      <w:pPr>
        <w:spacing w:after="0" w:line="146" w:lineRule="exact"/>
        <w:rPr>
          <w:rFonts w:ascii="Arial" w:cs="Arial" w:eastAsia="Arial" w:hAnsi="Arial"/>
          <w:sz w:val="18"/>
          <w:szCs w:val="18"/>
          <w:color w:val="auto"/>
        </w:rPr>
      </w:pPr>
    </w:p>
    <w:p>
      <w:pPr>
        <w:ind w:left="1980" w:right="759" w:hanging="352"/>
        <w:spacing w:after="0" w:line="253" w:lineRule="auto"/>
        <w:tabs>
          <w:tab w:leader="none" w:pos="1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amended and restated our certificate of incorporation to, among other things, provide for Class A common stock, Class B common stock, Class C common stock and Class D common stock. Each share of Class A common stock and Class C common stock entitles its holder to one vote on all matters presented to our stockholders generally. Each share of Class B common stock and Class D common stock entitles its holder to ten votes on all matters presented to our stockholders generally. The holders of Class C common stock and Class D common stock have no economic interests in Tradeweb (where “economic interests” means the right to receive any dividends or distributions, whether cash or stock, in connection with common stock). These attributes are summarized in the following table:</w:t>
      </w:r>
    </w:p>
    <w:p>
      <w:pPr>
        <w:spacing w:after="0" w:line="120"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ind w:left="160"/>
              <w:spacing w:after="0"/>
              <w:rPr>
                <w:sz w:val="20"/>
                <w:szCs w:val="20"/>
                <w:color w:val="auto"/>
              </w:rPr>
            </w:pPr>
            <w:r>
              <w:rPr>
                <w:rFonts w:ascii="Arial" w:cs="Arial" w:eastAsia="Arial" w:hAnsi="Arial"/>
                <w:sz w:val="14"/>
                <w:szCs w:val="14"/>
                <w:b w:val="1"/>
                <w:bCs w:val="1"/>
                <w:color w:val="auto"/>
              </w:rPr>
              <w:t>Economic</w:t>
            </w:r>
          </w:p>
        </w:tc>
      </w:tr>
      <w:tr>
        <w:trPr>
          <w:trHeight w:val="186"/>
        </w:trPr>
        <w:tc>
          <w:tcPr>
            <w:tcW w:w="5380" w:type="dxa"/>
            <w:vAlign w:val="bottom"/>
            <w:gridSpan w:val="3"/>
          </w:tcPr>
          <w:p>
            <w:pPr>
              <w:spacing w:after="0"/>
              <w:rPr>
                <w:sz w:val="20"/>
                <w:szCs w:val="20"/>
                <w:color w:val="auto"/>
              </w:rPr>
            </w:pPr>
            <w:r>
              <w:rPr>
                <w:rFonts w:ascii="Arial" w:cs="Arial" w:eastAsia="Arial" w:hAnsi="Arial"/>
                <w:sz w:val="14"/>
                <w:szCs w:val="14"/>
                <w:b w:val="1"/>
                <w:bCs w:val="1"/>
                <w:color w:val="auto"/>
              </w:rPr>
              <w:t>Class of Common Stock</w:t>
            </w: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Votes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6"/>
              </w:rPr>
              <w:t>Rights</w:t>
            </w:r>
          </w:p>
        </w:tc>
      </w:tr>
      <w:tr>
        <w:trPr>
          <w:trHeight w:val="25"/>
        </w:trPr>
        <w:tc>
          <w:tcPr>
            <w:tcW w:w="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9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57"/>
        </w:trPr>
        <w:tc>
          <w:tcPr>
            <w:tcW w:w="5380" w:type="dxa"/>
            <w:vAlign w:val="bottom"/>
            <w:gridSpan w:val="3"/>
          </w:tcPr>
          <w:p>
            <w:pPr>
              <w:spacing w:after="0"/>
              <w:rPr>
                <w:sz w:val="20"/>
                <w:szCs w:val="20"/>
                <w:color w:val="auto"/>
              </w:rPr>
            </w:pPr>
            <w:r>
              <w:rPr>
                <w:rFonts w:ascii="Arial" w:cs="Arial" w:eastAsia="Arial" w:hAnsi="Arial"/>
                <w:sz w:val="18"/>
                <w:szCs w:val="18"/>
                <w:color w:val="auto"/>
              </w:rPr>
              <w:t>Class B common stock</w:t>
            </w:r>
          </w:p>
        </w:tc>
        <w:tc>
          <w:tcPr>
            <w:tcW w:w="900" w:type="dxa"/>
            <w:vAlign w:val="bottom"/>
          </w:tcPr>
          <w:p>
            <w:pPr>
              <w:jc w:val="right"/>
              <w:ind w:right="27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56"/>
        </w:trPr>
        <w:tc>
          <w:tcPr>
            <w:tcW w:w="20" w:type="dxa"/>
            <w:vAlign w:val="bottom"/>
          </w:tcPr>
          <w:p>
            <w:pPr>
              <w:spacing w:after="0"/>
              <w:rPr>
                <w:sz w:val="22"/>
                <w:szCs w:val="22"/>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common stock</w:t>
            </w:r>
          </w:p>
        </w:tc>
        <w:tc>
          <w:tcPr>
            <w:tcW w:w="9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57"/>
        </w:trPr>
        <w:tc>
          <w:tcPr>
            <w:tcW w:w="5380" w:type="dxa"/>
            <w:vAlign w:val="bottom"/>
            <w:gridSpan w:val="3"/>
          </w:tcPr>
          <w:p>
            <w:pPr>
              <w:spacing w:after="0"/>
              <w:rPr>
                <w:sz w:val="20"/>
                <w:szCs w:val="20"/>
                <w:color w:val="auto"/>
              </w:rPr>
            </w:pPr>
            <w:r>
              <w:rPr>
                <w:rFonts w:ascii="Arial" w:cs="Arial" w:eastAsia="Arial" w:hAnsi="Arial"/>
                <w:sz w:val="18"/>
                <w:szCs w:val="18"/>
                <w:color w:val="auto"/>
              </w:rPr>
              <w:t>Class D common stock</w:t>
            </w:r>
          </w:p>
        </w:tc>
        <w:tc>
          <w:tcPr>
            <w:tcW w:w="900" w:type="dxa"/>
            <w:vAlign w:val="bottom"/>
          </w:tcPr>
          <w:p>
            <w:pPr>
              <w:jc w:val="right"/>
              <w:ind w:right="27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-659765</wp:posOffset>
            </wp:positionV>
            <wp:extent cx="137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-659765</wp:posOffset>
            </wp:positionV>
            <wp:extent cx="137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ind w:left="1980" w:right="679"/>
        <w:spacing w:after="0" w:line="259" w:lineRule="auto"/>
        <w:rPr>
          <w:sz w:val="20"/>
          <w:szCs w:val="20"/>
          <w:color w:val="auto"/>
        </w:rPr>
      </w:pPr>
      <w:r>
        <w:rPr>
          <w:rFonts w:ascii="Arial" w:cs="Arial" w:eastAsia="Arial" w:hAnsi="Arial"/>
          <w:sz w:val="18"/>
          <w:szCs w:val="18"/>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pacing w:after="0" w:line="146" w:lineRule="exact"/>
        <w:rPr>
          <w:sz w:val="20"/>
          <w:szCs w:val="20"/>
          <w:color w:val="auto"/>
        </w:rPr>
      </w:pPr>
    </w:p>
    <w:p>
      <w:pPr>
        <w:ind w:left="1980" w:right="719" w:hanging="352"/>
        <w:spacing w:after="0" w:line="263" w:lineRule="auto"/>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assumed sponsorship of the Option Plan and the PRSU Plan that were previously sponsored by TWM LLC. Accordingly, all options and PRSUs granted under such plans were converted into economically equivalent awards of Tradeweb;</w:t>
      </w: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779" w:hanging="352"/>
        <w:spacing w:after="0" w:line="254" w:lineRule="auto"/>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issued an aggregate of 20,000,000 shares of Class C common stock and 105,289,005 shares of Class D common stock to the Original LLC Owners that received LLC Interests, on a one-to-one basis with the number of LLC Interests they owned immediately following the amendment and restatement of the TWM LLC Agreement, for nominal consideration (we subsequently canceled 9,993,731 shares of such Class C common stock and 36,006,269 shares of such Class D common stock in connection with our purchase of LLC Interests from certain of the Bank Stockholders using the net proceeds of the IPO);</w:t>
      </w:r>
    </w:p>
    <w:p>
      <w:pPr>
        <w:spacing w:after="0" w:line="100" w:lineRule="exact"/>
        <w:rPr>
          <w:rFonts w:ascii="Arial" w:cs="Arial" w:eastAsia="Arial" w:hAnsi="Arial"/>
          <w:sz w:val="18"/>
          <w:szCs w:val="18"/>
          <w:color w:val="auto"/>
        </w:rPr>
      </w:pPr>
    </w:p>
    <w:p>
      <w:pPr>
        <w:ind w:left="1980" w:right="739" w:hanging="352"/>
        <w:spacing w:after="0" w:line="277" w:lineRule="auto"/>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 a result of the Refinitiv Contribution, the Refinitiv Direct Owner received 96,933,192 shares of Class B common stock and we received 96,933,192 LLC Interests;</w:t>
      </w:r>
    </w:p>
    <w:p>
      <w:pPr>
        <w:spacing w:after="0" w:line="62" w:lineRule="exact"/>
        <w:rPr>
          <w:rFonts w:ascii="Arial" w:cs="Arial" w:eastAsia="Arial" w:hAnsi="Arial"/>
          <w:sz w:val="18"/>
          <w:szCs w:val="18"/>
          <w:color w:val="auto"/>
        </w:rPr>
      </w:pPr>
    </w:p>
    <w:p>
      <w:pPr>
        <w:ind w:left="1980" w:right="819" w:hanging="352"/>
        <w:spacing w:after="0" w:line="259" w:lineRule="auto"/>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Continuing LLC Owners continued to own the LLC Interests they received in exchange for their existing membership interests in TWM LLC and had no economic interests in Tradeweb despite their ownership of Class C common stock and/or Class D common stock, as the case may be; and</w:t>
      </w:r>
    </w:p>
    <w:p>
      <w:pPr>
        <w:spacing w:after="0" w:line="92" w:lineRule="exact"/>
        <w:rPr>
          <w:rFonts w:ascii="Arial" w:cs="Arial" w:eastAsia="Arial" w:hAnsi="Arial"/>
          <w:sz w:val="18"/>
          <w:szCs w:val="18"/>
          <w:color w:val="auto"/>
        </w:rPr>
      </w:pPr>
    </w:p>
    <w:p>
      <w:pPr>
        <w:ind w:left="1980" w:right="819" w:hanging="352"/>
        <w:spacing w:after="0" w:line="275" w:lineRule="auto"/>
        <w:tabs>
          <w:tab w:leader="none" w:pos="19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we entered into (i) the Tax Receivable Agreement with TWM LLC and the Continuing LLC Owners, (ii) the Stockholders Agreement with the Refinitiv Owners, and (iii) the Registration Rights Agreement with the Refinitiv Owners and the Bank Stockholders. For a description of the terms of the Tax Receivable Agreement, the Stockholders Agreement and the Registration Rights Agreement, see “Certain Relationships and Related Party Transactions.”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Organizational Structure Following the IPO and Reorganization Transactions</w:t>
      </w:r>
    </w:p>
    <w:p>
      <w:pPr>
        <w:spacing w:after="0" w:line="108" w:lineRule="exact"/>
        <w:rPr>
          <w:sz w:val="20"/>
          <w:szCs w:val="20"/>
          <w:color w:val="auto"/>
        </w:rPr>
      </w:pPr>
    </w:p>
    <w:p>
      <w:pPr>
        <w:ind w:left="1260" w:right="1379" w:firstLine="360"/>
        <w:spacing w:after="0" w:line="277" w:lineRule="auto"/>
        <w:rPr>
          <w:sz w:val="20"/>
          <w:szCs w:val="20"/>
          <w:color w:val="auto"/>
        </w:rPr>
      </w:pPr>
      <w:r>
        <w:rPr>
          <w:rFonts w:ascii="Arial" w:cs="Arial" w:eastAsia="Arial" w:hAnsi="Arial"/>
          <w:sz w:val="18"/>
          <w:szCs w:val="18"/>
          <w:color w:val="auto"/>
        </w:rPr>
        <w:t>Immediately following the completion of the Reorganization Transactions and the IPO and the application of the net proceeds therefrom as described above:</w:t>
      </w:r>
    </w:p>
    <w:p>
      <w:pPr>
        <w:spacing w:after="0" w:line="76" w:lineRule="exact"/>
        <w:rPr>
          <w:sz w:val="20"/>
          <w:szCs w:val="20"/>
          <w:color w:val="auto"/>
        </w:rPr>
      </w:pPr>
    </w:p>
    <w:p>
      <w:pPr>
        <w:ind w:left="1980" w:right="699" w:hanging="352"/>
        <w:spacing w:after="0" w:line="259"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Tradeweb became a holding company whose principal assets consist of its equity interest in TWM LLC that it acquired from certain of the Bank Stockholders using the net proceeds from the IPO and the LLC Interests that it received as a result of the Refinitiv Contribution, and related deferred tax assets;</w:t>
      </w:r>
    </w:p>
    <w:p>
      <w:pPr>
        <w:spacing w:after="0" w:line="92" w:lineRule="exact"/>
        <w:rPr>
          <w:rFonts w:ascii="Arial" w:cs="Arial" w:eastAsia="Arial" w:hAnsi="Arial"/>
          <w:sz w:val="18"/>
          <w:szCs w:val="18"/>
          <w:color w:val="auto"/>
        </w:rPr>
      </w:pPr>
    </w:p>
    <w:p>
      <w:pPr>
        <w:ind w:left="1980" w:right="979" w:hanging="352"/>
        <w:spacing w:after="0" w:line="277"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Tradeweb became the sole manager of TWM LLC and operates and controls all of the business and affairs of TWM LLC and its subsidiaries;</w:t>
      </w:r>
    </w:p>
    <w:p>
      <w:pPr>
        <w:spacing w:after="0" w:line="62" w:lineRule="exact"/>
        <w:rPr>
          <w:rFonts w:ascii="Arial" w:cs="Arial" w:eastAsia="Arial" w:hAnsi="Arial"/>
          <w:sz w:val="18"/>
          <w:szCs w:val="18"/>
          <w:color w:val="auto"/>
        </w:rPr>
      </w:pPr>
    </w:p>
    <w:p>
      <w:pPr>
        <w:ind w:left="1980" w:right="799" w:hanging="352"/>
        <w:spacing w:after="0" w:line="275" w:lineRule="auto"/>
        <w:tabs>
          <w:tab w:leader="none" w:pos="19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TWM LLC Agreement requires that TWM LLC at all times maintain (i) a one-to-one ratio between the number of shares of Class A common stock and Class B common stock issued by us and the number of LLC Interests owned by us and (ii) a one-to-one ratio between the number of shares of Class C common stock and Class D common stock issued by us and the number of LLC Interests owned by the holders of such Class C common stock and Class D common stock;</w:t>
      </w:r>
    </w:p>
    <w:p>
      <w:pPr>
        <w:spacing w:after="0" w:line="81" w:lineRule="exact"/>
        <w:rPr>
          <w:rFonts w:ascii="Arial" w:cs="Arial" w:eastAsia="Arial" w:hAnsi="Arial"/>
          <w:sz w:val="17"/>
          <w:szCs w:val="17"/>
          <w:color w:val="auto"/>
        </w:rPr>
      </w:pPr>
    </w:p>
    <w:p>
      <w:pPr>
        <w:ind w:left="1980" w:hanging="352"/>
        <w:spacing w:after="0"/>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Tradeweb owned LLC Interests representing 64.3% of the economic interest in TWM LLC;</w:t>
      </w:r>
    </w:p>
    <w:p>
      <w:pPr>
        <w:spacing w:after="0" w:line="130" w:lineRule="exact"/>
        <w:rPr>
          <w:rFonts w:ascii="Arial" w:cs="Arial" w:eastAsia="Arial" w:hAnsi="Arial"/>
          <w:sz w:val="18"/>
          <w:szCs w:val="18"/>
          <w:color w:val="auto"/>
        </w:rPr>
      </w:pPr>
    </w:p>
    <w:p>
      <w:pPr>
        <w:ind w:left="1980" w:right="659" w:hanging="352"/>
        <w:spacing w:after="0" w:line="257"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purchasers in the IPO (i) owned shares of Class A common stock representing (x) 2.7% of the combined voting power of all of Tradeweb’s common stock and (y) 32.2% of the economic interest in Tradeweb and (ii) through Tradeweb’s ownership of LLC Interests, indirectly held (applying the percentage in the preceding clause (i)(y) to Tradeweb’s percentage economic interest in TWM LLC) 20.7% of the economic interest in TWM LLC;</w:t>
      </w:r>
    </w:p>
    <w:p>
      <w:pPr>
        <w:spacing w:after="0" w:line="93" w:lineRule="exact"/>
        <w:rPr>
          <w:rFonts w:ascii="Arial" w:cs="Arial" w:eastAsia="Arial" w:hAnsi="Arial"/>
          <w:sz w:val="18"/>
          <w:szCs w:val="18"/>
          <w:color w:val="auto"/>
        </w:rPr>
      </w:pPr>
    </w:p>
    <w:p>
      <w:pPr>
        <w:jc w:val="both"/>
        <w:ind w:left="1980" w:right="859" w:hanging="352"/>
        <w:spacing w:after="0" w:line="259"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Refinitiv Owners collectively owned shares of Class B common stock and Class D common stock representing 69.8% of the combined voting power of all of Tradeweb’s common stock and shares of Class B common stock and LLC Interests, respectively, representing 54.0% of the total economic interest in TWM LLC;</w:t>
      </w:r>
    </w:p>
    <w:p>
      <w:pPr>
        <w:spacing w:after="0" w:line="78" w:lineRule="exact"/>
        <w:rPr>
          <w:rFonts w:ascii="Arial" w:cs="Arial" w:eastAsia="Arial" w:hAnsi="Arial"/>
          <w:sz w:val="18"/>
          <w:szCs w:val="18"/>
          <w:color w:val="auto"/>
        </w:rPr>
      </w:pPr>
    </w:p>
    <w:p>
      <w:pPr>
        <w:ind w:left="1980" w:right="959" w:hanging="352"/>
        <w:spacing w:after="0" w:line="259"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Other LLC Owners owned (i) LLC Interests representing 25.3% of the economic interest in TWM LLC and (ii) through their ownership of shares of Class C common stock and/or Class D common stock, as the case may be, 27.5% of the combined voting power of all of Tradeweb’s common stock;</w:t>
      </w:r>
    </w:p>
    <w:p>
      <w:pPr>
        <w:spacing w:after="0" w:line="92" w:lineRule="exact"/>
        <w:rPr>
          <w:rFonts w:ascii="Arial" w:cs="Arial" w:eastAsia="Arial" w:hAnsi="Arial"/>
          <w:sz w:val="18"/>
          <w:szCs w:val="18"/>
          <w:color w:val="auto"/>
        </w:rPr>
      </w:pPr>
    </w:p>
    <w:p>
      <w:pPr>
        <w:jc w:val="both"/>
        <w:ind w:left="1980" w:right="1039" w:hanging="352"/>
        <w:spacing w:after="0" w:line="308" w:lineRule="auto"/>
        <w:tabs>
          <w:tab w:leader="none" w:pos="19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LLC Interests held by the Continuing LLC Owners are redeemable in accordance with the terms of the TWM LLC Agreement, at the election of such holders, for newly issued shares of</w:t>
      </w:r>
    </w:p>
    <w:p>
      <w:pPr>
        <w:sectPr>
          <w:pgSz w:w="11900" w:h="16838" w:orient="portrait"/>
          <w:cols w:equalWidth="0" w:num="1">
            <w:col w:w="10139"/>
          </w:cols>
          <w:pgMar w:left="320" w:top="131" w:right="1440" w:bottom="1440" w:gutter="0" w:footer="0" w:header="0"/>
        </w:sectPr>
      </w:pPr>
    </w:p>
    <w:p>
      <w:pPr>
        <w:spacing w:after="0" w:line="21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7" w:name="page88"/>
    <w:bookmarkEnd w:id="8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679"/>
        <w:spacing w:after="0" w:line="252" w:lineRule="auto"/>
        <w:rPr>
          <w:sz w:val="20"/>
          <w:szCs w:val="20"/>
          <w:color w:val="auto"/>
        </w:rPr>
      </w:pPr>
      <w:r>
        <w:rPr>
          <w:rFonts w:ascii="Arial" w:cs="Arial" w:eastAsia="Arial" w:hAnsi="Arial"/>
          <w:sz w:val="18"/>
          <w:szCs w:val="18"/>
          <w:color w:val="auto"/>
        </w:rPr>
        <w:t>Class A common stock or Class B common stock, as the case may be, on a one-for-one basis (and such holders’ shares of Class C common stock or Class D common stock, as the case may be, will be cancelled on a one-for-one basis upon any such issuance). The Continuing LLC Owners that hold shares of Class D common stock may also from time to time exchange all or a portion of their shares of our Class D common stock for newly issued shares of Class C common stock on a one-for-one basis (in which case their shares of Class D common stock will be cancelled on a one-for-one basis upon such issuance). In addition, with respect to each Bank Stockholder that holds shares of Class D common stock, immediately prior to the occurrence of any event that would cause the combined voting power held by such Bank Stockholder to exceed 4.9%, the minimum number of shares of Class D common stock of such Bank Stockholder that would need to convert into shares of Class C common stock such that the combined voting power held by such Bank Stockholder would not exceed 4.9% will automatically convert into shares of Class C common stock;</w:t>
      </w:r>
    </w:p>
    <w:p>
      <w:pPr>
        <w:spacing w:after="0" w:line="172" w:lineRule="exact"/>
        <w:rPr>
          <w:sz w:val="20"/>
          <w:szCs w:val="20"/>
          <w:color w:val="auto"/>
        </w:rPr>
      </w:pPr>
    </w:p>
    <w:p>
      <w:pPr>
        <w:ind w:left="1980" w:right="679" w:hanging="352"/>
        <w:spacing w:after="0" w:line="269" w:lineRule="auto"/>
        <w:tabs>
          <w:tab w:leader="none" w:pos="19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 the event of such election by a Continuing LLC Owner, we may, at our option, effect a direct exchange of Class A common stock or Class B common stock, as the case may be, for such LLC Interests of such Continuing LLC Owner in lieu of such redemption. In addition, Tradeweb’s board of directors, which includes directors who hold LLC Interests or are affiliated with holders of LLC Interests and may include such directors in the future, may, at its option, instead of the foregoing redemptions or exchanges of LLC Interests, cause the Company to make a cash payment equal to a volume weighted average market price of one share of Class A common stock for each LLC Interest redeemed or exchanged (subject to customary adjustments, including for stock splits, stock dividends and reclassifications) in accordance with the terms of the TWM LLC Agreement. See “Certain Relationships and Related Party Transactions — Related Party Transactions Entered Into in Connection With the IPO — TWM LLC Agreement;”</w:t>
      </w:r>
    </w:p>
    <w:p>
      <w:pPr>
        <w:spacing w:after="0" w:line="141" w:lineRule="exact"/>
        <w:rPr>
          <w:rFonts w:ascii="Arial" w:cs="Arial" w:eastAsia="Arial" w:hAnsi="Arial"/>
          <w:sz w:val="17"/>
          <w:szCs w:val="17"/>
          <w:color w:val="auto"/>
        </w:rPr>
      </w:pPr>
    </w:p>
    <w:p>
      <w:pPr>
        <w:ind w:left="1980" w:right="679" w:hanging="352"/>
        <w:spacing w:after="0" w:line="259" w:lineRule="auto"/>
        <w:tabs>
          <w:tab w:leader="none" w:pos="1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Refinitiv Direct Owner and other future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 and</w:t>
      </w:r>
    </w:p>
    <w:p>
      <w:pPr>
        <w:spacing w:after="0" w:line="146" w:lineRule="exact"/>
        <w:rPr>
          <w:rFonts w:ascii="Arial" w:cs="Arial" w:eastAsia="Arial" w:hAnsi="Arial"/>
          <w:sz w:val="18"/>
          <w:szCs w:val="18"/>
          <w:color w:val="auto"/>
        </w:rPr>
      </w:pPr>
    </w:p>
    <w:p>
      <w:pPr>
        <w:ind w:left="1980" w:right="679" w:hanging="352"/>
        <w:spacing w:after="0" w:line="269" w:lineRule="auto"/>
        <w:tabs>
          <w:tab w:leader="none" w:pos="19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each share of our Class B common stock will automatically convert into one share of Class A common stock and each share of our Class D common stock will automatically convert into one share of our Class C common stock (i) immediately prior to any sale or other transfer of such share by a holder or its permitted transferees to a non-permitted transferee or (ii) once the Refinitiv Owners and their affiliates together no longer beneficially own a number of shares of our common stock and LLC Interests that together entitle them to at least 10% of TWM LLC’s economic interest. Holders of LLC Interests that receive shares of Class C common stock upon any such conversion may continue to elect to have their LLC Interests redeemed for newly issued shares of Class A common stock as described above (in which case their shares of Class C common stock will be cancelled on a one-for-one basis upon such issuance). See “Description of Capital Stock.”</w:t>
      </w:r>
    </w:p>
    <w:p>
      <w:pPr>
        <w:spacing w:after="0" w:line="77"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As the sole manager of TWM LLC, we operate and control all of the business and affairs of TWM LLC and, through TWM LLC and its subsidiaries, conduct our business. As a result of this control, and because we have a substantial financial interest in TWM LLC, we consolidate TWM LLC in our consolidated financial statements and report a non-controlling interest related to the LLC Interests held by the Continuing LLC Owners on our consolidated financial statements. Tradeweb has a board of directors and executive officers, but has no employees. The functions of all of our employees reside at TWM LLC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8" w:name="page89"/>
    <w:bookmarkEnd w:id="8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We estimate that the net proceeds to us from our sale of 10,950,000 shares of Class A common stock in this offering will be approximately $566.1 million, based on an assumed offering price of $53.16 per share (the closing price for our shares of Class A common stock on Nasdaq on April 16, 2020), and after deducting underwriting discounts and commissions, but before deducting estimated offering expenses payable by us. If the underwriters exercise in full their option to purchase additional shares of Class A common stock, we expect to receive approximately $651.0 million of net proceeds based on the assumed offering price of $53.16 per share.</w:t>
      </w:r>
    </w:p>
    <w:p>
      <w:pPr>
        <w:spacing w:after="0" w:line="87" w:lineRule="exact"/>
        <w:rPr>
          <w:sz w:val="20"/>
          <w:szCs w:val="20"/>
          <w:color w:val="auto"/>
        </w:rPr>
      </w:pPr>
    </w:p>
    <w:p>
      <w:pPr>
        <w:ind w:left="1260" w:right="1339" w:firstLine="360"/>
        <w:spacing w:after="0" w:line="277" w:lineRule="auto"/>
        <w:rPr>
          <w:sz w:val="20"/>
          <w:szCs w:val="20"/>
          <w:color w:val="auto"/>
        </w:rPr>
      </w:pPr>
      <w:r>
        <w:rPr>
          <w:rFonts w:ascii="Arial" w:cs="Arial" w:eastAsia="Arial" w:hAnsi="Arial"/>
          <w:sz w:val="18"/>
          <w:szCs w:val="18"/>
          <w:color w:val="auto"/>
        </w:rPr>
        <w:t>We estimate that the offering expenses will be approximately $3.1 million. All of such offering expenses will be paid for or otherwise borne by TWM LLC using cash on hand.</w:t>
      </w:r>
    </w:p>
    <w:p>
      <w:pPr>
        <w:spacing w:after="0" w:line="62"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We intend to use the net proceeds to us from this offering to purchase (i) 10,633,603 issued and outstanding LLC Interests (or 12,228,645 LLC Interests, if the underwriters exercise in full their option to purchase additional shares of Class A common stock) from the Selling LLC Owners (and cancel the corresponding shares of common stock held by such holders) and (ii) 316,397 issued and outstanding shares of Class A common stock (or 363,855 shares of Class A common stock, if the underwriters exercise in full their option to purchase additional shares of Class A common stock) from certain of our executive officers following the Net Exercise, as applicable (and cancel such shares of Class A common stock), at a purchase price per interest and share equal to the public offering price per share of Class A common stock, less the underwriting discounts and commissions payable thereon. The net proceeds from any increase in the number of shares sold by us in this offering, as set forth on the cover page of this prospectus, would be used by us to purchase additional LLC Interests and/or shares of Class A common stock. See “Certain Relationships and Related Party Transactions — Transactions With Certain Original LLC Owners.” Certain of the Bank Stockholders are affiliates of the underwriters. As a result of the purchases of LLC Interests (together with the cancellation of the corresponding shares of common stock) described above, the number of outstanding shares of Class C common stock and Class D common stock, as the case may be, will be reduced. Because we will hold the LLC Interests that we purchase (and thereby increase our ownership position in TWM LLC), the number of outstanding LLC Interests will remain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9" w:name="page90"/>
    <w:bookmarkEnd w:id="8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Subject to legally available funds, we intend to continue to pay quarterly cash dividends on our Class A common stock and Class B common stock equal to $0.08 per share. 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may deem relevant. Because we are a holding company and all of our business is conducted through our subsidiaries, we expect to pay dividends, if any, from funds we receive from our subsidiaries.</w:t>
      </w:r>
    </w:p>
    <w:p>
      <w:pPr>
        <w:spacing w:after="0" w:line="69"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at the time of such distributions. Because Tradeweb must pay taxes and make payments under the Tax Receivable Agreement, amounts ultimately distributed as dividends to holders of our Class A common stock or Class B common stock are expected to be less than the amounts distributed by TWM LLC to its members on a per LLC Interest basis. See “The IPO and Reorganization Transactions.” In order for TWM LLC to make distributions, it may need to receive distributions from its subsidiaries. If TWM LLC is unable to cause these subsidiaries to make distributions, it may have inadequate funds to distribute to us and we may be unable to fund our dividends. Our ability to pay dividends may also be restricted by the terms of the Revolving Credit Facility or any future credit agreement or any future debt or preferred equity securities of Tradeweb or its subsidiaries.</w:t>
      </w:r>
    </w:p>
    <w:p>
      <w:pPr>
        <w:spacing w:after="0" w:line="78" w:lineRule="exact"/>
        <w:rPr>
          <w:sz w:val="20"/>
          <w:szCs w:val="20"/>
          <w:color w:val="auto"/>
        </w:rPr>
      </w:pPr>
    </w:p>
    <w:p>
      <w:pPr>
        <w:ind w:left="1260" w:right="799" w:firstLine="360"/>
        <w:spacing w:after="0" w:line="275" w:lineRule="auto"/>
        <w:rPr>
          <w:sz w:val="20"/>
          <w:szCs w:val="20"/>
          <w:color w:val="auto"/>
        </w:rPr>
      </w:pPr>
      <w:r>
        <w:rPr>
          <w:rFonts w:ascii="Arial" w:cs="Arial" w:eastAsia="Arial" w:hAnsi="Arial"/>
          <w:sz w:val="17"/>
          <w:szCs w:val="17"/>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68"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See “Risk Factors — Risks Relating to the Company and Our Organizational Structure — Our principal asset is our equity interest in TWM LLC, and, accordingly, we depend on distributions from TWM LLC to pay our taxes and expenses, including payments under the Tax Receivable Agreement” and “Risk Factors</w:t>
      </w:r>
    </w:p>
    <w:p>
      <w:pPr>
        <w:ind w:left="1260" w:right="1119"/>
        <w:spacing w:after="0" w:line="255" w:lineRule="auto"/>
        <w:rPr>
          <w:sz w:val="20"/>
          <w:szCs w:val="20"/>
          <w:color w:val="auto"/>
        </w:rPr>
      </w:pPr>
      <w:r>
        <w:rPr>
          <w:rFonts w:ascii="Arial" w:cs="Arial" w:eastAsia="Arial" w:hAnsi="Arial"/>
          <w:sz w:val="18"/>
          <w:szCs w:val="18"/>
          <w:color w:val="auto"/>
        </w:rPr>
        <w:t>— Risks Relating to Ownership of our Class A Common Stock — We intend to continue to pay regular dividends on our Class A common stock and Class B common stock, but our ability to do so may be limited.”</w:t>
      </w:r>
    </w:p>
    <w:p>
      <w:pPr>
        <w:spacing w:after="0" w:line="82"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In June, September and December 2019 and in March 2020, Tradeweb Markets Inc. paid quarterly cash dividends to the holders of Class A common stock and Class B common stock in aggregate amounts of $11.4 million, $11.4 million, $13.1 million and $13.4 million, respectively.</w:t>
      </w:r>
    </w:p>
    <w:p>
      <w:pPr>
        <w:spacing w:after="0" w:line="76" w:lineRule="exact"/>
        <w:rPr>
          <w:sz w:val="20"/>
          <w:szCs w:val="20"/>
          <w:color w:val="auto"/>
        </w:rPr>
      </w:pPr>
    </w:p>
    <w:p>
      <w:pPr>
        <w:ind w:left="1260" w:right="819" w:firstLine="360"/>
        <w:spacing w:after="0" w:line="275" w:lineRule="auto"/>
        <w:rPr>
          <w:sz w:val="20"/>
          <w:szCs w:val="20"/>
          <w:color w:val="auto"/>
        </w:rPr>
      </w:pPr>
      <w:r>
        <w:rPr>
          <w:rFonts w:ascii="Arial" w:cs="Arial" w:eastAsia="Arial" w:hAnsi="Arial"/>
          <w:sz w:val="17"/>
          <w:szCs w:val="17"/>
          <w:color w:val="auto"/>
        </w:rPr>
        <w:t>In March and April 2019, TWM LLC made pre-IPO cash distributions to the Original LLC Owners in aggregate amounts of $20.0 million and $100.0 million, respectively. In May, September and December 2019, TWM LLC made quarterly cash distributions to its equityholders, including Tradeweb Markets Inc., in aggregate amounts of $33.4 million, $33.0 million and $45.8 million, respectively. For the first quarter of 2020, no cash distribution was made by TWM LLC to its equityholders.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0" w:name="page91"/>
    <w:bookmarkEnd w:id="9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CAPITALIZATION</w:t>
      </w:r>
    </w:p>
    <w:p>
      <w:pPr>
        <w:spacing w:after="0" w:line="108"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The following table sets forth our cash and cash equivalents and total capitalization as of December 31, 2019:</w:t>
      </w:r>
    </w:p>
    <w:p>
      <w:pPr>
        <w:spacing w:after="0" w:line="49" w:lineRule="exact"/>
        <w:rPr>
          <w:sz w:val="20"/>
          <w:szCs w:val="20"/>
          <w:color w:val="auto"/>
        </w:rPr>
      </w:pPr>
    </w:p>
    <w:p>
      <w:pPr>
        <w:ind w:left="1980" w:hanging="352"/>
        <w:spacing w:after="0"/>
        <w:tabs>
          <w:tab w:leader="none" w:pos="1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03" w:lineRule="exact"/>
        <w:rPr>
          <w:rFonts w:ascii="Arial" w:cs="Arial" w:eastAsia="Arial" w:hAnsi="Arial"/>
          <w:sz w:val="18"/>
          <w:szCs w:val="18"/>
          <w:color w:val="auto"/>
        </w:rPr>
      </w:pPr>
    </w:p>
    <w:p>
      <w:pPr>
        <w:ind w:left="1980" w:right="739" w:hanging="352"/>
        <w:spacing w:after="0" w:line="259" w:lineRule="auto"/>
        <w:tabs>
          <w:tab w:leader="none" w:pos="1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 a pro forma basis to give effect to the Net Exercise and this offering after (i) deducting the estimated underwriting discounts and commissions and estimated offering expenses payable by us and (ii) the application of the proceeds from this offering, each as described under “Use of Proceeds.”</w:t>
      </w:r>
    </w:p>
    <w:p>
      <w:pPr>
        <w:spacing w:after="0" w:line="79"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For more information, please see “Use of Proceeds,” “Dividend Policy” and “Unaudited Pro Forma Consolidated Financial Information.” You should read this information in conjunction with “Management’s Discussion and Analysis of Financial Condition and Results of Operations ” and our audited consolidated financial statements and related notes thereto appearing in the 2019 Form 10-K, incorporated by reference in this prospectus.</w:t>
      </w:r>
    </w:p>
    <w:p>
      <w:pPr>
        <w:spacing w:after="0" w:line="85"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rPr>
              <w:t>As of December 31, 2019</w:t>
            </w:r>
          </w:p>
        </w:tc>
        <w:tc>
          <w:tcPr>
            <w:tcW w:w="0" w:type="dxa"/>
            <w:vAlign w:val="bottom"/>
          </w:tcPr>
          <w:p>
            <w:pPr>
              <w:spacing w:after="0"/>
              <w:rPr>
                <w:sz w:val="1"/>
                <w:szCs w:val="1"/>
                <w:color w:val="auto"/>
              </w:rPr>
            </w:pPr>
          </w:p>
        </w:tc>
      </w:tr>
      <w:tr>
        <w:trPr>
          <w:trHeight w:val="196"/>
        </w:trPr>
        <w:tc>
          <w:tcPr>
            <w:tcW w:w="616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0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Historical</w:t>
            </w:r>
          </w:p>
        </w:tc>
        <w:tc>
          <w:tcPr>
            <w:tcW w:w="9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56"/>
        </w:trPr>
        <w:tc>
          <w:tcPr>
            <w:tcW w:w="5940" w:type="dxa"/>
            <w:vAlign w:val="bottom"/>
            <w:tcBorders>
              <w:top w:val="single" w:sz="8" w:color="auto"/>
            </w:tcBorders>
            <w:gridSpan w:val="2"/>
            <w:shd w:val="clear" w:color="auto" w:fill="CCEEFF"/>
          </w:tcPr>
          <w:p>
            <w:pPr>
              <w:spacing w:after="0" w:line="256"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6"/>
                <w:szCs w:val="26"/>
                <w:color w:val="auto"/>
                <w:vertAlign w:val="superscript"/>
              </w:rPr>
              <w:t>(1)</w:t>
            </w:r>
          </w:p>
        </w:tc>
        <w:tc>
          <w:tcPr>
            <w:tcW w:w="220" w:type="dxa"/>
            <w:vAlign w:val="bottom"/>
            <w:tcBorders>
              <w:top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460,711</w:t>
            </w:r>
          </w:p>
        </w:tc>
        <w:tc>
          <w:tcPr>
            <w:tcW w:w="2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457,658</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gridSpan w:val="3"/>
            <w:vMerge w:val="restart"/>
          </w:tcPr>
          <w:p>
            <w:pPr>
              <w:spacing w:after="0" w:line="263" w:lineRule="exact"/>
              <w:rPr>
                <w:sz w:val="20"/>
                <w:szCs w:val="20"/>
                <w:color w:val="auto"/>
              </w:rPr>
            </w:pPr>
            <w:r>
              <w:rPr>
                <w:rFonts w:ascii="Arial" w:cs="Arial" w:eastAsia="Arial" w:hAnsi="Arial"/>
                <w:sz w:val="18"/>
                <w:szCs w:val="18"/>
                <w:color w:val="auto"/>
              </w:rPr>
              <w:t>Revolving Credit Facility</w:t>
            </w:r>
            <w:r>
              <w:rPr>
                <w:rFonts w:ascii="Arial" w:cs="Arial" w:eastAsia="Arial" w:hAnsi="Arial"/>
                <w:sz w:val="26"/>
                <w:szCs w:val="26"/>
                <w:color w:val="auto"/>
                <w:vertAlign w:val="superscript"/>
              </w:rPr>
              <w:t>(2)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6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160" w:type="dxa"/>
            <w:vAlign w:val="bottom"/>
            <w:tcBorders>
              <w:top w:val="single" w:sz="8" w:color="CCEEFF"/>
              <w:right w:val="single" w:sz="8" w:color="CCEEFF"/>
            </w:tcBorders>
            <w:gridSpan w:val="3"/>
            <w:shd w:val="clear" w:color="auto" w:fill="CCEEFF"/>
          </w:tcPr>
          <w:p>
            <w:pPr>
              <w:spacing w:after="0" w:line="236" w:lineRule="exact"/>
              <w:rPr>
                <w:sz w:val="20"/>
                <w:szCs w:val="20"/>
                <w:color w:val="auto"/>
              </w:rPr>
            </w:pPr>
            <w:r>
              <w:rPr>
                <w:rFonts w:ascii="Arial" w:cs="Arial" w:eastAsia="Arial" w:hAnsi="Arial"/>
                <w:sz w:val="18"/>
                <w:szCs w:val="18"/>
                <w:color w:val="auto"/>
              </w:rPr>
              <w:t>Stockholders’ equity:</w:t>
            </w:r>
            <w:r>
              <w:rPr>
                <w:rFonts w:ascii="Arial" w:cs="Arial" w:eastAsia="Arial" w:hAnsi="Arial"/>
                <w:sz w:val="26"/>
                <w:szCs w:val="26"/>
                <w:color w:val="auto"/>
                <w:vertAlign w:val="superscript"/>
              </w:rPr>
              <w:t>(3)</w:t>
            </w:r>
          </w:p>
        </w:tc>
        <w:tc>
          <w:tcPr>
            <w:tcW w:w="1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right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160" w:type="dxa"/>
            <w:vAlign w:val="bottom"/>
            <w:gridSpan w:val="3"/>
          </w:tcPr>
          <w:p>
            <w:pPr>
              <w:ind w:left="180"/>
              <w:spacing w:after="0"/>
              <w:rPr>
                <w:sz w:val="20"/>
                <w:szCs w:val="20"/>
                <w:color w:val="auto"/>
              </w:rPr>
            </w:pPr>
            <w:r>
              <w:rPr>
                <w:rFonts w:ascii="Arial" w:cs="Arial" w:eastAsia="Arial" w:hAnsi="Arial"/>
                <w:sz w:val="18"/>
                <w:szCs w:val="18"/>
                <w:color w:val="auto"/>
                <w:w w:val="97"/>
              </w:rPr>
              <w:t>Class A common stock, par value $0.00001 per share; 1,000,000,000 shares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gridSpan w:val="3"/>
          </w:tcPr>
          <w:p>
            <w:pPr>
              <w:ind w:left="360"/>
              <w:spacing w:after="0"/>
              <w:rPr>
                <w:sz w:val="20"/>
                <w:szCs w:val="20"/>
                <w:color w:val="auto"/>
              </w:rPr>
            </w:pPr>
            <w:r>
              <w:rPr>
                <w:rFonts w:ascii="Arial" w:cs="Arial" w:eastAsia="Arial" w:hAnsi="Arial"/>
                <w:sz w:val="18"/>
                <w:szCs w:val="18"/>
                <w:color w:val="auto"/>
              </w:rPr>
              <w:t>authorized; 66,408,328 issued and outstanding, actual, and 77,405,309</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gridSpan w:val="3"/>
          </w:tcPr>
          <w:p>
            <w:pPr>
              <w:ind w:left="360"/>
              <w:spacing w:after="0"/>
              <w:rPr>
                <w:sz w:val="20"/>
                <w:szCs w:val="20"/>
                <w:color w:val="auto"/>
              </w:rPr>
            </w:pPr>
            <w:r>
              <w:rPr>
                <w:rFonts w:ascii="Arial" w:cs="Arial" w:eastAsia="Arial" w:hAnsi="Arial"/>
                <w:sz w:val="18"/>
                <w:szCs w:val="18"/>
                <w:color w:val="auto"/>
              </w:rPr>
              <w:t>shares issued and outstanding, pro forma</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16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99"/>
              </w:rPr>
              <w:t>Class B common stock, par value $0.00001 per share; 450,000,000 shares</w:t>
            </w:r>
          </w:p>
        </w:tc>
        <w:tc>
          <w:tcPr>
            <w:tcW w:w="100" w:type="dxa"/>
            <w:vAlign w:val="bottom"/>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tcBorders>
              <w:right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authorized; 96,933,192 shares issued and outstanding, actual and pro</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Borders>
              <w:right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forma</w:t>
            </w:r>
          </w:p>
        </w:tc>
        <w:tc>
          <w:tcPr>
            <w:tcW w:w="10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160" w:type="dxa"/>
            <w:vAlign w:val="bottom"/>
            <w:gridSpan w:val="3"/>
          </w:tcPr>
          <w:p>
            <w:pPr>
              <w:ind w:left="180"/>
              <w:spacing w:after="0"/>
              <w:rPr>
                <w:sz w:val="20"/>
                <w:szCs w:val="20"/>
                <w:color w:val="auto"/>
              </w:rPr>
            </w:pPr>
            <w:r>
              <w:rPr>
                <w:rFonts w:ascii="Arial" w:cs="Arial" w:eastAsia="Arial" w:hAnsi="Arial"/>
                <w:sz w:val="18"/>
                <w:szCs w:val="18"/>
                <w:color w:val="auto"/>
                <w:w w:val="99"/>
              </w:rPr>
              <w:t>Class C common stock, par value $0.00001 per share; 350,000,000 shares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gridSpan w:val="3"/>
          </w:tcPr>
          <w:p>
            <w:pPr>
              <w:ind w:left="360"/>
              <w:spacing w:after="0"/>
              <w:rPr>
                <w:sz w:val="20"/>
                <w:szCs w:val="20"/>
                <w:color w:val="auto"/>
              </w:rPr>
            </w:pPr>
            <w:r>
              <w:rPr>
                <w:rFonts w:ascii="Arial" w:cs="Arial" w:eastAsia="Arial" w:hAnsi="Arial"/>
                <w:sz w:val="18"/>
                <w:szCs w:val="18"/>
                <w:color w:val="auto"/>
              </w:rPr>
              <w:t>authorized; 8,328,983 shares issued and outstanding, actual, and</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gridSpan w:val="3"/>
          </w:tcPr>
          <w:p>
            <w:pPr>
              <w:ind w:left="360"/>
              <w:spacing w:after="0"/>
              <w:rPr>
                <w:sz w:val="20"/>
                <w:szCs w:val="20"/>
                <w:color w:val="auto"/>
              </w:rPr>
            </w:pPr>
            <w:r>
              <w:rPr>
                <w:rFonts w:ascii="Arial" w:cs="Arial" w:eastAsia="Arial" w:hAnsi="Arial"/>
                <w:sz w:val="18"/>
                <w:szCs w:val="18"/>
                <w:color w:val="auto"/>
              </w:rPr>
              <w:t>8,928,983 shares issued and outstanding, pro forma</w:t>
            </w:r>
          </w:p>
        </w:tc>
        <w:tc>
          <w:tcPr>
            <w:tcW w:w="100" w:type="dxa"/>
            <w:vAlign w:val="bottom"/>
          </w:tcPr>
          <w:p>
            <w:pPr>
              <w:spacing w:after="0"/>
              <w:rPr>
                <w:sz w:val="20"/>
                <w:szCs w:val="20"/>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6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99"/>
              </w:rPr>
              <w:t>Class D common stock, par value $0.00001 per share; 300,000,000 shares</w:t>
            </w:r>
          </w:p>
        </w:tc>
        <w:tc>
          <w:tcPr>
            <w:tcW w:w="100" w:type="dxa"/>
            <w:vAlign w:val="bottom"/>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tcBorders>
              <w:right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authorized; 50,853,172 shares issued and outstanding, actual, and</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Borders>
              <w:right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39,619,569 shares issued and outstanding, pro forma</w:t>
            </w:r>
          </w:p>
        </w:tc>
        <w:tc>
          <w:tcPr>
            <w:tcW w:w="10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6160" w:type="dxa"/>
            <w:vAlign w:val="bottom"/>
            <w:gridSpan w:val="3"/>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3,329,386</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7"/>
              </w:rPr>
              <w:t>3,607,119</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6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57"/>
        </w:trPr>
        <w:tc>
          <w:tcPr>
            <w:tcW w:w="6160" w:type="dxa"/>
            <w:vAlign w:val="bottom"/>
            <w:gridSpan w:val="3"/>
          </w:tcPr>
          <w:p>
            <w:pPr>
              <w:ind w:left="18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47,833</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47,833</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stockholders’ equity attributable to Tradeweb Markets Inc.</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3,378,588</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3,656,321</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60" w:type="dxa"/>
            <w:vAlign w:val="bottom"/>
            <w:gridSpan w:val="3"/>
          </w:tcPr>
          <w:p>
            <w:pPr>
              <w:ind w:left="18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1,214,157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995,614</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4,592,745</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4,651,935</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4,592,745</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7"/>
              </w:rPr>
              <w:t>4,651,935</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940" w:type="dxa"/>
            <w:vAlign w:val="bottom"/>
            <w:tcBorders>
              <w:bottom w:val="single" w:sz="8" w:color="auto"/>
            </w:tcBorders>
          </w:tcPr>
          <w:p>
            <w:pPr>
              <w:spacing w:after="0"/>
              <w:rPr>
                <w:sz w:val="11"/>
                <w:szCs w:val="11"/>
                <w:color w:val="auto"/>
              </w:rPr>
            </w:pPr>
          </w:p>
        </w:tc>
        <w:tc>
          <w:tcPr>
            <w:tcW w:w="4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-462280</wp:posOffset>
            </wp:positionV>
            <wp:extent cx="52120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-788035</wp:posOffset>
            </wp:positionV>
            <wp:extent cx="52120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-1104900</wp:posOffset>
            </wp:positionV>
            <wp:extent cx="52120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-3145155</wp:posOffset>
            </wp:positionV>
            <wp:extent cx="52120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-3496945</wp:posOffset>
            </wp:positionV>
            <wp:extent cx="1371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-3496945</wp:posOffset>
            </wp:positionV>
            <wp:extent cx="12001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87" w:lineRule="exact"/>
        <w:rPr>
          <w:sz w:val="20"/>
          <w:szCs w:val="20"/>
          <w:color w:val="auto"/>
        </w:rPr>
      </w:pPr>
    </w:p>
    <w:p>
      <w:pPr>
        <w:ind w:left="1620" w:right="879" w:hanging="352"/>
        <w:spacing w:after="0" w:line="263" w:lineRule="auto"/>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Historical and pro forma cash and cash equivalents, total equity and total capitalization do not reflect the cash dividend of $0.08 per share paid to holders of Class A common stock and Class B common stock on March 16, 2020. See “Dividend Policy.”</w:t>
      </w:r>
    </w:p>
    <w:p>
      <w:pPr>
        <w:spacing w:after="0" w:line="62" w:lineRule="exact"/>
        <w:rPr>
          <w:rFonts w:ascii="Arial" w:cs="Arial" w:eastAsia="Arial" w:hAnsi="Arial"/>
          <w:sz w:val="18"/>
          <w:szCs w:val="18"/>
          <w:color w:val="auto"/>
        </w:rPr>
      </w:pPr>
    </w:p>
    <w:p>
      <w:pPr>
        <w:ind w:left="1620" w:right="939" w:hanging="352"/>
        <w:spacing w:after="0" w:line="277" w:lineRule="auto"/>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 of December 31, 2019, we had $500.0 million of availability under the Revolving Credit Facility and no letters of credit outstanding.</w:t>
      </w:r>
    </w:p>
    <w:p>
      <w:pPr>
        <w:spacing w:after="0" w:line="35" w:lineRule="exact"/>
        <w:rPr>
          <w:rFonts w:ascii="Arial" w:cs="Arial" w:eastAsia="Arial" w:hAnsi="Arial"/>
          <w:sz w:val="18"/>
          <w:szCs w:val="18"/>
          <w:color w:val="auto"/>
        </w:rPr>
      </w:pPr>
    </w:p>
    <w:p>
      <w:pPr>
        <w:ind w:left="1620" w:right="779" w:hanging="352"/>
        <w:spacing w:after="0" w:line="255" w:lineRule="auto"/>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 of March 31, 2020, we had 70,670,440 shares of Class A common stock issued and outstanding, 96,933,192 shares of Class B common stock issued and outstanding, 7,389,983 shares of Class C common stock issued and outstanding and 49,871,231 shares of Class D common stock issued and outstanding. For information regarding shares outstanding as of March 31, 2020, after giving effect to the Net Exercise and the completion of this offering and the application of the net proceeds therefrom, see “Prospectus Summary — The Offering.”</w:t>
      </w:r>
    </w:p>
    <w:p>
      <w:pPr>
        <w:spacing w:after="0" w:line="26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1" w:name="page92"/>
    <w:bookmarkEnd w:id="9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108" w:lineRule="exact"/>
        <w:rPr>
          <w:sz w:val="20"/>
          <w:szCs w:val="20"/>
          <w:color w:val="auto"/>
        </w:rPr>
      </w:pPr>
    </w:p>
    <w:p>
      <w:pPr>
        <w:ind w:left="1260" w:right="759" w:firstLine="360"/>
        <w:spacing w:after="0" w:line="274" w:lineRule="auto"/>
        <w:rPr>
          <w:sz w:val="20"/>
          <w:szCs w:val="20"/>
          <w:color w:val="auto"/>
        </w:rPr>
      </w:pPr>
      <w:r>
        <w:rPr>
          <w:rFonts w:ascii="Arial" w:cs="Arial" w:eastAsia="Arial" w:hAnsi="Arial"/>
          <w:sz w:val="17"/>
          <w:szCs w:val="17"/>
          <w:color w:val="auto"/>
        </w:rPr>
        <w:t>The following unaudited pro forma consolidated statement of income for the year ended December 31, 2019 gives effect to the Transactions as if the same had occurred on January 1, 2019. The unaudited</w:t>
      </w:r>
    </w:p>
    <w:p>
      <w:pPr>
        <w:ind w:left="1260" w:right="699"/>
        <w:spacing w:after="0" w:line="267" w:lineRule="auto"/>
        <w:rPr>
          <w:sz w:val="20"/>
          <w:szCs w:val="20"/>
          <w:color w:val="auto"/>
        </w:rPr>
      </w:pPr>
      <w:r>
        <w:rPr>
          <w:rFonts w:ascii="Arial" w:cs="Arial" w:eastAsia="Arial" w:hAnsi="Arial"/>
          <w:sz w:val="17"/>
          <w:szCs w:val="17"/>
          <w:color w:val="auto"/>
        </w:rPr>
        <w:t>pro forma consolidated statement of financial condition as of December 31, 2019 gives effect to this offering as if the same had occurred on December 31, 2019. Tradeweb Markets LLC is the predecessor of the issuer, Tradeweb Markets Inc., for financial reporting purposes. Prior to the consummation of the Reorganization Transactions, Tradeweb Markets Inc. did not conduct any activities other than those incident to its formation and the IPO. As a result of the Reorganization Transactions completed in connection with the IPO, Tradeweb Markets Inc. became the sole manager of Tradeweb Markets LLC whose only material assets consist of its equity interest in Tradeweb Markets LLC and related deferred tax assets. As a result, Tradeweb Markets Inc. consolidates the financial results of Tradeweb Markets LLC and its subsidiaries. Accordingly, the historical consolidated financial data presented below relating to periods prior to and including March 31, 2019 reflect the results of operations, financial position and cash flows of Tradeweb Markets LLC, the predecessor of Tradeweb Markets Inc. for financial reporting purposes, and its subsidiaries. The historical consolidated financial data presented below relating to periods beginning on April 1, 2019, and through and including December 31, 2019 reflect the results of operations, financial position and cash flows of Tradeweb Markets Inc. and its subsidiaries, including the consolidation of its investment in Tradeweb Markets LLC. See “Basis of Presentation.”</w:t>
      </w:r>
    </w:p>
    <w:p>
      <w:pPr>
        <w:spacing w:after="0" w:line="72"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We have derived the unaudited pro forma consolidated financial information as of and for the year ended December 31, 2019 from the consolidated financial statements of Tradeweb Markets Inc. incorporated by reference in this prospectus. The pro forma adjustments are based on available information and certain assumptions that management believes are reasonable under the circumstances. The assumptions underlying the pro forma adjustments are described in the accompanying notes, which should be read in conjunction with these unaudited pro forma combined financial statements. The pro forma financial information is qualified in its entirety by reference to, and should be read in conjunction with, “Basis of Presentation” elsewhere herein and “Management’s Discussion and Analysis of Financial Condition and Results of Operations” and our consolidated financial statements and related notes thereto appearing in the 2019 Form 10-K, incorporated by reference in this prospectus.</w:t>
      </w:r>
    </w:p>
    <w:p>
      <w:pPr>
        <w:spacing w:after="0" w:line="77"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The pro forma adjustments related to the IPO and Reorganization Transactions, which we refer to as the “IPO and Reorganization Adjustments,” are described in the notes to the unaudited pro forma consolidated financial information, and principally include the following:</w:t>
      </w:r>
    </w:p>
    <w:p>
      <w:pPr>
        <w:spacing w:after="0" w:line="157" w:lineRule="exact"/>
        <w:rPr>
          <w:sz w:val="20"/>
          <w:szCs w:val="20"/>
          <w:color w:val="auto"/>
        </w:rPr>
      </w:pPr>
    </w:p>
    <w:p>
      <w:pPr>
        <w:ind w:left="1980" w:right="859" w:hanging="352"/>
        <w:spacing w:after="0" w:line="274" w:lineRule="auto"/>
        <w:tabs>
          <w:tab w:leader="none" w:pos="19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amendment and restatement of the TWM LLC Agreement to, among other things, (i) provide for LLC Interests that are the single class of common membership interests in TWM LLC,</w:t>
      </w:r>
    </w:p>
    <w:p>
      <w:pPr>
        <w:ind w:left="2280" w:hanging="292"/>
        <w:spacing w:after="0"/>
        <w:tabs>
          <w:tab w:leader="none" w:pos="22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exchange all of the existing membership interests in TWM LLC for LLC Interests and</w:t>
      </w:r>
    </w:p>
    <w:p>
      <w:pPr>
        <w:spacing w:after="0" w:line="9" w:lineRule="exact"/>
        <w:rPr>
          <w:rFonts w:ascii="Arial" w:cs="Arial" w:eastAsia="Arial" w:hAnsi="Arial"/>
          <w:sz w:val="18"/>
          <w:szCs w:val="18"/>
          <w:color w:val="auto"/>
        </w:rPr>
      </w:pPr>
    </w:p>
    <w:p>
      <w:pPr>
        <w:ind w:left="2320" w:hanging="332"/>
        <w:spacing w:after="0"/>
        <w:tabs>
          <w:tab w:leader="none" w:pos="23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appoint Tradeweb as the sole manager of TWM LLC;</w:t>
      </w:r>
    </w:p>
    <w:p>
      <w:pPr>
        <w:spacing w:after="0" w:line="170" w:lineRule="exact"/>
        <w:rPr>
          <w:rFonts w:ascii="Arial" w:cs="Arial" w:eastAsia="Arial" w:hAnsi="Arial"/>
          <w:sz w:val="18"/>
          <w:szCs w:val="18"/>
          <w:color w:val="auto"/>
        </w:rPr>
      </w:pPr>
    </w:p>
    <w:p>
      <w:pPr>
        <w:ind w:left="1980" w:hanging="352"/>
        <w:spacing w:after="0"/>
        <w:tabs>
          <w:tab w:leader="none" w:pos="19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amendment and restatement of Tradeweb’s certificate of incorporation to, among other things,</w:t>
      </w:r>
    </w:p>
    <w:p>
      <w:pPr>
        <w:spacing w:after="0" w:line="34" w:lineRule="exact"/>
        <w:rPr>
          <w:rFonts w:ascii="Arial" w:cs="Arial" w:eastAsia="Arial" w:hAnsi="Arial"/>
          <w:sz w:val="17"/>
          <w:szCs w:val="17"/>
          <w:color w:val="auto"/>
        </w:rPr>
      </w:pPr>
    </w:p>
    <w:p>
      <w:pPr>
        <w:ind w:left="1980" w:right="699" w:firstLine="8"/>
        <w:spacing w:after="0" w:line="253" w:lineRule="auto"/>
        <w:tabs>
          <w:tab w:leader="none" w:pos="2209" w:val="left"/>
        </w:tabs>
        <w:numPr>
          <w:ilvl w:val="1"/>
          <w:numId w:val="70"/>
        </w:numPr>
        <w:rPr>
          <w:rFonts w:ascii="Arial" w:cs="Arial" w:eastAsia="Arial" w:hAnsi="Arial"/>
          <w:sz w:val="18"/>
          <w:szCs w:val="18"/>
          <w:color w:val="auto"/>
        </w:rPr>
      </w:pPr>
      <w:r>
        <w:rPr>
          <w:rFonts w:ascii="Arial" w:cs="Arial" w:eastAsia="Arial" w:hAnsi="Arial"/>
          <w:sz w:val="18"/>
          <w:szCs w:val="18"/>
          <w:color w:val="auto"/>
        </w:rPr>
        <w:t>provide for Class A common stock, Class B common stock, Class C common stock and Class D common stock and (ii) issue shares of Class C common stock and/or Class D common stock to the Original LLC Owners that received LLC Interests, on a one-to-one basis with the number of LLC Interests they owned immediately following the amendment and restatement of the TWM LLC Agreement for nominal consideration;</w:t>
      </w:r>
    </w:p>
    <w:p>
      <w:pPr>
        <w:spacing w:after="0" w:line="150" w:lineRule="exact"/>
        <w:rPr>
          <w:rFonts w:ascii="Arial" w:cs="Arial" w:eastAsia="Arial" w:hAnsi="Arial"/>
          <w:sz w:val="18"/>
          <w:szCs w:val="18"/>
          <w:color w:val="auto"/>
        </w:rPr>
      </w:pPr>
    </w:p>
    <w:p>
      <w:pPr>
        <w:ind w:left="1980" w:right="1139" w:hanging="352"/>
        <w:spacing w:after="0" w:line="277" w:lineRule="auto"/>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receipt of 96,933,192 shares of Class B common stock by the Refinitiv Direct Owner and 96,933,192 LLC Interests by Tradeweb as a result of the Refinitiv Contribution;</w:t>
      </w:r>
    </w:p>
    <w:p>
      <w:pPr>
        <w:spacing w:after="0" w:line="143"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provision for federal and state income taxes of Tradeweb as a taxable corporation at an effective rate of 25.5% for the year ended December 31, 2019;</w:t>
      </w:r>
    </w:p>
    <w:p>
      <w:pPr>
        <w:spacing w:after="0" w:line="129" w:lineRule="exact"/>
        <w:rPr>
          <w:rFonts w:ascii="Arial" w:cs="Arial" w:eastAsia="Arial" w:hAnsi="Arial"/>
          <w:sz w:val="18"/>
          <w:szCs w:val="18"/>
          <w:color w:val="auto"/>
        </w:rPr>
      </w:pPr>
    </w:p>
    <w:p>
      <w:pPr>
        <w:ind w:left="1980" w:right="859" w:hanging="352"/>
        <w:spacing w:after="0" w:line="263" w:lineRule="auto"/>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issuance of shares of our Class A common stock to the purchasers in the IPO in exchange for net proceeds of approximately $1,161.3 million, after deducting underwriting discounts and commissions but before deducting offering expenses;</w:t>
      </w: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2" w:name="page93"/>
    <w:bookmarkEnd w:id="9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799" w:hanging="352"/>
        <w:spacing w:after="0" w:line="259" w:lineRule="auto"/>
        <w:tabs>
          <w:tab w:leader="none" w:pos="1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application of all of the net proceeds from the IPO to purchase issued and outstanding LLC Interests from certain of the Bank Stockholders at a purchase price per interest equal to the initial public offering price of Class A common stock, less the underwriting discounts and commissions payable thereon;</w:t>
      </w:r>
    </w:p>
    <w:p>
      <w:pPr>
        <w:spacing w:after="0" w:line="132" w:lineRule="exact"/>
        <w:rPr>
          <w:rFonts w:ascii="Arial" w:cs="Arial" w:eastAsia="Arial" w:hAnsi="Arial"/>
          <w:sz w:val="18"/>
          <w:szCs w:val="18"/>
          <w:color w:val="auto"/>
        </w:rPr>
      </w:pPr>
    </w:p>
    <w:p>
      <w:pPr>
        <w:ind w:left="1980" w:right="699" w:hanging="352"/>
        <w:spacing w:after="0" w:line="253" w:lineRule="auto"/>
        <w:tabs>
          <w:tab w:leader="none" w:pos="1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effects of the Tax Receivable Agreement that provides for the payment by Tradeweb to a Continuing LLC Owner of 50% of the amount of U.S. federal, state and local income or franchise tax savings, if any, that Tradeweb actually realizes (or in some circumstances is deemed to realize) as a result of (i) increases in the tax basis of TWM LLC’s assets resulting from (a) the purchase of LLC Interests from such Continuing LLC Owner, including with the net proceeds from the IPO and this offering or (b) redemptions or exchanges by such Continuing LLC Owner of LLC Interests for shares of our Class A common stock or Class B common stock or for cash, as applicable and (ii) certain other tax benefits related to our making payments under the Tax Receivable Agreement; and</w:t>
      </w:r>
    </w:p>
    <w:p>
      <w:pPr>
        <w:spacing w:after="0" w:line="128" w:lineRule="exact"/>
        <w:rPr>
          <w:rFonts w:ascii="Arial" w:cs="Arial" w:eastAsia="Arial" w:hAnsi="Arial"/>
          <w:sz w:val="18"/>
          <w:szCs w:val="18"/>
          <w:color w:val="auto"/>
        </w:rPr>
      </w:pPr>
    </w:p>
    <w:p>
      <w:pPr>
        <w:ind w:left="1980" w:hanging="352"/>
        <w:spacing w:after="0"/>
        <w:tabs>
          <w:tab w:leader="none" w:pos="1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payment of fees and expenses related to the IPO.</w:t>
      </w:r>
    </w:p>
    <w:p>
      <w:pPr>
        <w:spacing w:after="0" w:line="117" w:lineRule="exact"/>
        <w:rPr>
          <w:sz w:val="20"/>
          <w:szCs w:val="20"/>
          <w:color w:val="auto"/>
        </w:rPr>
      </w:pPr>
    </w:p>
    <w:p>
      <w:pPr>
        <w:ind w:left="1260" w:right="859" w:firstLine="360"/>
        <w:spacing w:after="0" w:line="263" w:lineRule="auto"/>
        <w:rPr>
          <w:sz w:val="20"/>
          <w:szCs w:val="20"/>
          <w:color w:val="auto"/>
        </w:rPr>
      </w:pPr>
      <w:r>
        <w:rPr>
          <w:rFonts w:ascii="Arial" w:cs="Arial" w:eastAsia="Arial" w:hAnsi="Arial"/>
          <w:sz w:val="18"/>
          <w:szCs w:val="18"/>
          <w:color w:val="auto"/>
        </w:rPr>
        <w:t>The pro forma adjustments related to the October 2019 follow-on offering, which we refer to as the “2019 Offering Adjustments,” are described in the notes to the unaudited pro forma consolidated financial information, and principally include the following:</w:t>
      </w:r>
    </w:p>
    <w:p>
      <w:pPr>
        <w:spacing w:after="0" w:line="116" w:lineRule="exact"/>
        <w:rPr>
          <w:sz w:val="20"/>
          <w:szCs w:val="20"/>
          <w:color w:val="auto"/>
        </w:rPr>
      </w:pPr>
    </w:p>
    <w:p>
      <w:pPr>
        <w:ind w:left="1980" w:right="679" w:hanging="352"/>
        <w:spacing w:after="0" w:line="259" w:lineRule="auto"/>
        <w:tabs>
          <w:tab w:leader="none" w:pos="1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net exercise by certain of our executive officers immediately prior to the pricing of the October 2019 follow-on offering of vested options and the issuance of Class A common stock upon such net exercise, which shares of Class A common stock were purchased by us with the net proceeds of the October 2019 follow-on offering;</w:t>
      </w:r>
    </w:p>
    <w:p>
      <w:pPr>
        <w:spacing w:after="0" w:line="119" w:lineRule="exact"/>
        <w:rPr>
          <w:rFonts w:ascii="Arial" w:cs="Arial" w:eastAsia="Arial" w:hAnsi="Arial"/>
          <w:sz w:val="18"/>
          <w:szCs w:val="18"/>
          <w:color w:val="auto"/>
        </w:rPr>
      </w:pPr>
    </w:p>
    <w:p>
      <w:pPr>
        <w:ind w:left="1980" w:right="859" w:hanging="352"/>
        <w:spacing w:after="0" w:line="263" w:lineRule="auto"/>
        <w:tabs>
          <w:tab w:leader="none" w:pos="1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issuance of shares of Class A common stock to the purchasers in the October 2019 follow-on offering, in exchange for net proceeds of approximately $810.0 million, after deducting underwriting discounts and commissions but before deducting offering expenses;</w:t>
      </w:r>
    </w:p>
    <w:p>
      <w:pPr>
        <w:spacing w:after="0" w:line="116" w:lineRule="exact"/>
        <w:rPr>
          <w:rFonts w:ascii="Arial" w:cs="Arial" w:eastAsia="Arial" w:hAnsi="Arial"/>
          <w:sz w:val="18"/>
          <w:szCs w:val="18"/>
          <w:color w:val="auto"/>
        </w:rPr>
      </w:pPr>
    </w:p>
    <w:p>
      <w:pPr>
        <w:ind w:left="1980" w:right="679" w:hanging="352"/>
        <w:spacing w:after="0" w:line="257" w:lineRule="auto"/>
        <w:tabs>
          <w:tab w:leader="none" w:pos="1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application of all the net proceeds from the October 2019 follow-on offering to purchase issued and outstanding LLC Interests from certain of the Selling LLC Owners and issued and outstanding shares of Class A common stock from certain of our executive officers following the Net Exercise, at a purchase price per interest and share equal to the public offering price of Class A common stock, less the underwriting discounts and commissions payable thereon;</w:t>
      </w:r>
    </w:p>
    <w:p>
      <w:pPr>
        <w:spacing w:after="0" w:line="120" w:lineRule="exact"/>
        <w:rPr>
          <w:rFonts w:ascii="Arial" w:cs="Arial" w:eastAsia="Arial" w:hAnsi="Arial"/>
          <w:sz w:val="18"/>
          <w:szCs w:val="18"/>
          <w:color w:val="auto"/>
        </w:rPr>
      </w:pPr>
    </w:p>
    <w:p>
      <w:pPr>
        <w:ind w:left="1980" w:hanging="352"/>
        <w:spacing w:after="0"/>
        <w:tabs>
          <w:tab w:leader="none" w:pos="1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related effects of the Tax Receivable Agreement; and</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payment of fees and expenses related to the October 2019 follow-on offering.</w:t>
      </w:r>
    </w:p>
    <w:p>
      <w:pPr>
        <w:spacing w:after="0" w:line="117" w:lineRule="exact"/>
        <w:rPr>
          <w:sz w:val="20"/>
          <w:szCs w:val="20"/>
          <w:color w:val="auto"/>
        </w:rPr>
      </w:pPr>
    </w:p>
    <w:p>
      <w:pPr>
        <w:jc w:val="both"/>
        <w:ind w:left="1260" w:right="939" w:firstLine="360"/>
        <w:spacing w:after="0" w:line="263" w:lineRule="auto"/>
        <w:rPr>
          <w:sz w:val="20"/>
          <w:szCs w:val="20"/>
          <w:color w:val="auto"/>
        </w:rPr>
      </w:pPr>
      <w:r>
        <w:rPr>
          <w:rFonts w:ascii="Arial" w:cs="Arial" w:eastAsia="Arial" w:hAnsi="Arial"/>
          <w:sz w:val="18"/>
          <w:szCs w:val="18"/>
          <w:color w:val="auto"/>
        </w:rPr>
        <w:t>The pro forma adjustments related to this offering, which we refer to as the “Offering Adjustments,” are described in the notes to the unaudited pro forma consolidated financial information, and principally include the following:</w:t>
      </w:r>
    </w:p>
    <w:p>
      <w:pPr>
        <w:spacing w:after="0" w:line="116" w:lineRule="exact"/>
        <w:rPr>
          <w:sz w:val="20"/>
          <w:szCs w:val="20"/>
          <w:color w:val="auto"/>
        </w:rPr>
      </w:pPr>
    </w:p>
    <w:p>
      <w:pPr>
        <w:ind w:left="1980" w:hanging="352"/>
        <w:spacing w:after="0"/>
        <w:tabs>
          <w:tab w:leader="none" w:pos="1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Net Exercise;</w:t>
      </w:r>
    </w:p>
    <w:p>
      <w:pPr>
        <w:spacing w:after="0" w:line="157" w:lineRule="exact"/>
        <w:rPr>
          <w:rFonts w:ascii="Arial" w:cs="Arial" w:eastAsia="Arial" w:hAnsi="Arial"/>
          <w:sz w:val="18"/>
          <w:szCs w:val="18"/>
          <w:color w:val="auto"/>
        </w:rPr>
      </w:pPr>
    </w:p>
    <w:p>
      <w:pPr>
        <w:ind w:left="1980" w:right="739" w:hanging="352"/>
        <w:spacing w:after="0" w:line="279" w:lineRule="auto"/>
        <w:tabs>
          <w:tab w:leader="none" w:pos="19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issuance of shares of Class A common stock to the purchasers in this offering, in exchange for net proceeds of approximately $566.1 million, assuming the shares are offered at $53.16 per share (the closing price for our shares of Class A common stock on Nasdaq on April 16, 2020), after deducting underwriting discounts and commissions but before deducting offering expenses;</w:t>
      </w:r>
    </w:p>
    <w:p>
      <w:pPr>
        <w:spacing w:after="0" w:line="103" w:lineRule="exact"/>
        <w:rPr>
          <w:rFonts w:ascii="Arial" w:cs="Arial" w:eastAsia="Arial" w:hAnsi="Arial"/>
          <w:sz w:val="17"/>
          <w:szCs w:val="17"/>
          <w:color w:val="auto"/>
        </w:rPr>
      </w:pPr>
    </w:p>
    <w:p>
      <w:pPr>
        <w:ind w:left="1980" w:right="839" w:hanging="352"/>
        <w:spacing w:after="0" w:line="257" w:lineRule="auto"/>
        <w:tabs>
          <w:tab w:leader="none" w:pos="1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application of all the net proceeds from this offering to purchase issued and outstanding LLC Interests from the Selling LLC Owners and issued and outstanding shares of Class A common stock from certain of our executive officers following the Net Exercise, as applicable, at a purchase price per interest and share equal to the public offering price of Class A common stock, less the underwriting discounts and commissions payable thereon;</w:t>
      </w:r>
    </w:p>
    <w:p>
      <w:pPr>
        <w:spacing w:after="0" w:line="120" w:lineRule="exact"/>
        <w:rPr>
          <w:rFonts w:ascii="Arial" w:cs="Arial" w:eastAsia="Arial" w:hAnsi="Arial"/>
          <w:sz w:val="18"/>
          <w:szCs w:val="18"/>
          <w:color w:val="auto"/>
        </w:rPr>
      </w:pPr>
    </w:p>
    <w:p>
      <w:pPr>
        <w:ind w:left="1980" w:hanging="352"/>
        <w:spacing w:after="0"/>
        <w:tabs>
          <w:tab w:leader="none" w:pos="1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related effects of the Tax Receivable Agreement; and</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payment of fees and expenses related to this offering.</w:t>
      </w:r>
    </w:p>
    <w:p>
      <w:pPr>
        <w:sectPr>
          <w:pgSz w:w="11900" w:h="16838" w:orient="portrait"/>
          <w:cols w:equalWidth="0" w:num="1">
            <w:col w:w="10139"/>
          </w:cols>
          <w:pgMar w:left="320" w:top="131" w:right="1440" w:bottom="1440" w:gutter="0" w:footer="0" w:header="0"/>
        </w:sectPr>
      </w:pPr>
    </w:p>
    <w:p>
      <w:pPr>
        <w:spacing w:after="0" w:line="27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3" w:name="page94"/>
    <w:bookmarkEnd w:id="9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Except as otherwise indicated, the unaudited pro forma consolidated financial information presented assumes no exercise by the underwriters of their option to purchase additional shares of Class A common stock. In addition, the unaudited pro forma consolidated information presented does not give effect to exchanges of LLC Interests or other equity activity after December 31, 2019, other than such equity activity expected to be completed in connection with this offering.</w:t>
      </w:r>
    </w:p>
    <w:p>
      <w:pPr>
        <w:spacing w:after="0" w:line="80" w:lineRule="exact"/>
        <w:rPr>
          <w:sz w:val="20"/>
          <w:szCs w:val="20"/>
          <w:color w:val="auto"/>
        </w:rPr>
      </w:pPr>
    </w:p>
    <w:p>
      <w:pPr>
        <w:ind w:left="1260" w:right="1099" w:firstLine="360"/>
        <w:spacing w:after="0" w:line="277" w:lineRule="auto"/>
        <w:rPr>
          <w:sz w:val="20"/>
          <w:szCs w:val="20"/>
          <w:color w:val="auto"/>
        </w:rPr>
      </w:pPr>
      <w:r>
        <w:rPr>
          <w:rFonts w:ascii="Arial" w:cs="Arial" w:eastAsia="Arial" w:hAnsi="Arial"/>
          <w:sz w:val="18"/>
          <w:szCs w:val="18"/>
          <w:color w:val="auto"/>
        </w:rPr>
        <w:t>We refer to the transactions related to the IPO and Reorganization Adjustments, the 2019 Offering Adjustments and the Offering Adjustments collectively as the “Transactions.”</w:t>
      </w:r>
    </w:p>
    <w:p>
      <w:pPr>
        <w:spacing w:after="0" w:line="62"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As a public company, we have started, and will continue, to implement additional procedures and processes for the purpose of addressing the standards and requirements applicable to public companies. We incur additional expenses related to these steps and, among other things, additional directors’ and officers’ liability insurance, director fees, reporting requirements of the SEC, transfer agent fees, hiring additional accounting, legal and administrative personnel, increased auditing and legal fees and similar expenses. We have not included any pro forma adjustments relating to these costs.</w:t>
      </w:r>
    </w:p>
    <w:p>
      <w:pPr>
        <w:spacing w:after="0" w:line="70"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The pro forma adjustments are based upon available information and methodologies that are factually supportable and directly related to the Transactions, including this offering. The unaudited pro forma consolidated financial information includes various estimates which are subject to material change and may not be indicative of what our operations or financial position would have been had the Transactions, including this offering, taken place on the dates indicated, or that may be expected to occur in the future. For further discussion of these matters, see “Basis of Presentation” herein and “Management’s Discussion and Analysis of Financial Condition and Results of Operations” and the consolidated financial statements and related notes thereto appearing in the 2019 Form 10-K,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Tradeweb Markets Inc. and Subsidiaries</w:t>
      </w:r>
    </w:p>
    <w:p>
      <w:pPr>
        <w:jc w:val="center"/>
        <w:ind w:right="-459"/>
        <w:spacing w:after="0" w:line="221" w:lineRule="auto"/>
        <w:rPr>
          <w:sz w:val="20"/>
          <w:szCs w:val="20"/>
          <w:color w:val="auto"/>
        </w:rPr>
      </w:pPr>
      <w:r>
        <w:rPr>
          <w:rFonts w:ascii="Arial" w:cs="Arial" w:eastAsia="Arial" w:hAnsi="Arial"/>
          <w:sz w:val="18"/>
          <w:szCs w:val="18"/>
          <w:b w:val="1"/>
          <w:bCs w:val="1"/>
          <w:color w:val="auto"/>
        </w:rPr>
        <w:t>Unaudited Pro Forma Consolidated Statement of Financial Condition</w:t>
      </w:r>
    </w:p>
    <w:p>
      <w:pPr>
        <w:jc w:val="center"/>
        <w:ind w:right="-459"/>
        <w:spacing w:after="0" w:line="219" w:lineRule="auto"/>
        <w:rPr>
          <w:sz w:val="20"/>
          <w:szCs w:val="20"/>
          <w:color w:val="auto"/>
        </w:rPr>
      </w:pPr>
      <w:r>
        <w:rPr>
          <w:rFonts w:ascii="Arial" w:cs="Arial" w:eastAsia="Arial" w:hAnsi="Arial"/>
          <w:sz w:val="18"/>
          <w:szCs w:val="18"/>
          <w:b w:val="1"/>
          <w:bCs w:val="1"/>
          <w:color w:val="auto"/>
        </w:rPr>
        <w:t>as of December 31, 2019</w:t>
      </w:r>
    </w:p>
    <w:p>
      <w:pPr>
        <w:spacing w:after="0" w:line="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2"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6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Historical</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33"/>
        </w:trPr>
        <w:tc>
          <w:tcPr>
            <w:tcW w:w="6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Tradeweb</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7"/>
              </w:rPr>
              <w:t>Tradeweb</w:t>
            </w:r>
          </w:p>
        </w:tc>
        <w:tc>
          <w:tcPr>
            <w:tcW w:w="0" w:type="dxa"/>
            <w:vAlign w:val="bottom"/>
          </w:tcPr>
          <w:p>
            <w:pPr>
              <w:spacing w:after="0"/>
              <w:rPr>
                <w:sz w:val="1"/>
                <w:szCs w:val="1"/>
                <w:color w:val="auto"/>
              </w:rPr>
            </w:pPr>
          </w:p>
        </w:tc>
      </w:tr>
      <w:tr>
        <w:trPr>
          <w:trHeight w:val="162"/>
        </w:trPr>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75"/>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75"/>
              <w:spacing w:after="0"/>
              <w:rPr>
                <w:sz w:val="20"/>
                <w:szCs w:val="20"/>
                <w:color w:val="auto"/>
              </w:rPr>
            </w:pPr>
            <w:r>
              <w:rPr>
                <w:rFonts w:ascii="Arial" w:cs="Arial" w:eastAsia="Arial" w:hAnsi="Arial"/>
                <w:sz w:val="14"/>
                <w:szCs w:val="14"/>
                <w:b w:val="1"/>
                <w:bCs w:val="1"/>
                <w:color w:val="auto"/>
              </w:rPr>
              <w:t>Markets</w:t>
            </w:r>
          </w:p>
        </w:tc>
        <w:tc>
          <w:tcPr>
            <w:tcW w:w="0" w:type="dxa"/>
            <w:vAlign w:val="bottom"/>
          </w:tcPr>
          <w:p>
            <w:pPr>
              <w:spacing w:after="0"/>
              <w:rPr>
                <w:sz w:val="1"/>
                <w:szCs w:val="1"/>
                <w:color w:val="auto"/>
              </w:rPr>
            </w:pPr>
          </w:p>
        </w:tc>
      </w:tr>
      <w:tr>
        <w:trPr>
          <w:trHeight w:val="162"/>
        </w:trPr>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55"/>
              <w:spacing w:after="0"/>
              <w:rPr>
                <w:sz w:val="20"/>
                <w:szCs w:val="20"/>
                <w:color w:val="auto"/>
              </w:rPr>
            </w:pPr>
            <w:r>
              <w:rPr>
                <w:rFonts w:ascii="Arial" w:cs="Arial" w:eastAsia="Arial" w:hAnsi="Arial"/>
                <w:sz w:val="14"/>
                <w:szCs w:val="14"/>
                <w:b w:val="1"/>
                <w:bCs w:val="1"/>
                <w:color w:val="auto"/>
                <w:w w:val="98"/>
              </w:rPr>
              <w:t>Inc. and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Offering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55"/>
              <w:spacing w:after="0"/>
              <w:rPr>
                <w:sz w:val="20"/>
                <w:szCs w:val="20"/>
                <w:color w:val="auto"/>
              </w:rPr>
            </w:pPr>
            <w:r>
              <w:rPr>
                <w:rFonts w:ascii="Arial" w:cs="Arial" w:eastAsia="Arial" w:hAnsi="Arial"/>
                <w:sz w:val="14"/>
                <w:szCs w:val="14"/>
                <w:b w:val="1"/>
                <w:bCs w:val="1"/>
                <w:color w:val="auto"/>
                <w:w w:val="98"/>
              </w:rPr>
              <w:t>Inc. and</w:t>
            </w:r>
          </w:p>
        </w:tc>
        <w:tc>
          <w:tcPr>
            <w:tcW w:w="0" w:type="dxa"/>
            <w:vAlign w:val="bottom"/>
          </w:tcPr>
          <w:p>
            <w:pPr>
              <w:spacing w:after="0"/>
              <w:rPr>
                <w:sz w:val="1"/>
                <w:szCs w:val="1"/>
                <w:color w:val="auto"/>
              </w:rPr>
            </w:pPr>
          </w:p>
        </w:tc>
      </w:tr>
      <w:tr>
        <w:trPr>
          <w:trHeight w:val="185"/>
        </w:trPr>
        <w:tc>
          <w:tcPr>
            <w:tcW w:w="6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3"/>
              </w:rPr>
              <w:t>Subsidiaries</w:t>
            </w:r>
          </w:p>
        </w:tc>
        <w:tc>
          <w:tcPr>
            <w:tcW w:w="12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Adjustments</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3"/>
              </w:rPr>
              <w:t>Subsidiaries</w:t>
            </w:r>
          </w:p>
        </w:tc>
        <w:tc>
          <w:tcPr>
            <w:tcW w:w="0" w:type="dxa"/>
            <w:vAlign w:val="bottom"/>
          </w:tcPr>
          <w:p>
            <w:pPr>
              <w:spacing w:after="0"/>
              <w:rPr>
                <w:sz w:val="1"/>
                <w:szCs w:val="1"/>
                <w:color w:val="auto"/>
              </w:rPr>
            </w:pPr>
          </w:p>
        </w:tc>
      </w:tr>
      <w:tr>
        <w:trPr>
          <w:trHeight w:val="183"/>
        </w:trPr>
        <w:tc>
          <w:tcPr>
            <w:tcW w:w="6780" w:type="dxa"/>
            <w:vAlign w:val="bottom"/>
            <w:tcBorders>
              <w:top w:val="single" w:sz="8" w:color="CCEEFF"/>
            </w:tcBorders>
            <w:shd w:val="clear" w:color="auto" w:fill="CCEEFF"/>
          </w:tcPr>
          <w:p>
            <w:pPr>
              <w:ind w:left="3140"/>
              <w:spacing w:after="0" w:line="183" w:lineRule="exact"/>
              <w:rPr>
                <w:sz w:val="20"/>
                <w:szCs w:val="20"/>
                <w:color w:val="auto"/>
              </w:rPr>
            </w:pPr>
            <w:r>
              <w:rPr>
                <w:rFonts w:ascii="Arial" w:cs="Arial" w:eastAsia="Arial" w:hAnsi="Arial"/>
                <w:sz w:val="17"/>
                <w:szCs w:val="17"/>
                <w:b w:val="1"/>
                <w:bCs w:val="1"/>
                <w:color w:val="auto"/>
              </w:rPr>
              <w:t>Assets</w:t>
            </w: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240" w:type="dxa"/>
            <w:vAlign w:val="bottom"/>
            <w:gridSpan w:val="3"/>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460,711</w:t>
            </w:r>
          </w:p>
        </w:tc>
        <w:tc>
          <w:tcPr>
            <w:tcW w:w="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3"/>
          </w:tcPr>
          <w:p>
            <w:pPr>
              <w:jc w:val="right"/>
              <w:ind w:right="80"/>
              <w:spacing w:after="0" w:line="202" w:lineRule="exact"/>
              <w:rPr>
                <w:sz w:val="20"/>
                <w:szCs w:val="20"/>
                <w:color w:val="auto"/>
              </w:rPr>
            </w:pPr>
            <w:r>
              <w:rPr>
                <w:rFonts w:ascii="Arial" w:cs="Arial" w:eastAsia="Arial" w:hAnsi="Arial"/>
                <w:sz w:val="16"/>
                <w:szCs w:val="16"/>
                <w:color w:val="auto"/>
              </w:rPr>
              <w:t>(3,053)</w:t>
            </w:r>
            <w:r>
              <w:rPr>
                <w:rFonts w:ascii="Arial" w:cs="Arial" w:eastAsia="Arial" w:hAnsi="Arial"/>
                <w:sz w:val="23"/>
                <w:szCs w:val="23"/>
                <w:color w:val="auto"/>
                <w:vertAlign w:val="superscript"/>
              </w:rPr>
              <w:t>(1)</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457,658</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7"/>
                <w:szCs w:val="17"/>
                <w:color w:val="auto"/>
              </w:rPr>
              <w:t>Receivable from brokers and dealers and clearing organizations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30,641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30,641</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Deposits with clearing organizations</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9,724</w:t>
            </w: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7"/>
                <w:szCs w:val="17"/>
                <w:color w:val="auto"/>
              </w:rPr>
              <w:t>Accounts receivable, net of allowance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92,814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92,814</w:t>
            </w:r>
          </w:p>
        </w:tc>
        <w:tc>
          <w:tcPr>
            <w:tcW w:w="0" w:type="dxa"/>
            <w:vAlign w:val="bottom"/>
          </w:tcPr>
          <w:p>
            <w:pPr>
              <w:spacing w:after="0"/>
              <w:rPr>
                <w:sz w:val="1"/>
                <w:szCs w:val="1"/>
                <w:color w:val="auto"/>
              </w:rPr>
            </w:pPr>
          </w:p>
        </w:tc>
      </w:tr>
      <w:tr>
        <w:trPr>
          <w:trHeight w:val="175"/>
        </w:trPr>
        <w:tc>
          <w:tcPr>
            <w:tcW w:w="678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w w:val="97"/>
              </w:rPr>
              <w:t>Furniture, equipment, purchased software and leasehold improvements, net of accumulated</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40,405</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40,405</w:t>
            </w: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7"/>
                <w:szCs w:val="17"/>
                <w:color w:val="auto"/>
              </w:rPr>
              <w:t>Right-of-use assets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24,504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24,504</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Software development costs, net of accumulated amortization</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173,086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173,086</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7"/>
                <w:szCs w:val="17"/>
                <w:color w:val="auto"/>
              </w:rPr>
              <w:t>Intangible assets, net of accumulated amortization</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1,281,441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1,281,441</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2,694,797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2,694,797</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7"/>
                <w:szCs w:val="17"/>
                <w:color w:val="auto"/>
              </w:rPr>
              <w:t>Receivable from affiliates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2,525</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256,450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line="216" w:lineRule="exact"/>
              <w:rPr>
                <w:sz w:val="20"/>
                <w:szCs w:val="20"/>
                <w:color w:val="auto"/>
              </w:rPr>
            </w:pPr>
            <w:r>
              <w:rPr>
                <w:rFonts w:ascii="Arial" w:cs="Arial" w:eastAsia="Arial" w:hAnsi="Arial"/>
                <w:sz w:val="17"/>
                <w:szCs w:val="17"/>
                <w:color w:val="auto"/>
                <w:w w:val="92"/>
              </w:rPr>
              <w:t>132,753</w:t>
            </w:r>
            <w:r>
              <w:rPr>
                <w:rFonts w:ascii="Arial" w:cs="Arial" w:eastAsia="Arial" w:hAnsi="Arial"/>
                <w:sz w:val="25"/>
                <w:szCs w:val="25"/>
                <w:color w:val="auto"/>
                <w:w w:val="92"/>
                <w:vertAlign w:val="superscript"/>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389,203</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assets</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27,236</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27,236</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Total assets</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5,095,334</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129,700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5,225,034</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00"/>
              <w:spacing w:after="0"/>
              <w:rPr>
                <w:sz w:val="20"/>
                <w:szCs w:val="20"/>
                <w:color w:val="auto"/>
              </w:rPr>
            </w:pPr>
            <w:r>
              <w:rPr>
                <w:rFonts w:ascii="Arial" w:cs="Arial" w:eastAsia="Arial" w:hAnsi="Arial"/>
                <w:sz w:val="17"/>
                <w:szCs w:val="17"/>
                <w:b w:val="1"/>
                <w:bCs w:val="1"/>
                <w:color w:val="auto"/>
              </w:rPr>
              <w:t>Liabilities and Stockholders’ Equity</w:t>
            </w: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7"/>
                <w:szCs w:val="17"/>
                <w:color w:val="auto"/>
              </w:rPr>
              <w:t>Payable to brokers and dealers and clearing organizations</w:t>
            </w:r>
          </w:p>
        </w:tc>
        <w:tc>
          <w:tcPr>
            <w:tcW w:w="240" w:type="dxa"/>
            <w:vAlign w:val="bottom"/>
            <w:gridSpan w:val="3"/>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30,452</w:t>
            </w:r>
          </w:p>
        </w:tc>
        <w:tc>
          <w:tcPr>
            <w:tcW w:w="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30,452</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Accrued compensation</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119,415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119,415</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7"/>
                <w:szCs w:val="17"/>
                <w:color w:val="auto"/>
              </w:rPr>
              <w:t>Deferred revenue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23,990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23,990</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accrued expenses and other liabilities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32,834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32,834</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7"/>
                <w:szCs w:val="17"/>
                <w:color w:val="auto"/>
              </w:rPr>
              <w:t>Employee equity compensation payable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1,048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1,048</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Lease liability</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30,955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30,955</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7"/>
                <w:szCs w:val="17"/>
                <w:color w:val="auto"/>
              </w:rPr>
              <w:t>Payable to affiliates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1,506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1,506</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liability</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21,572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21,572</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7"/>
                <w:szCs w:val="17"/>
                <w:color w:val="auto"/>
              </w:rPr>
              <w:t>Tax receivable agreement liability</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240,817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ind w:right="140"/>
              <w:spacing w:after="0" w:line="229" w:lineRule="exact"/>
              <w:rPr>
                <w:sz w:val="20"/>
                <w:szCs w:val="20"/>
                <w:color w:val="auto"/>
              </w:rPr>
            </w:pPr>
            <w:r>
              <w:rPr>
                <w:rFonts w:ascii="Arial" w:cs="Arial" w:eastAsia="Arial" w:hAnsi="Arial"/>
                <w:sz w:val="17"/>
                <w:szCs w:val="17"/>
                <w:color w:val="auto"/>
              </w:rPr>
              <w:t>70,510</w:t>
            </w:r>
            <w:r>
              <w:rPr>
                <w:rFonts w:ascii="Arial" w:cs="Arial" w:eastAsia="Arial" w:hAnsi="Arial"/>
                <w:sz w:val="25"/>
                <w:szCs w:val="25"/>
                <w:color w:val="auto"/>
                <w:vertAlign w:val="superscript"/>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311,327</w:t>
            </w:r>
          </w:p>
        </w:tc>
        <w:tc>
          <w:tcPr>
            <w:tcW w:w="0" w:type="dxa"/>
            <w:vAlign w:val="bottom"/>
          </w:tcPr>
          <w:p>
            <w:pPr>
              <w:spacing w:after="0"/>
              <w:rPr>
                <w:sz w:val="1"/>
                <w:szCs w:val="1"/>
                <w:color w:val="auto"/>
              </w:rPr>
            </w:pPr>
          </w:p>
        </w:tc>
      </w:tr>
      <w:tr>
        <w:trPr>
          <w:trHeight w:val="209"/>
        </w:trPr>
        <w:tc>
          <w:tcPr>
            <w:tcW w:w="6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7"/>
                <w:szCs w:val="17"/>
                <w:b w:val="1"/>
                <w:bCs w:val="1"/>
                <w:color w:val="auto"/>
              </w:rPr>
              <w:t>Total liabilities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502,589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70,510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573,099</w:t>
            </w:r>
          </w:p>
        </w:tc>
        <w:tc>
          <w:tcPr>
            <w:tcW w:w="0" w:type="dxa"/>
            <w:vAlign w:val="bottom"/>
          </w:tcPr>
          <w:p>
            <w:pPr>
              <w:spacing w:after="0"/>
              <w:rPr>
                <w:sz w:val="1"/>
                <w:szCs w:val="1"/>
                <w:color w:val="auto"/>
              </w:rPr>
            </w:pPr>
          </w:p>
        </w:tc>
      </w:tr>
      <w:tr>
        <w:trPr>
          <w:trHeight w:val="196"/>
        </w:trPr>
        <w:tc>
          <w:tcPr>
            <w:tcW w:w="6780" w:type="dxa"/>
            <w:vAlign w:val="bottom"/>
          </w:tcPr>
          <w:p>
            <w:pPr>
              <w:spacing w:after="0"/>
              <w:rPr>
                <w:sz w:val="20"/>
                <w:szCs w:val="20"/>
                <w:color w:val="auto"/>
              </w:rPr>
            </w:pPr>
            <w:r>
              <w:rPr>
                <w:rFonts w:ascii="Arial" w:cs="Arial" w:eastAsia="Arial" w:hAnsi="Arial"/>
                <w:sz w:val="17"/>
                <w:szCs w:val="17"/>
                <w:b w:val="1"/>
                <w:bCs w:val="1"/>
                <w:color w:val="auto"/>
              </w:rPr>
              <w:t>Stockholders’ Equity</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Preferred stock, $.00001 par value; 250,000,000 shares authorized; none issued or</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outstanding</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80" w:type="dxa"/>
            <w:vAlign w:val="bottom"/>
          </w:tcPr>
          <w:p>
            <w:pPr>
              <w:spacing w:after="0" w:line="189" w:lineRule="exact"/>
              <w:rPr>
                <w:sz w:val="20"/>
                <w:szCs w:val="20"/>
                <w:color w:val="auto"/>
              </w:rPr>
            </w:pPr>
            <w:r>
              <w:rPr>
                <w:rFonts w:ascii="Arial" w:cs="Arial" w:eastAsia="Arial" w:hAnsi="Arial"/>
                <w:sz w:val="17"/>
                <w:szCs w:val="17"/>
                <w:color w:val="auto"/>
              </w:rPr>
              <w:t>Class A common stock, $.00001 par value; 1,000,000,000 shares authorized; 66,408,328</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vMerge w:val="restart"/>
          </w:tcPr>
          <w:p>
            <w:pPr>
              <w:jc w:val="right"/>
              <w:ind w:right="140"/>
              <w:spacing w:after="0" w:line="378"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3"/>
                <w:szCs w:val="13"/>
                <w:color w:val="auto"/>
              </w:rPr>
              <w:t>(3)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6780" w:type="dxa"/>
            <w:vAlign w:val="bottom"/>
          </w:tcPr>
          <w:p>
            <w:pPr>
              <w:ind w:left="180"/>
              <w:spacing w:after="0" w:line="189" w:lineRule="exact"/>
              <w:rPr>
                <w:sz w:val="20"/>
                <w:szCs w:val="20"/>
                <w:color w:val="auto"/>
              </w:rPr>
            </w:pPr>
            <w:r>
              <w:rPr>
                <w:rFonts w:ascii="Arial" w:cs="Arial" w:eastAsia="Arial" w:hAnsi="Arial"/>
                <w:sz w:val="17"/>
                <w:szCs w:val="17"/>
                <w:color w:val="auto"/>
                <w:w w:val="94"/>
              </w:rPr>
              <w:t>shares issued and outstanding, actual; 77,405,309 shares issued and outstanding, pro forma</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4"/>
              </w:rPr>
              <w:t>Class B common stock, $.00001 par value; 450,000,000 shares authorized; 96,933,192 shares</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issued and outstanding</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80" w:type="dxa"/>
            <w:vAlign w:val="bottom"/>
          </w:tcPr>
          <w:p>
            <w:pPr>
              <w:spacing w:after="0" w:line="189" w:lineRule="exact"/>
              <w:rPr>
                <w:sz w:val="20"/>
                <w:szCs w:val="20"/>
                <w:color w:val="auto"/>
              </w:rPr>
            </w:pPr>
            <w:r>
              <w:rPr>
                <w:rFonts w:ascii="Arial" w:cs="Arial" w:eastAsia="Arial" w:hAnsi="Arial"/>
                <w:sz w:val="17"/>
                <w:szCs w:val="17"/>
                <w:color w:val="auto"/>
                <w:w w:val="96"/>
              </w:rPr>
              <w:t>Class C common stock, $.00001 par value; 350,000,000 shares authorized; 8,328,983 shares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vMerge w:val="restart"/>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780" w:type="dxa"/>
            <w:vAlign w:val="bottom"/>
          </w:tcPr>
          <w:p>
            <w:pPr>
              <w:ind w:left="180"/>
              <w:spacing w:after="0" w:line="189" w:lineRule="exact"/>
              <w:rPr>
                <w:sz w:val="20"/>
                <w:szCs w:val="20"/>
                <w:color w:val="auto"/>
              </w:rPr>
            </w:pPr>
            <w:r>
              <w:rPr>
                <w:rFonts w:ascii="Arial" w:cs="Arial" w:eastAsia="Arial" w:hAnsi="Arial"/>
                <w:sz w:val="17"/>
                <w:szCs w:val="17"/>
                <w:color w:val="auto"/>
              </w:rPr>
              <w:t>issued and outstanding, actual; 8,928,983 shares issued and outstanding, pro forma</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4"/>
              </w:rPr>
              <w:t>Class D common stock, $.00001 par value; 300,000,000 shares authorized; 50,853,172 shares</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3"/>
            <w:vMerge w:val="restart"/>
            <w:shd w:val="clear" w:color="auto" w:fill="CCEEFF"/>
          </w:tcPr>
          <w:p>
            <w:pPr>
              <w:jc w:val="right"/>
              <w:ind w:right="140"/>
              <w:spacing w:after="0" w:line="378"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3"/>
                <w:szCs w:val="13"/>
                <w:color w:val="auto"/>
              </w:rPr>
              <w:t>(3)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issued and outstanding, actual; 39,619,569 shares issued and outstanding, pro forma</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7"/>
                <w:szCs w:val="17"/>
                <w:color w:val="auto"/>
              </w:rPr>
              <w:t>Additional paid-in capital</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3,329,386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40"/>
              <w:spacing w:after="0" w:line="216" w:lineRule="exact"/>
              <w:rPr>
                <w:sz w:val="20"/>
                <w:szCs w:val="20"/>
                <w:color w:val="auto"/>
              </w:rPr>
            </w:pPr>
            <w:r>
              <w:rPr>
                <w:rFonts w:ascii="Arial" w:cs="Arial" w:eastAsia="Arial" w:hAnsi="Arial"/>
                <w:sz w:val="17"/>
                <w:szCs w:val="17"/>
                <w:color w:val="auto"/>
                <w:w w:val="92"/>
              </w:rPr>
              <w:t>277,733</w:t>
            </w:r>
            <w:r>
              <w:rPr>
                <w:rFonts w:ascii="Arial" w:cs="Arial" w:eastAsia="Arial" w:hAnsi="Arial"/>
                <w:sz w:val="25"/>
                <w:szCs w:val="25"/>
                <w:color w:val="auto"/>
                <w:w w:val="92"/>
                <w:vertAlign w:val="superscript"/>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3,607,119</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income</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1,366</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7"/>
                <w:szCs w:val="17"/>
                <w:color w:val="auto"/>
              </w:rPr>
              <w:t>Retained earnings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47,833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47,833</w:t>
            </w:r>
          </w:p>
        </w:tc>
        <w:tc>
          <w:tcPr>
            <w:tcW w:w="0" w:type="dxa"/>
            <w:vAlign w:val="bottom"/>
          </w:tcPr>
          <w:p>
            <w:pPr>
              <w:spacing w:after="0"/>
              <w:rPr>
                <w:sz w:val="1"/>
                <w:szCs w:val="1"/>
                <w:color w:val="auto"/>
              </w:rPr>
            </w:pPr>
          </w:p>
        </w:tc>
      </w:tr>
      <w:tr>
        <w:trPr>
          <w:trHeight w:val="196"/>
        </w:trPr>
        <w:tc>
          <w:tcPr>
            <w:tcW w:w="67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stockholders’ equity attributable to Tradeweb Markets Inc.</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3,378,588</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277,733</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3,656,321</w:t>
            </w: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7"/>
                <w:szCs w:val="17"/>
                <w:color w:val="auto"/>
              </w:rPr>
              <w:t>Non-controlling interests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1,214,157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ind w:right="80"/>
              <w:spacing w:after="0" w:line="229" w:lineRule="exact"/>
              <w:rPr>
                <w:sz w:val="20"/>
                <w:szCs w:val="20"/>
                <w:color w:val="auto"/>
              </w:rPr>
            </w:pPr>
            <w:r>
              <w:rPr>
                <w:rFonts w:ascii="Arial" w:cs="Arial" w:eastAsia="Arial" w:hAnsi="Arial"/>
                <w:sz w:val="17"/>
                <w:szCs w:val="17"/>
                <w:color w:val="auto"/>
                <w:w w:val="87"/>
              </w:rPr>
              <w:t>(218,543)</w:t>
            </w:r>
            <w:r>
              <w:rPr>
                <w:rFonts w:ascii="Arial" w:cs="Arial" w:eastAsia="Arial" w:hAnsi="Arial"/>
                <w:sz w:val="25"/>
                <w:szCs w:val="25"/>
                <w:color w:val="auto"/>
                <w:w w:val="87"/>
                <w:vertAlign w:val="superscript"/>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995,614</w:t>
            </w: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7"/>
                <w:szCs w:val="17"/>
                <w:b w:val="1"/>
                <w:bCs w:val="1"/>
                <w:color w:val="auto"/>
              </w:rPr>
              <w:t>Total equity</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4,592,745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59,190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4,651,935</w:t>
            </w:r>
          </w:p>
        </w:tc>
        <w:tc>
          <w:tcPr>
            <w:tcW w:w="0" w:type="dxa"/>
            <w:vAlign w:val="bottom"/>
          </w:tcPr>
          <w:p>
            <w:pPr>
              <w:spacing w:after="0"/>
              <w:rPr>
                <w:sz w:val="1"/>
                <w:szCs w:val="1"/>
                <w:color w:val="auto"/>
              </w:rPr>
            </w:pPr>
          </w:p>
        </w:tc>
      </w:tr>
      <w:tr>
        <w:trPr>
          <w:trHeight w:val="221"/>
        </w:trPr>
        <w:tc>
          <w:tcPr>
            <w:tcW w:w="6780" w:type="dxa"/>
            <w:vAlign w:val="bottom"/>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240" w:type="dxa"/>
            <w:vAlign w:val="bottom"/>
            <w:gridSpan w:val="3"/>
          </w:tcPr>
          <w:p>
            <w:pPr>
              <w:ind w:left="160"/>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5,095,334</w:t>
            </w:r>
          </w:p>
        </w:tc>
        <w:tc>
          <w:tcPr>
            <w:tcW w:w="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129,700</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gridSpan w:val="2"/>
          </w:tcPr>
          <w:p>
            <w:pPr>
              <w:ind w:left="20"/>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5,225,034</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-325120</wp:posOffset>
            </wp:positionV>
            <wp:extent cx="56832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8325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-607695</wp:posOffset>
            </wp:positionV>
            <wp:extent cx="56832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8325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-2510790</wp:posOffset>
            </wp:positionV>
            <wp:extent cx="56832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8325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-4173855</wp:posOffset>
            </wp:positionV>
            <wp:extent cx="56832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8325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-6128385</wp:posOffset>
            </wp:positionV>
            <wp:extent cx="61804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31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See accompanying Notes to Unaudited Pro Forma Consolidated Statement of Financial Condition.</w:t>
      </w:r>
    </w:p>
    <w:p>
      <w:pPr>
        <w:spacing w:after="0" w:line="10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40"/>
          </w:cols>
          <w:pgMar w:left="320" w:top="131" w:right="1339" w:bottom="1440" w:gutter="0" w:footer="0" w:header="0"/>
        </w:sectPr>
      </w:pPr>
    </w:p>
    <w:bookmarkStart w:id="95" w:name="page96"/>
    <w:bookmarkEnd w:id="9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Tradeweb Markets Inc. and Subsidiaries</w:t>
      </w:r>
    </w:p>
    <w:p>
      <w:pPr>
        <w:spacing w:after="0" w:line="2"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Notes to Unaudited Pro Forma Consolidated Statement of Financial Condition</w:t>
      </w:r>
    </w:p>
    <w:p>
      <w:pPr>
        <w:spacing w:after="0" w:line="74" w:lineRule="exact"/>
        <w:rPr>
          <w:sz w:val="20"/>
          <w:szCs w:val="20"/>
          <w:color w:val="auto"/>
        </w:rPr>
      </w:pPr>
    </w:p>
    <w:p>
      <w:pPr>
        <w:ind w:left="1620" w:right="999" w:hanging="352"/>
        <w:spacing w:after="0" w:line="286" w:lineRule="auto"/>
        <w:tabs>
          <w:tab w:leader="none" w:pos="16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following sets forth the estimated sources and uses of funds in connection with this offering, assuming the issuance of 10,950,000 shares of Class A common stock at a price of $53.16 per share (the closing price for our shares of Class A common stock on Nasdaq on April 16, 2020):</w:t>
      </w:r>
    </w:p>
    <w:p>
      <w:pPr>
        <w:spacing w:after="0" w:line="57"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i w:val="1"/>
          <w:iCs w:val="1"/>
          <w:color w:val="auto"/>
        </w:rPr>
        <w:t>Sources</w:t>
      </w:r>
      <w:r>
        <w:rPr>
          <w:rFonts w:ascii="Arial" w:cs="Arial" w:eastAsia="Arial" w:hAnsi="Arial"/>
          <w:sz w:val="18"/>
          <w:szCs w:val="18"/>
          <w:color w:val="auto"/>
        </w:rPr>
        <w:t>:</w:t>
      </w:r>
    </w:p>
    <w:p>
      <w:pPr>
        <w:spacing w:after="0" w:line="144" w:lineRule="exact"/>
        <w:rPr>
          <w:rFonts w:ascii="Arial" w:cs="Arial" w:eastAsia="Arial" w:hAnsi="Arial"/>
          <w:sz w:val="17"/>
          <w:szCs w:val="17"/>
          <w:color w:val="auto"/>
        </w:rPr>
      </w:pPr>
    </w:p>
    <w:p>
      <w:pPr>
        <w:ind w:left="2340" w:hanging="352"/>
        <w:spacing w:after="0"/>
        <w:tabs>
          <w:tab w:leader="none" w:pos="2340" w:val="left"/>
        </w:tabs>
        <w:numPr>
          <w:ilvl w:val="1"/>
          <w:numId w:val="74"/>
        </w:numPr>
        <w:rPr>
          <w:rFonts w:ascii="Arial" w:cs="Arial" w:eastAsia="Arial" w:hAnsi="Arial"/>
          <w:sz w:val="17"/>
          <w:szCs w:val="17"/>
          <w:color w:val="auto"/>
        </w:rPr>
      </w:pPr>
      <w:r>
        <w:rPr>
          <w:rFonts w:ascii="Arial" w:cs="Arial" w:eastAsia="Arial" w:hAnsi="Arial"/>
          <w:sz w:val="17"/>
          <w:szCs w:val="17"/>
          <w:color w:val="auto"/>
        </w:rPr>
        <w:t>$582.1 million of gross cash proceeds to us from the offering of Class A common stock; and</w:t>
      </w:r>
    </w:p>
    <w:p>
      <w:pPr>
        <w:spacing w:after="0" w:line="155" w:lineRule="exact"/>
        <w:rPr>
          <w:rFonts w:ascii="Arial" w:cs="Arial" w:eastAsia="Arial" w:hAnsi="Arial"/>
          <w:sz w:val="17"/>
          <w:szCs w:val="17"/>
          <w:color w:val="auto"/>
        </w:rPr>
      </w:pPr>
    </w:p>
    <w:p>
      <w:pPr>
        <w:ind w:left="2340" w:hanging="352"/>
        <w:spacing w:after="0"/>
        <w:tabs>
          <w:tab w:leader="none" w:pos="23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$3.1 million of cash.</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Uses</w:t>
      </w:r>
      <w:r>
        <w:rPr>
          <w:rFonts w:ascii="Arial" w:cs="Arial" w:eastAsia="Arial" w:hAnsi="Arial"/>
          <w:sz w:val="18"/>
          <w:szCs w:val="18"/>
          <w:color w:val="auto"/>
        </w:rPr>
        <w:t>:</w:t>
      </w:r>
    </w:p>
    <w:p>
      <w:pPr>
        <w:spacing w:after="0" w:line="144" w:lineRule="exact"/>
        <w:rPr>
          <w:sz w:val="20"/>
          <w:szCs w:val="20"/>
          <w:color w:val="auto"/>
        </w:rPr>
      </w:pPr>
    </w:p>
    <w:p>
      <w:pPr>
        <w:ind w:left="2340" w:hanging="352"/>
        <w:spacing w:after="0"/>
        <w:tabs>
          <w:tab w:leader="none" w:pos="2340" w:val="left"/>
        </w:tabs>
        <w:numPr>
          <w:ilvl w:val="2"/>
          <w:numId w:val="75"/>
        </w:numPr>
        <w:rPr>
          <w:rFonts w:ascii="Arial" w:cs="Arial" w:eastAsia="Arial" w:hAnsi="Arial"/>
          <w:sz w:val="18"/>
          <w:szCs w:val="18"/>
          <w:color w:val="auto"/>
        </w:rPr>
      </w:pPr>
      <w:r>
        <w:rPr>
          <w:rFonts w:ascii="Arial" w:cs="Arial" w:eastAsia="Arial" w:hAnsi="Arial"/>
          <w:sz w:val="18"/>
          <w:szCs w:val="18"/>
          <w:color w:val="auto"/>
        </w:rPr>
        <w:t>we will use $16.0 million to pay underwriting discounts and commissions;</w:t>
      </w:r>
    </w:p>
    <w:p>
      <w:pPr>
        <w:spacing w:after="0" w:line="130" w:lineRule="exact"/>
        <w:rPr>
          <w:rFonts w:ascii="Arial" w:cs="Arial" w:eastAsia="Arial" w:hAnsi="Arial"/>
          <w:sz w:val="18"/>
          <w:szCs w:val="18"/>
          <w:color w:val="auto"/>
        </w:rPr>
      </w:pPr>
    </w:p>
    <w:p>
      <w:pPr>
        <w:ind w:left="2340" w:right="679" w:hanging="352"/>
        <w:spacing w:after="0" w:line="254" w:lineRule="auto"/>
        <w:tabs>
          <w:tab w:leader="none" w:pos="2340" w:val="left"/>
        </w:tabs>
        <w:numPr>
          <w:ilvl w:val="2"/>
          <w:numId w:val="75"/>
        </w:numPr>
        <w:rPr>
          <w:rFonts w:ascii="Arial" w:cs="Arial" w:eastAsia="Arial" w:hAnsi="Arial"/>
          <w:sz w:val="18"/>
          <w:szCs w:val="18"/>
          <w:color w:val="auto"/>
        </w:rPr>
      </w:pPr>
      <w:r>
        <w:rPr>
          <w:rFonts w:ascii="Arial" w:cs="Arial" w:eastAsia="Arial" w:hAnsi="Arial"/>
          <w:sz w:val="18"/>
          <w:szCs w:val="18"/>
          <w:color w:val="auto"/>
        </w:rPr>
        <w:t>we will use $566.1 million to purchase (i) 10,633,603 issued and outstanding LLC Interests (and cancel the corresponding shares of common stock) from the Selling LLC Owners and (ii) 316,397 issued and outstanding shares of Class A common stock from certain of our executive officers following the Net Exercise, as applicable (and cancel such shares of Class A common stock), at a purchase price per interest and share equal to the public offering price per share of Class A common stock, less the underwriting discounts and commissions payable thereon; and</w:t>
      </w:r>
    </w:p>
    <w:p>
      <w:pPr>
        <w:spacing w:after="0" w:line="113" w:lineRule="exact"/>
        <w:rPr>
          <w:rFonts w:ascii="Arial" w:cs="Arial" w:eastAsia="Arial" w:hAnsi="Arial"/>
          <w:sz w:val="18"/>
          <w:szCs w:val="18"/>
          <w:color w:val="auto"/>
        </w:rPr>
      </w:pPr>
    </w:p>
    <w:p>
      <w:pPr>
        <w:ind w:left="2340" w:right="879" w:hanging="352"/>
        <w:spacing w:after="0" w:line="263" w:lineRule="auto"/>
        <w:tabs>
          <w:tab w:leader="none" w:pos="2340" w:val="left"/>
        </w:tabs>
        <w:numPr>
          <w:ilvl w:val="2"/>
          <w:numId w:val="75"/>
        </w:numPr>
        <w:rPr>
          <w:rFonts w:ascii="Arial" w:cs="Arial" w:eastAsia="Arial" w:hAnsi="Arial"/>
          <w:sz w:val="18"/>
          <w:szCs w:val="18"/>
          <w:color w:val="auto"/>
        </w:rPr>
      </w:pPr>
      <w:r>
        <w:rPr>
          <w:rFonts w:ascii="Arial" w:cs="Arial" w:eastAsia="Arial" w:hAnsi="Arial"/>
          <w:sz w:val="18"/>
          <w:szCs w:val="18"/>
          <w:color w:val="auto"/>
        </w:rPr>
        <w:t>we will cause TWM LLC to use $3.1 million of cash on hand to pay a portion of estimated offering expenses, including certain legal, accounting and other related expenses associated with this offering.</w:t>
      </w:r>
    </w:p>
    <w:p>
      <w:pPr>
        <w:spacing w:after="0" w:line="75" w:lineRule="exact"/>
        <w:rPr>
          <w:rFonts w:ascii="Arial" w:cs="Arial" w:eastAsia="Arial" w:hAnsi="Arial"/>
          <w:sz w:val="18"/>
          <w:szCs w:val="18"/>
          <w:color w:val="auto"/>
        </w:rPr>
      </w:pPr>
    </w:p>
    <w:p>
      <w:pPr>
        <w:ind w:left="1620" w:right="879" w:hanging="352"/>
        <w:spacing w:after="0" w:line="263" w:lineRule="auto"/>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Reflects the effects of the Tax Receivable Agreement on our unaudited pro forma consolidated statement of financial condition as a result of our purchase of LLC Interests from certain of the Bank Stockholders using substantially all of the net proceeds from this offering.</w:t>
      </w:r>
    </w:p>
    <w:p>
      <w:pPr>
        <w:spacing w:after="0" w:line="75" w:lineRule="exact"/>
        <w:rPr>
          <w:rFonts w:ascii="Arial" w:cs="Arial" w:eastAsia="Arial" w:hAnsi="Arial"/>
          <w:sz w:val="18"/>
          <w:szCs w:val="18"/>
          <w:color w:val="auto"/>
        </w:rPr>
      </w:pPr>
    </w:p>
    <w:p>
      <w:pPr>
        <w:ind w:left="1620" w:right="679"/>
        <w:spacing w:after="0" w:line="252" w:lineRule="auto"/>
        <w:rPr>
          <w:rFonts w:ascii="Arial" w:cs="Arial" w:eastAsia="Arial" w:hAnsi="Arial"/>
          <w:sz w:val="18"/>
          <w:szCs w:val="18"/>
          <w:color w:val="auto"/>
        </w:rPr>
      </w:pPr>
      <w:r>
        <w:rPr>
          <w:rFonts w:ascii="Arial" w:cs="Arial" w:eastAsia="Arial" w:hAnsi="Arial"/>
          <w:sz w:val="18"/>
          <w:szCs w:val="18"/>
          <w:color w:val="auto"/>
        </w:rPr>
        <w:t>Tradeweb Markets Inc. is subject to U.S. federal and state income taxes and files income tax returns in U.S. federal and certain state jurisdictions. We expect to obtain an increase in our share of the tax basis of the assets of TWM LLC when LLC Interests are redeemed or exchanged by the Continuing LLC Owners (including exchanges of LLC Interests for the net proceeds of this offering) and in connection with certain other qualifying transactions. This increase in tax basis may have the effect of reducing the amounts that we would otherwise pay in the future to various tax authorities. In connection with the IPO, we entered into the Tax Receivable Agreement with TWM LLC and the Continuing LLC Owners. Pursuant to the Tax Receivable Agreement, we are required to make cash payments to the Continuing LLC Owners equal to 50% of the amount of U.S. federal, state and local income or franchise tax savings, if any, that we actually realize (or in some circumstances are deemed to realize) as a result of certain future tax benefits to which we may become entitled. We expect to benefit from the remaining 50% of tax benefits, if any, that we may actually realize. See “Certain Relationships and Related Party Transactions — Related Party Transactions Entered Into in Connection With the IPO — Tax Receivable Agreement.”</w:t>
      </w:r>
    </w:p>
    <w:p>
      <w:pPr>
        <w:spacing w:after="0" w:line="89" w:lineRule="exact"/>
        <w:rPr>
          <w:rFonts w:ascii="Arial" w:cs="Arial" w:eastAsia="Arial" w:hAnsi="Arial"/>
          <w:sz w:val="18"/>
          <w:szCs w:val="18"/>
          <w:color w:val="auto"/>
        </w:rPr>
      </w:pPr>
    </w:p>
    <w:p>
      <w:pPr>
        <w:ind w:left="1620" w:right="699"/>
        <w:spacing w:after="0" w:line="253" w:lineRule="auto"/>
        <w:rPr>
          <w:rFonts w:ascii="Arial" w:cs="Arial" w:eastAsia="Arial" w:hAnsi="Arial"/>
          <w:sz w:val="18"/>
          <w:szCs w:val="18"/>
          <w:color w:val="auto"/>
        </w:rPr>
      </w:pPr>
      <w:r>
        <w:rPr>
          <w:rFonts w:ascii="Arial" w:cs="Arial" w:eastAsia="Arial" w:hAnsi="Arial"/>
          <w:sz w:val="18"/>
          <w:szCs w:val="18"/>
          <w:color w:val="auto"/>
        </w:rPr>
        <w:t>The tax benefit expected to be realized in connection with this offering of $141.0 million of amortizable tax basis will be amortized primarily over 15 years pursuant to Section 197 of the Internal Revenue Code, and other applicable depreciation rules. The tax basis has been recognized as a deferred tax asset in our unaudited pro forma consolidated statement of financial condition. The associated obligation to pay 50% of the tax savings (or $70.5 million) as the tax reduction is realized by us has been recognized as a tax receivable agreement liability in our unaudited pro forma condensed consolidated statement of financial condition. Cash and cash equivalents in the unaudited pro forma consolidated statement of financial condition have not been adjusted to reflect the impact of any potential future Tax Receivable Agreement payments or any remaining benefits that may be realized by us.</w:t>
      </w:r>
    </w:p>
    <w:p>
      <w:pPr>
        <w:spacing w:after="0" w:line="86" w:lineRule="exact"/>
        <w:rPr>
          <w:rFonts w:ascii="Arial" w:cs="Arial" w:eastAsia="Arial" w:hAnsi="Arial"/>
          <w:sz w:val="18"/>
          <w:szCs w:val="18"/>
          <w:color w:val="auto"/>
        </w:rPr>
      </w:pPr>
    </w:p>
    <w:p>
      <w:pPr>
        <w:ind w:left="1620" w:right="699"/>
        <w:spacing w:after="0" w:line="291" w:lineRule="auto"/>
        <w:rPr>
          <w:rFonts w:ascii="Arial" w:cs="Arial" w:eastAsia="Arial" w:hAnsi="Arial"/>
          <w:sz w:val="18"/>
          <w:szCs w:val="18"/>
          <w:color w:val="auto"/>
        </w:rPr>
      </w:pPr>
      <w:r>
        <w:rPr>
          <w:rFonts w:ascii="Arial" w:cs="Arial" w:eastAsia="Arial" w:hAnsi="Arial"/>
          <w:sz w:val="16"/>
          <w:szCs w:val="16"/>
          <w:color w:val="auto"/>
        </w:rPr>
        <w:t>The deferred tax asset adjustment and the associated liability adjustment related to the Tax Receivable Agreement assume: (1) only exchanges associated with this offering and the use of proceeds therefrom,</w:t>
      </w:r>
    </w:p>
    <w:p>
      <w:pPr>
        <w:ind w:left="1900" w:hanging="272"/>
        <w:spacing w:after="0"/>
        <w:tabs>
          <w:tab w:leader="none" w:pos="1900" w:val="left"/>
        </w:tabs>
        <w:numPr>
          <w:ilvl w:val="1"/>
          <w:numId w:val="75"/>
        </w:numPr>
        <w:rPr>
          <w:rFonts w:ascii="Arial" w:cs="Arial" w:eastAsia="Arial" w:hAnsi="Arial"/>
          <w:sz w:val="17"/>
          <w:szCs w:val="17"/>
          <w:color w:val="auto"/>
        </w:rPr>
      </w:pPr>
      <w:r>
        <w:rPr>
          <w:rFonts w:ascii="Arial" w:cs="Arial" w:eastAsia="Arial" w:hAnsi="Arial"/>
          <w:sz w:val="17"/>
          <w:szCs w:val="17"/>
          <w:color w:val="auto"/>
        </w:rPr>
        <w:t>a share price based on an assumed public offering price of $53.16 per share (the closing price for</w:t>
      </w:r>
    </w:p>
    <w:p>
      <w:pPr>
        <w:sectPr>
          <w:pgSz w:w="11900" w:h="16838" w:orient="portrait"/>
          <w:cols w:equalWidth="0" w:num="1">
            <w:col w:w="10139"/>
          </w:cols>
          <w:pgMar w:left="320" w:top="131" w:right="1440" w:bottom="1440" w:gutter="0" w:footer="0" w:header="0"/>
        </w:sectPr>
      </w:pPr>
    </w:p>
    <w:p>
      <w:pPr>
        <w:spacing w:after="0" w:line="39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68065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6" w:name="page97"/>
    <w:bookmarkEnd w:id="9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620" w:right="859"/>
        <w:spacing w:after="0" w:line="263" w:lineRule="auto"/>
        <w:rPr>
          <w:sz w:val="20"/>
          <w:szCs w:val="20"/>
          <w:color w:val="auto"/>
        </w:rPr>
      </w:pPr>
      <w:r>
        <w:rPr>
          <w:rFonts w:ascii="Arial" w:cs="Arial" w:eastAsia="Arial" w:hAnsi="Arial"/>
          <w:sz w:val="18"/>
          <w:szCs w:val="18"/>
          <w:color w:val="auto"/>
        </w:rPr>
        <w:t>our shares of Class A common stock on Nasdaq on April 16, 2020), (3) a constant federal income tax rate of 21.0% and a constant state tax rate, (4) no material changes in tax law, (5) the ability to utilize tax attributes and (6) future Tax Receivable Agreement payments.</w:t>
      </w:r>
    </w:p>
    <w:p>
      <w:pPr>
        <w:spacing w:after="0" w:line="76" w:lineRule="exact"/>
        <w:rPr>
          <w:sz w:val="20"/>
          <w:szCs w:val="20"/>
          <w:color w:val="auto"/>
        </w:rPr>
      </w:pPr>
    </w:p>
    <w:p>
      <w:pPr>
        <w:ind w:left="1620" w:right="679"/>
        <w:spacing w:after="0" w:line="254" w:lineRule="auto"/>
        <w:rPr>
          <w:sz w:val="20"/>
          <w:szCs w:val="20"/>
          <w:color w:val="auto"/>
        </w:rPr>
      </w:pPr>
      <w:r>
        <w:rPr>
          <w:rFonts w:ascii="Arial" w:cs="Arial" w:eastAsia="Arial" w:hAnsi="Arial"/>
          <w:sz w:val="18"/>
          <w:szCs w:val="18"/>
          <w:color w:val="auto"/>
        </w:rPr>
        <w:t>We anticipate that we will account for the income tax effects resulting from future taxable exchanges of LLC Interests by Continuing LLC Owners for shares of our Class A common stock or Class B common stock or cash by recognizing an increase in our deferred tax assets, based on enacted tax rates at the date of each exchange. 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w:t>
      </w:r>
    </w:p>
    <w:p>
      <w:pPr>
        <w:spacing w:after="0" w:line="87" w:lineRule="exact"/>
        <w:rPr>
          <w:sz w:val="20"/>
          <w:szCs w:val="20"/>
          <w:color w:val="auto"/>
        </w:rPr>
      </w:pPr>
    </w:p>
    <w:p>
      <w:pPr>
        <w:jc w:val="both"/>
        <w:ind w:left="1620" w:right="859"/>
        <w:spacing w:after="0" w:line="257" w:lineRule="auto"/>
        <w:rPr>
          <w:sz w:val="20"/>
          <w:szCs w:val="20"/>
          <w:color w:val="auto"/>
        </w:rPr>
      </w:pPr>
      <w:r>
        <w:rPr>
          <w:rFonts w:ascii="Arial" w:cs="Arial" w:eastAsia="Arial" w:hAnsi="Arial"/>
          <w:sz w:val="18"/>
          <w:szCs w:val="18"/>
          <w:color w:val="auto"/>
        </w:rPr>
        <w:t>The amounts to be recorded for both the deferred tax assets and the liability for our obligations under the Tax Receivable Agreement have been estimated. All of the effects of changes to both the deferred tax assets and our obligations under the Tax Receivable Agreement after the date of the purchase will be included in net income. Similarly, the effect of subsequent changes in the enacted tax rates will be included in net income.</w:t>
      </w:r>
    </w:p>
    <w:p>
      <w:pPr>
        <w:spacing w:after="0" w:line="80" w:lineRule="exact"/>
        <w:rPr>
          <w:sz w:val="20"/>
          <w:szCs w:val="20"/>
          <w:color w:val="auto"/>
        </w:rPr>
      </w:pPr>
    </w:p>
    <w:p>
      <w:pPr>
        <w:ind w:left="1620" w:right="679" w:hanging="352"/>
        <w:spacing w:after="0" w:line="253" w:lineRule="auto"/>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Reflects the (i) issuance of 10,950,000 shares of Class A common stock to the purchasers in this offering and (ii) cancellation and retirement of (x) an aggregate of 10,633,603 shares of Class C common stock and Class D common stock as a result of our purchase of outstanding LLC Interests from the Selling LLC Owners and (y) an aggregate of 316,397 shares of Class A common stock as a result of our purchase of outstanding shares of Class A common stock from certain of our executive officers following the Net Exercise, as applicable, in each case using the net proceeds from this offering. Each share of Class A common stock and Class C common stock entitles its holder to one vote on all matters presented to our stockholders generally. Each share of Class D common stock entitles its holder to ten votes on all matters presented to our stockholders generally. Holders of Class D common stock are not entitled to receive any distributions from or participate in any dividends declared by our board of directors.</w:t>
      </w:r>
    </w:p>
    <w:p>
      <w:pPr>
        <w:spacing w:after="0" w:line="70" w:lineRule="exact"/>
        <w:rPr>
          <w:rFonts w:ascii="Arial" w:cs="Arial" w:eastAsia="Arial" w:hAnsi="Arial"/>
          <w:sz w:val="18"/>
          <w:szCs w:val="18"/>
          <w:color w:val="auto"/>
        </w:rPr>
      </w:pPr>
    </w:p>
    <w:p>
      <w:pPr>
        <w:ind w:left="1620" w:hanging="352"/>
        <w:spacing w:after="0"/>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Reflects the effects on additional paid-in capital relating to the following (in thousands):</w:t>
      </w:r>
    </w:p>
    <w:p>
      <w:pPr>
        <w:spacing w:after="0" w:line="136"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32385</wp:posOffset>
            </wp:positionV>
            <wp:extent cx="4980305"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980305" cy="1714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9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Gross proceeds from offering of Class A common stock</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Payment of underwriting discounts and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14605</wp:posOffset>
            </wp:positionV>
            <wp:extent cx="4980305" cy="4375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80305" cy="437515"/>
                    </a:xfrm>
                    <a:prstGeom prst="rect">
                      <a:avLst/>
                    </a:prstGeom>
                    <a:noFill/>
                  </pic:spPr>
                </pic:pic>
              </a:graphicData>
            </a:graphic>
          </wp:anchor>
        </w:drawing>
      </w:r>
    </w:p>
    <w:p>
      <w:pPr>
        <w:spacing w:after="0" w:line="16" w:lineRule="exact"/>
        <w:rPr>
          <w:sz w:val="20"/>
          <w:szCs w:val="20"/>
          <w:color w:val="auto"/>
        </w:rPr>
      </w:pPr>
    </w:p>
    <w:p>
      <w:pPr>
        <w:ind w:left="1800" w:right="80" w:hanging="179"/>
        <w:spacing w:after="0" w:line="263" w:lineRule="auto"/>
        <w:rPr>
          <w:sz w:val="20"/>
          <w:szCs w:val="20"/>
          <w:color w:val="auto"/>
        </w:rPr>
      </w:pPr>
      <w:r>
        <w:rPr>
          <w:rFonts w:ascii="Arial" w:cs="Arial" w:eastAsia="Arial" w:hAnsi="Arial"/>
          <w:sz w:val="18"/>
          <w:szCs w:val="18"/>
          <w:color w:val="auto"/>
        </w:rPr>
        <w:t>Purchase of (i) LLC Interests (and cancellation of the corresponding shares of common stock) from the Selling LLC Owners and (ii) shares of Class A common stock (and cancellation of such shares) from certain executive officers</w:t>
      </w:r>
    </w:p>
    <w:p>
      <w:pPr>
        <w:spacing w:after="0" w:line="2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Payment of estimated offering costs other than underwriting discounts and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22225</wp:posOffset>
            </wp:positionV>
            <wp:extent cx="4980305" cy="3003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980305" cy="300355"/>
                    </a:xfrm>
                    <a:prstGeom prst="rect">
                      <a:avLst/>
                    </a:prstGeom>
                    <a:noFill/>
                  </pic:spPr>
                </pic:pic>
              </a:graphicData>
            </a:graphic>
          </wp:anchor>
        </w:drawing>
      </w:r>
    </w:p>
    <w:p>
      <w:pPr>
        <w:spacing w:after="0" w:line="28" w:lineRule="exact"/>
        <w:rPr>
          <w:sz w:val="20"/>
          <w:szCs w:val="20"/>
          <w:color w:val="auto"/>
        </w:rPr>
      </w:pPr>
    </w:p>
    <w:p>
      <w:pPr>
        <w:ind w:left="1800" w:hanging="179"/>
        <w:spacing w:after="0" w:line="277" w:lineRule="auto"/>
        <w:rPr>
          <w:sz w:val="20"/>
          <w:szCs w:val="20"/>
          <w:color w:val="auto"/>
        </w:rPr>
      </w:pPr>
      <w:r>
        <w:rPr>
          <w:rFonts w:ascii="Arial" w:cs="Arial" w:eastAsia="Arial" w:hAnsi="Arial"/>
          <w:sz w:val="18"/>
          <w:szCs w:val="18"/>
          <w:color w:val="auto"/>
        </w:rPr>
        <w:t>Difference between the deferred tax asset recognized and the Tax Receivable Agreement liability (see note 2)</w:t>
      </w:r>
    </w:p>
    <w:p>
      <w:pPr>
        <w:spacing w:after="0" w:line="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Portion allocated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23495</wp:posOffset>
            </wp:positionV>
            <wp:extent cx="4980305"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80305" cy="188595"/>
                    </a:xfrm>
                    <a:prstGeom prst="rect">
                      <a:avLst/>
                    </a:prstGeom>
                    <a:noFill/>
                  </pic:spPr>
                </pic:pic>
              </a:graphicData>
            </a:graphic>
          </wp:anchor>
        </w:drawing>
      </w:r>
    </w:p>
    <w:p>
      <w:pPr>
        <w:spacing w:after="0" w:line="53"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Total adjustment to additional paid-in capital</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147" w:hanging="147"/>
        <w:spacing w:after="0"/>
        <w:tabs>
          <w:tab w:leader="none" w:pos="147" w:val="left"/>
        </w:tabs>
        <w:numPr>
          <w:ilvl w:val="0"/>
          <w:numId w:val="77"/>
        </w:numPr>
        <w:rPr>
          <w:rFonts w:ascii="Arial" w:cs="Arial" w:eastAsia="Arial" w:hAnsi="Arial"/>
          <w:sz w:val="18"/>
          <w:szCs w:val="18"/>
          <w:color w:val="auto"/>
        </w:rPr>
      </w:pPr>
      <w:r>
        <w:rPr>
          <w:rFonts w:ascii="Arial" w:cs="Arial" w:eastAsia="Arial" w:hAnsi="Arial"/>
          <w:sz w:val="18"/>
          <w:szCs w:val="18"/>
          <w:color w:val="auto"/>
        </w:rPr>
        <w:t>582,102</w:t>
      </w:r>
    </w:p>
    <w:p>
      <w:pPr>
        <w:spacing w:after="0" w:line="49" w:lineRule="exact"/>
        <w:rPr>
          <w:rFonts w:ascii="Arial" w:cs="Arial" w:eastAsia="Arial" w:hAnsi="Arial"/>
          <w:sz w:val="18"/>
          <w:szCs w:val="18"/>
          <w:color w:val="auto"/>
        </w:rPr>
      </w:pPr>
    </w:p>
    <w:p>
      <w:pPr>
        <w:ind w:left="187"/>
        <w:spacing w:after="0"/>
        <w:rPr>
          <w:rFonts w:ascii="Arial" w:cs="Arial" w:eastAsia="Arial" w:hAnsi="Arial"/>
          <w:sz w:val="18"/>
          <w:szCs w:val="18"/>
          <w:color w:val="auto"/>
        </w:rPr>
      </w:pPr>
      <w:r>
        <w:rPr>
          <w:rFonts w:ascii="Arial" w:cs="Arial" w:eastAsia="Arial" w:hAnsi="Arial"/>
          <w:sz w:val="16"/>
          <w:szCs w:val="16"/>
          <w:color w:val="auto"/>
        </w:rPr>
        <w:t>(16,008)</w:t>
      </w:r>
    </w:p>
    <w:p>
      <w:pPr>
        <w:spacing w:after="0" w:line="200" w:lineRule="exact"/>
        <w:rPr>
          <w:sz w:val="20"/>
          <w:szCs w:val="20"/>
          <w:color w:val="auto"/>
        </w:rPr>
      </w:pPr>
    </w:p>
    <w:p>
      <w:pPr>
        <w:spacing w:after="0" w:line="291"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(566,094)</w:t>
      </w:r>
    </w:p>
    <w:p>
      <w:pPr>
        <w:spacing w:after="0" w:line="63"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(3,053)</w:t>
      </w:r>
    </w:p>
    <w:p>
      <w:pPr>
        <w:spacing w:after="0" w:line="252" w:lineRule="exact"/>
        <w:rPr>
          <w:sz w:val="20"/>
          <w:szCs w:val="20"/>
          <w:color w:val="auto"/>
        </w:rPr>
      </w:pPr>
    </w:p>
    <w:p>
      <w:pPr>
        <w:jc w:val="right"/>
        <w:ind w:right="659"/>
        <w:spacing w:after="0"/>
        <w:rPr>
          <w:sz w:val="20"/>
          <w:szCs w:val="20"/>
          <w:color w:val="auto"/>
        </w:rPr>
      </w:pPr>
      <w:r>
        <w:rPr>
          <w:rFonts w:ascii="Arial" w:cs="Arial" w:eastAsia="Arial" w:hAnsi="Arial"/>
          <w:sz w:val="18"/>
          <w:szCs w:val="18"/>
          <w:color w:val="auto"/>
        </w:rPr>
        <w:t>62,243</w:t>
      </w:r>
    </w:p>
    <w:p>
      <w:pPr>
        <w:spacing w:after="0" w:line="63" w:lineRule="exact"/>
        <w:rPr>
          <w:sz w:val="20"/>
          <w:szCs w:val="20"/>
          <w:color w:val="auto"/>
        </w:rPr>
      </w:pPr>
    </w:p>
    <w:p>
      <w:pPr>
        <w:jc w:val="right"/>
        <w:ind w:right="659"/>
        <w:spacing w:after="0"/>
        <w:rPr>
          <w:sz w:val="20"/>
          <w:szCs w:val="20"/>
          <w:color w:val="auto"/>
        </w:rPr>
      </w:pPr>
      <w:r>
        <w:rPr>
          <w:rFonts w:ascii="Arial" w:cs="Arial" w:eastAsia="Arial" w:hAnsi="Arial"/>
          <w:sz w:val="18"/>
          <w:szCs w:val="18"/>
          <w:color w:val="auto"/>
        </w:rPr>
        <w:t>218,543</w:t>
      </w:r>
    </w:p>
    <w:p>
      <w:pPr>
        <w:spacing w:after="0" w:line="77" w:lineRule="exact"/>
        <w:rPr>
          <w:sz w:val="20"/>
          <w:szCs w:val="20"/>
          <w:color w:val="auto"/>
        </w:rPr>
      </w:pPr>
    </w:p>
    <w:p>
      <w:pPr>
        <w:jc w:val="right"/>
        <w:ind w:right="659"/>
        <w:spacing w:after="0"/>
        <w:rPr>
          <w:sz w:val="20"/>
          <w:szCs w:val="20"/>
          <w:color w:val="auto"/>
        </w:rPr>
      </w:pPr>
      <w:r>
        <w:rPr>
          <w:rFonts w:ascii="Arial" w:cs="Arial" w:eastAsia="Arial" w:hAnsi="Arial"/>
          <w:sz w:val="16"/>
          <w:szCs w:val="16"/>
          <w:color w:val="auto"/>
        </w:rPr>
        <w:t>$ 277,733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55245</wp:posOffset>
            </wp:positionV>
            <wp:extent cx="47180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8320" w:space="413"/>
            <w:col w:w="1406"/>
          </w:cols>
          <w:pgMar w:left="320" w:top="131" w:right="1440" w:bottom="1440" w:gutter="0" w:footer="0" w:header="0"/>
          <w:type w:val="continuous"/>
        </w:sectPr>
      </w:pPr>
    </w:p>
    <w:p>
      <w:pPr>
        <w:spacing w:after="0" w:line="16" w:lineRule="exact"/>
        <w:rPr>
          <w:sz w:val="20"/>
          <w:szCs w:val="20"/>
          <w:color w:val="auto"/>
        </w:rPr>
      </w:pPr>
    </w:p>
    <w:p>
      <w:pPr>
        <w:ind w:left="1620" w:right="719" w:hanging="352"/>
        <w:spacing w:after="0" w:line="275" w:lineRule="auto"/>
        <w:tabs>
          <w:tab w:leader="none" w:pos="16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We are the sole manager of TWM LLC. As the sole manager of TWM LLC, we operate and control all of the business and affairs of TWM LLC and, through TWM LLC and its subsidiaries, conduct our business. As a result of this control, and because we have a substantial financial interest in TWM LLC, we consolidate the financial results of TWM LLC and report a non-controlling interest related to the LLC Interests held by the Continuing LLC Owners in our consolidated financial statements.</w:t>
      </w:r>
    </w:p>
    <w:p>
      <w:pPr>
        <w:spacing w:after="0" w:line="68" w:lineRule="exact"/>
        <w:rPr>
          <w:rFonts w:ascii="Arial" w:cs="Arial" w:eastAsia="Arial" w:hAnsi="Arial"/>
          <w:sz w:val="17"/>
          <w:szCs w:val="17"/>
          <w:color w:val="auto"/>
        </w:rPr>
      </w:pPr>
    </w:p>
    <w:p>
      <w:pPr>
        <w:ind w:left="1620" w:right="739"/>
        <w:spacing w:after="0" w:line="254" w:lineRule="auto"/>
        <w:rPr>
          <w:rFonts w:ascii="Arial" w:cs="Arial" w:eastAsia="Arial" w:hAnsi="Arial"/>
          <w:sz w:val="17"/>
          <w:szCs w:val="17"/>
          <w:color w:val="auto"/>
        </w:rPr>
      </w:pPr>
      <w:r>
        <w:rPr>
          <w:rFonts w:ascii="Arial" w:cs="Arial" w:eastAsia="Arial" w:hAnsi="Arial"/>
          <w:sz w:val="18"/>
          <w:szCs w:val="18"/>
          <w:color w:val="auto"/>
        </w:rPr>
        <w:t>Following this offering and the application of substantially all of the net proceeds from this offering to purchase issued and outstanding LLC Interests (and cancel the corresponding shares of common stock) from the Selling LLC Owners, we will own 174,338,501 LLC Interests, representing 78.2% of the economic interest of TWM LLC, and Continuing LLC Owners will own 48,548,552 LLC Interests, representing the remaining 21.8% of the economic interest of TWM LLC. This pro forma adjustment represents the adjustment to the carrying value of the non-controlling interests to reflect our increased ownership in TWM LLC.</w:t>
      </w:r>
    </w:p>
    <w:p>
      <w:pPr>
        <w:sectPr>
          <w:pgSz w:w="11900" w:h="16838" w:orient="portrait"/>
          <w:cols w:equalWidth="0" w:num="1">
            <w:col w:w="10139"/>
          </w:cols>
          <w:pgMar w:left="320" w:top="131" w:right="1440" w:bottom="1440" w:gutter="0" w:footer="0" w:header="0"/>
          <w:type w:val="continuous"/>
        </w:sectPr>
      </w:pPr>
    </w:p>
    <w:p>
      <w:pPr>
        <w:spacing w:after="0" w:line="37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7" w:name="page98"/>
    <w:bookmarkEnd w:id="9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719"/>
        <w:spacing w:after="0" w:line="254" w:lineRule="auto"/>
        <w:rPr>
          <w:sz w:val="20"/>
          <w:szCs w:val="20"/>
          <w:color w:val="auto"/>
        </w:rPr>
      </w:pPr>
      <w:r>
        <w:rPr>
          <w:rFonts w:ascii="Arial" w:cs="Arial" w:eastAsia="Arial" w:hAnsi="Arial"/>
          <w:sz w:val="18"/>
          <w:szCs w:val="18"/>
          <w:color w:val="auto"/>
        </w:rPr>
        <w:t>The LLC Interests held by the Continuing LLC Owners, representing the non-controlling interests, are redeemable at the election of such holders, for shares of Class A common stock or Class B common stock, as the case may be, on a one-for-one basis or, at our option, a cash payment in accordance with the terms of the TWM LLC Agreement. See “Certain Relationships and Related Party Transactions — Certain Transactions Entered Into in Connection With the IPO — TWM LLC Agreement” for additional information regarding redemption rights of the holders of LLC Interests and exchange rights of holders of Class C common stock and Class D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Tradeweb Markets Inc. and Subsidiaries</w:t>
      </w:r>
    </w:p>
    <w:p>
      <w:pPr>
        <w:jc w:val="center"/>
        <w:ind w:right="-399"/>
        <w:spacing w:after="0" w:line="221" w:lineRule="auto"/>
        <w:rPr>
          <w:sz w:val="20"/>
          <w:szCs w:val="20"/>
          <w:color w:val="auto"/>
        </w:rPr>
      </w:pPr>
      <w:r>
        <w:rPr>
          <w:rFonts w:ascii="Arial" w:cs="Arial" w:eastAsia="Arial" w:hAnsi="Arial"/>
          <w:sz w:val="18"/>
          <w:szCs w:val="18"/>
          <w:b w:val="1"/>
          <w:bCs w:val="1"/>
          <w:color w:val="auto"/>
        </w:rPr>
        <w:t>Unaudited Pro Forma Consolidated Statement of Income</w:t>
      </w:r>
    </w:p>
    <w:p>
      <w:pPr>
        <w:jc w:val="center"/>
        <w:ind w:right="-399"/>
        <w:spacing w:after="0" w:line="219" w:lineRule="auto"/>
        <w:rPr>
          <w:sz w:val="20"/>
          <w:szCs w:val="20"/>
          <w:color w:val="auto"/>
        </w:rPr>
      </w:pPr>
      <w:r>
        <w:rPr>
          <w:rFonts w:ascii="Arial" w:cs="Arial" w:eastAsia="Arial" w:hAnsi="Arial"/>
          <w:sz w:val="18"/>
          <w:szCs w:val="18"/>
          <w:b w:val="1"/>
          <w:bCs w:val="1"/>
          <w:color w:val="auto"/>
        </w:rPr>
        <w:t>For the Year Ended December 31, 2019</w:t>
      </w:r>
    </w:p>
    <w:p>
      <w:pPr>
        <w:spacing w:after="0" w:line="1"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2"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Historical</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9"/>
              </w:rPr>
              <w:t>Pro Forma</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97"/>
              </w:rPr>
              <w:t>Tradeweb</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Tradeweb</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rPr>
              <w:t>Markets</w:t>
            </w:r>
          </w:p>
        </w:tc>
        <w:tc>
          <w:tcPr>
            <w:tcW w:w="140" w:type="dxa"/>
            <w:vAlign w:val="bottom"/>
          </w:tcPr>
          <w:p>
            <w:pPr>
              <w:spacing w:after="0"/>
              <w:rPr>
                <w:sz w:val="14"/>
                <w:szCs w:val="14"/>
                <w:color w:val="auto"/>
              </w:rPr>
            </w:pPr>
          </w:p>
        </w:tc>
        <w:tc>
          <w:tcPr>
            <w:tcW w:w="9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IPO and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31"/>
              <w:spacing w:after="0"/>
              <w:rPr>
                <w:sz w:val="20"/>
                <w:szCs w:val="20"/>
                <w:color w:val="auto"/>
              </w:rPr>
            </w:pPr>
            <w:r>
              <w:rPr>
                <w:rFonts w:ascii="Arial" w:cs="Arial" w:eastAsia="Arial" w:hAnsi="Arial"/>
                <w:sz w:val="14"/>
                <w:szCs w:val="14"/>
                <w:b w:val="1"/>
                <w:bCs w:val="1"/>
                <w:color w:val="auto"/>
                <w:w w:val="92"/>
              </w:rPr>
              <w:t>As Adjusted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Markets</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98"/>
              </w:rPr>
              <w:t>Inc. and</w:t>
            </w:r>
          </w:p>
        </w:tc>
        <w:tc>
          <w:tcPr>
            <w:tcW w:w="2060" w:type="dxa"/>
            <w:vAlign w:val="bottom"/>
            <w:gridSpan w:val="11"/>
          </w:tcPr>
          <w:p>
            <w:pPr>
              <w:spacing w:after="0"/>
              <w:rPr>
                <w:sz w:val="20"/>
                <w:szCs w:val="20"/>
                <w:color w:val="auto"/>
              </w:rPr>
            </w:pPr>
            <w:r>
              <w:rPr>
                <w:rFonts w:ascii="Arial" w:cs="Arial" w:eastAsia="Arial" w:hAnsi="Arial"/>
                <w:sz w:val="14"/>
                <w:szCs w:val="14"/>
                <w:b w:val="1"/>
                <w:bCs w:val="1"/>
                <w:color w:val="auto"/>
              </w:rPr>
              <w:t>Reorganization 2019 Offering</w:t>
            </w:r>
          </w:p>
        </w:tc>
        <w:tc>
          <w:tcPr>
            <w:tcW w:w="880" w:type="dxa"/>
            <w:vAlign w:val="bottom"/>
            <w:gridSpan w:val="2"/>
          </w:tcPr>
          <w:p>
            <w:pPr>
              <w:jc w:val="center"/>
              <w:ind w:right="51"/>
              <w:spacing w:after="0"/>
              <w:rPr>
                <w:sz w:val="20"/>
                <w:szCs w:val="20"/>
                <w:color w:val="auto"/>
              </w:rPr>
            </w:pPr>
            <w:r>
              <w:rPr>
                <w:rFonts w:ascii="Arial" w:cs="Arial" w:eastAsia="Arial" w:hAnsi="Arial"/>
                <w:sz w:val="14"/>
                <w:szCs w:val="14"/>
                <w:b w:val="1"/>
                <w:bCs w:val="1"/>
                <w:color w:val="auto"/>
                <w:w w:val="95"/>
              </w:rPr>
              <w:t>Before this</w:t>
            </w:r>
          </w:p>
        </w:tc>
        <w:tc>
          <w:tcPr>
            <w:tcW w:w="80" w:type="dxa"/>
            <w:vAlign w:val="bottom"/>
          </w:tcPr>
          <w:p>
            <w:pPr>
              <w:spacing w:after="0"/>
              <w:rPr>
                <w:sz w:val="14"/>
                <w:szCs w:val="14"/>
                <w:color w:val="auto"/>
              </w:rPr>
            </w:pPr>
          </w:p>
        </w:tc>
        <w:tc>
          <w:tcPr>
            <w:tcW w:w="800" w:type="dxa"/>
            <w:vAlign w:val="bottom"/>
            <w:gridSpan w:val="4"/>
          </w:tcPr>
          <w:p>
            <w:pPr>
              <w:ind w:left="20"/>
              <w:spacing w:after="0"/>
              <w:rPr>
                <w:sz w:val="20"/>
                <w:szCs w:val="20"/>
                <w:color w:val="auto"/>
              </w:rPr>
            </w:pPr>
            <w:r>
              <w:rPr>
                <w:rFonts w:ascii="Arial" w:cs="Arial" w:eastAsia="Arial" w:hAnsi="Arial"/>
                <w:sz w:val="14"/>
                <w:szCs w:val="14"/>
                <w:b w:val="1"/>
                <w:bCs w:val="1"/>
                <w:color w:val="auto"/>
              </w:rPr>
              <w:t>Offering</w:t>
            </w: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 and</w:t>
            </w: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Subsidiaries</w:t>
            </w:r>
          </w:p>
        </w:tc>
        <w:tc>
          <w:tcPr>
            <w:tcW w:w="110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Adjustments</w:t>
            </w:r>
          </w:p>
        </w:tc>
        <w:tc>
          <w:tcPr>
            <w:tcW w:w="960" w:type="dxa"/>
            <w:vAlign w:val="bottom"/>
            <w:gridSpan w:val="5"/>
          </w:tcPr>
          <w:p>
            <w:pPr>
              <w:ind w:left="2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6"/>
                <w:szCs w:val="16"/>
                <w:color w:val="auto"/>
              </w:rPr>
            </w:pPr>
          </w:p>
        </w:tc>
        <w:tc>
          <w:tcPr>
            <w:tcW w:w="780" w:type="dxa"/>
            <w:vAlign w:val="bottom"/>
          </w:tcPr>
          <w:p>
            <w:pPr>
              <w:jc w:val="center"/>
              <w:ind w:right="111"/>
              <w:spacing w:after="0"/>
              <w:rPr>
                <w:sz w:val="20"/>
                <w:szCs w:val="20"/>
                <w:color w:val="auto"/>
              </w:rPr>
            </w:pPr>
            <w:r>
              <w:rPr>
                <w:rFonts w:ascii="Arial" w:cs="Arial" w:eastAsia="Arial" w:hAnsi="Arial"/>
                <w:sz w:val="14"/>
                <w:szCs w:val="14"/>
                <w:b w:val="1"/>
                <w:bCs w:val="1"/>
                <w:color w:val="auto"/>
                <w:w w:val="99"/>
              </w:rPr>
              <w:t>Offering</w:t>
            </w:r>
          </w:p>
        </w:tc>
        <w:tc>
          <w:tcPr>
            <w:tcW w:w="880" w:type="dxa"/>
            <w:vAlign w:val="bottom"/>
            <w:gridSpan w:val="5"/>
          </w:tcPr>
          <w:p>
            <w:pPr>
              <w:spacing w:after="0"/>
              <w:rPr>
                <w:sz w:val="20"/>
                <w:szCs w:val="20"/>
                <w:color w:val="auto"/>
              </w:rPr>
            </w:pPr>
            <w:r>
              <w:rPr>
                <w:rFonts w:ascii="Arial" w:cs="Arial" w:eastAsia="Arial" w:hAnsi="Arial"/>
                <w:sz w:val="14"/>
                <w:szCs w:val="14"/>
                <w:b w:val="1"/>
                <w:bCs w:val="1"/>
                <w:color w:val="auto"/>
                <w:w w:val="99"/>
              </w:rPr>
              <w:t>Adjustments</w:t>
            </w:r>
          </w:p>
        </w:tc>
        <w:tc>
          <w:tcPr>
            <w:tcW w:w="1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Subsidiaries</w:t>
            </w:r>
          </w:p>
        </w:tc>
        <w:tc>
          <w:tcPr>
            <w:tcW w:w="0" w:type="dxa"/>
            <w:vAlign w:val="bottom"/>
          </w:tcPr>
          <w:p>
            <w:pPr>
              <w:spacing w:after="0"/>
              <w:rPr>
                <w:sz w:val="1"/>
                <w:szCs w:val="1"/>
                <w:color w:val="auto"/>
              </w:rPr>
            </w:pPr>
          </w:p>
        </w:tc>
      </w:tr>
      <w:tr>
        <w:trPr>
          <w:trHeight w:val="26"/>
        </w:trPr>
        <w:tc>
          <w:tcPr>
            <w:tcW w:w="27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60" w:type="dxa"/>
            <w:vAlign w:val="bottom"/>
            <w:gridSpan w:val="3"/>
          </w:tcPr>
          <w:p>
            <w:pPr>
              <w:ind w:left="180"/>
              <w:spacing w:after="0"/>
              <w:rPr>
                <w:sz w:val="20"/>
                <w:szCs w:val="20"/>
                <w:color w:val="auto"/>
              </w:rPr>
            </w:pPr>
            <w:r>
              <w:rPr>
                <w:rFonts w:ascii="Arial" w:cs="Arial" w:eastAsia="Arial" w:hAnsi="Arial"/>
                <w:sz w:val="18"/>
                <w:szCs w:val="18"/>
                <w:color w:val="auto"/>
              </w:rPr>
              <w:t>Transaction fees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423,583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423,583</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423,583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Subscription fees</w:t>
            </w:r>
          </w:p>
        </w:tc>
        <w:tc>
          <w:tcPr>
            <w:tcW w:w="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138,731</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138,731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138,731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gridSpan w:val="3"/>
          </w:tcPr>
          <w:p>
            <w:pPr>
              <w:ind w:left="180"/>
              <w:spacing w:after="0"/>
              <w:rPr>
                <w:sz w:val="20"/>
                <w:szCs w:val="20"/>
                <w:color w:val="auto"/>
              </w:rPr>
            </w:pPr>
            <w:r>
              <w:rPr>
                <w:rFonts w:ascii="Arial" w:cs="Arial" w:eastAsia="Arial" w:hAnsi="Arial"/>
                <w:sz w:val="18"/>
                <w:szCs w:val="18"/>
                <w:color w:val="auto"/>
              </w:rPr>
              <w:t>Commissions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149,365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149,365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149,365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Refinitiv market data fees</w:t>
            </w:r>
          </w:p>
        </w:tc>
        <w:tc>
          <w:tcPr>
            <w:tcW w:w="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55,635</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55,635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60" w:type="dxa"/>
            <w:vAlign w:val="bottom"/>
            <w:gridSpan w:val="3"/>
          </w:tcPr>
          <w:p>
            <w:pPr>
              <w:ind w:left="180"/>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8,252</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8,252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8,252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Gross revenue</w:t>
            </w:r>
          </w:p>
        </w:tc>
        <w:tc>
          <w:tcPr>
            <w:tcW w:w="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775,566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775,566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60" w:type="dxa"/>
            <w:vAlign w:val="bottom"/>
            <w:gridSpan w:val="3"/>
          </w:tcPr>
          <w:p>
            <w:pPr>
              <w:ind w:left="180"/>
              <w:spacing w:after="0"/>
              <w:rPr>
                <w:sz w:val="20"/>
                <w:szCs w:val="20"/>
                <w:color w:val="auto"/>
              </w:rPr>
            </w:pPr>
            <w:r>
              <w:rPr>
                <w:rFonts w:ascii="Arial" w:cs="Arial" w:eastAsia="Arial" w:hAnsi="Arial"/>
                <w:sz w:val="18"/>
                <w:szCs w:val="18"/>
                <w:color w:val="auto"/>
              </w:rPr>
              <w:t>Contingent consideration</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775,566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775,566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Expenses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Employee compensation and benefits</w:t>
            </w:r>
          </w:p>
        </w:tc>
        <w:tc>
          <w:tcPr>
            <w:tcW w:w="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329,457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329,457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329,457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gridSpan w:val="3"/>
          </w:tcPr>
          <w:p>
            <w:pPr>
              <w:ind w:left="18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139,330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139,330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139,330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Technology and communications</w:t>
            </w:r>
          </w:p>
        </w:tc>
        <w:tc>
          <w:tcPr>
            <w:tcW w:w="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39,285</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39,285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gridSpan w:val="3"/>
          </w:tcPr>
          <w:p>
            <w:pPr>
              <w:ind w:left="180"/>
              <w:spacing w:after="0"/>
              <w:rPr>
                <w:sz w:val="20"/>
                <w:szCs w:val="20"/>
                <w:color w:val="auto"/>
              </w:rPr>
            </w:pPr>
            <w:r>
              <w:rPr>
                <w:rFonts w:ascii="Arial" w:cs="Arial" w:eastAsia="Arial" w:hAnsi="Arial"/>
                <w:sz w:val="18"/>
                <w:szCs w:val="18"/>
                <w:color w:val="auto"/>
              </w:rPr>
              <w:t>General and administrative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34,960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34,960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28,029</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28,029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60" w:type="dxa"/>
            <w:vAlign w:val="bottom"/>
            <w:gridSpan w:val="3"/>
          </w:tcPr>
          <w:p>
            <w:pPr>
              <w:ind w:left="180"/>
              <w:spacing w:after="0"/>
              <w:rPr>
                <w:sz w:val="20"/>
                <w:szCs w:val="20"/>
                <w:color w:val="auto"/>
              </w:rPr>
            </w:pPr>
            <w:r>
              <w:rPr>
                <w:rFonts w:ascii="Arial" w:cs="Arial" w:eastAsia="Arial" w:hAnsi="Arial"/>
                <w:sz w:val="18"/>
                <w:szCs w:val="18"/>
                <w:color w:val="auto"/>
              </w:rPr>
              <w:t>Occupancy</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14,686</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14,686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14,686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60" w:type="dxa"/>
            <w:vAlign w:val="bottom"/>
            <w:gridSpan w:val="3"/>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Total expenses</w:t>
            </w: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gridSpan w:val="3"/>
            <w:vMerge w:val="continue"/>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585,747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585,747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585,747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Operating income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2"/>
              </w:rPr>
              <w:t>189,819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189,819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189,819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Tax receivable agreement liability adjustment</w:t>
            </w:r>
          </w:p>
        </w:tc>
        <w:tc>
          <w:tcPr>
            <w:tcW w:w="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33,134</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33,134</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60" w:type="dxa"/>
            <w:vAlign w:val="bottom"/>
            <w:gridSpan w:val="3"/>
          </w:tcPr>
          <w:p>
            <w:pPr>
              <w:ind w:left="180"/>
              <w:spacing w:after="0"/>
              <w:rPr>
                <w:sz w:val="20"/>
                <w:szCs w:val="20"/>
                <w:color w:val="auto"/>
              </w:rPr>
            </w:pPr>
            <w:r>
              <w:rPr>
                <w:rFonts w:ascii="Arial" w:cs="Arial" w:eastAsia="Arial" w:hAnsi="Arial"/>
                <w:sz w:val="18"/>
                <w:szCs w:val="18"/>
                <w:color w:val="auto"/>
              </w:rPr>
              <w:t>Net interest income</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2,373</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2,373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60" w:type="dxa"/>
            <w:vAlign w:val="bottom"/>
            <w:tcBorders>
              <w:top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225,326</w:t>
            </w: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225,326</w:t>
            </w: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225,326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6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(52,302)</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4"/>
          </w:tcPr>
          <w:p>
            <w:pPr>
              <w:jc w:val="right"/>
              <w:ind w:right="20"/>
              <w:spacing w:after="0" w:line="270" w:lineRule="exact"/>
              <w:rPr>
                <w:sz w:val="20"/>
                <w:szCs w:val="20"/>
                <w:color w:val="auto"/>
              </w:rPr>
            </w:pPr>
            <w:r>
              <w:rPr>
                <w:rFonts w:ascii="Arial" w:cs="Arial" w:eastAsia="Arial" w:hAnsi="Arial"/>
                <w:sz w:val="18"/>
                <w:szCs w:val="18"/>
                <w:color w:val="auto"/>
                <w:w w:val="99"/>
              </w:rPr>
              <w:t>(5,156)</w:t>
            </w:r>
            <w:r>
              <w:rPr>
                <w:rFonts w:ascii="Arial" w:cs="Arial" w:eastAsia="Arial" w:hAnsi="Arial"/>
                <w:sz w:val="26"/>
                <w:szCs w:val="26"/>
                <w:color w:val="auto"/>
                <w:w w:val="99"/>
                <w:vertAlign w:val="superscript"/>
              </w:rPr>
              <w:t>(1)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4"/>
          </w:tcPr>
          <w:p>
            <w:pPr>
              <w:jc w:val="right"/>
              <w:spacing w:after="0" w:line="270" w:lineRule="exact"/>
              <w:rPr>
                <w:sz w:val="20"/>
                <w:szCs w:val="20"/>
                <w:color w:val="auto"/>
              </w:rPr>
            </w:pPr>
            <w:r>
              <w:rPr>
                <w:rFonts w:ascii="Arial" w:cs="Arial" w:eastAsia="Arial" w:hAnsi="Arial"/>
                <w:sz w:val="18"/>
                <w:szCs w:val="18"/>
                <w:color w:val="auto"/>
                <w:w w:val="99"/>
              </w:rPr>
              <w:t>(2,479)</w:t>
            </w:r>
            <w:r>
              <w:rPr>
                <w:rFonts w:ascii="Arial" w:cs="Arial" w:eastAsia="Arial" w:hAnsi="Arial"/>
                <w:sz w:val="26"/>
                <w:szCs w:val="26"/>
                <w:color w:val="auto"/>
                <w:w w:val="99"/>
                <w:vertAlign w:val="superscript"/>
              </w:rPr>
              <w:t>(1)</w:t>
            </w:r>
          </w:p>
        </w:tc>
        <w:tc>
          <w:tcPr>
            <w:tcW w:w="780" w:type="dxa"/>
            <w:vAlign w:val="bottom"/>
          </w:tcPr>
          <w:p>
            <w:pPr>
              <w:jc w:val="right"/>
              <w:spacing w:after="0"/>
              <w:rPr>
                <w:sz w:val="20"/>
                <w:szCs w:val="20"/>
                <w:color w:val="auto"/>
              </w:rPr>
            </w:pPr>
            <w:r>
              <w:rPr>
                <w:rFonts w:ascii="Arial" w:cs="Arial" w:eastAsia="Arial" w:hAnsi="Arial"/>
                <w:sz w:val="18"/>
                <w:szCs w:val="18"/>
                <w:color w:val="auto"/>
              </w:rPr>
              <w:t>(59,937)</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4"/>
          </w:tcPr>
          <w:p>
            <w:pPr>
              <w:jc w:val="right"/>
              <w:spacing w:after="0" w:line="270" w:lineRule="exact"/>
              <w:rPr>
                <w:sz w:val="20"/>
                <w:szCs w:val="20"/>
                <w:color w:val="auto"/>
              </w:rPr>
            </w:pPr>
            <w:r>
              <w:rPr>
                <w:rFonts w:ascii="Arial" w:cs="Arial" w:eastAsia="Arial" w:hAnsi="Arial"/>
                <w:sz w:val="18"/>
                <w:szCs w:val="18"/>
                <w:color w:val="auto"/>
              </w:rPr>
              <w:t>(901)</w:t>
            </w:r>
            <w:r>
              <w:rPr>
                <w:rFonts w:ascii="Arial" w:cs="Arial" w:eastAsia="Arial" w:hAnsi="Arial"/>
                <w:sz w:val="26"/>
                <w:szCs w:val="26"/>
                <w:color w:val="auto"/>
                <w:vertAlign w:val="superscript"/>
              </w:rPr>
              <w:t>(1)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(60,838)</w:t>
            </w:r>
          </w:p>
        </w:tc>
        <w:tc>
          <w:tcPr>
            <w:tcW w:w="0" w:type="dxa"/>
            <w:vAlign w:val="bottom"/>
          </w:tcPr>
          <w:p>
            <w:pPr>
              <w:spacing w:after="0"/>
              <w:rPr>
                <w:sz w:val="1"/>
                <w:szCs w:val="1"/>
                <w:color w:val="auto"/>
              </w:rPr>
            </w:pPr>
          </w:p>
        </w:tc>
      </w:tr>
      <w:tr>
        <w:trPr>
          <w:trHeight w:val="20"/>
        </w:trPr>
        <w:tc>
          <w:tcPr>
            <w:tcW w:w="27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173,024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(5,156)</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(2,479)</w:t>
            </w: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165,389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(901)</w:t>
            </w: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164,488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60" w:type="dxa"/>
            <w:vAlign w:val="bottom"/>
            <w:gridSpan w:val="3"/>
          </w:tcPr>
          <w:p>
            <w:pPr>
              <w:spacing w:after="0"/>
              <w:rPr>
                <w:sz w:val="20"/>
                <w:szCs w:val="20"/>
                <w:color w:val="auto"/>
              </w:rPr>
            </w:pPr>
            <w:r>
              <w:rPr>
                <w:rFonts w:ascii="Arial" w:cs="Arial" w:eastAsia="Arial" w:hAnsi="Arial"/>
                <w:sz w:val="18"/>
                <w:szCs w:val="18"/>
                <w:color w:val="auto"/>
                <w:w w:val="99"/>
              </w:rPr>
              <w:t>Less: Pre-IPO net income attributable to Tradeweb</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60" w:type="dxa"/>
            <w:vAlign w:val="bottom"/>
            <w:gridSpan w:val="3"/>
          </w:tcPr>
          <w:p>
            <w:pPr>
              <w:ind w:left="180"/>
              <w:spacing w:after="0"/>
              <w:rPr>
                <w:sz w:val="20"/>
                <w:szCs w:val="20"/>
                <w:color w:val="auto"/>
              </w:rPr>
            </w:pPr>
            <w:r>
              <w:rPr>
                <w:rFonts w:ascii="Arial" w:cs="Arial" w:eastAsia="Arial" w:hAnsi="Arial"/>
                <w:sz w:val="18"/>
                <w:szCs w:val="18"/>
                <w:color w:val="auto"/>
              </w:rPr>
              <w:t>Markets LLC</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42,352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(42,352)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 attributable to Tradeweb Markets Inc.</w:t>
            </w:r>
          </w:p>
        </w:tc>
        <w:tc>
          <w:tcPr>
            <w:tcW w:w="6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right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right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and non-controlling interests</w:t>
            </w: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130,672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37,196</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(2,479)</w:t>
            </w: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165,389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(901)</w:t>
            </w: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60" w:type="dxa"/>
            <w:vAlign w:val="bottom"/>
            <w:gridSpan w:val="3"/>
          </w:tcPr>
          <w:p>
            <w:pPr>
              <w:spacing w:after="0"/>
              <w:rPr>
                <w:sz w:val="20"/>
                <w:szCs w:val="20"/>
                <w:color w:val="auto"/>
              </w:rPr>
            </w:pPr>
            <w:r>
              <w:rPr>
                <w:rFonts w:ascii="Arial" w:cs="Arial" w:eastAsia="Arial" w:hAnsi="Arial"/>
                <w:sz w:val="18"/>
                <w:szCs w:val="18"/>
                <w:color w:val="auto"/>
              </w:rPr>
              <w:t>Less: Net income attributable to non-controlling</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color w:val="auto"/>
                <w:w w:val="94"/>
              </w:rPr>
              <w:t>18,804</w:t>
            </w:r>
            <w:r>
              <w:rPr>
                <w:rFonts w:ascii="Arial" w:cs="Arial" w:eastAsia="Arial" w:hAnsi="Arial"/>
                <w:sz w:val="26"/>
                <w:szCs w:val="26"/>
                <w:color w:val="auto"/>
                <w:w w:val="94"/>
                <w:vertAlign w:val="superscript"/>
              </w:rPr>
              <w:t>(2)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4"/>
            <w:vMerge w:val="restart"/>
          </w:tcPr>
          <w:p>
            <w:pPr>
              <w:jc w:val="right"/>
              <w:spacing w:after="0"/>
              <w:rPr>
                <w:sz w:val="20"/>
                <w:szCs w:val="20"/>
                <w:color w:val="auto"/>
              </w:rPr>
            </w:pPr>
            <w:r>
              <w:rPr>
                <w:rFonts w:ascii="Arial" w:cs="Arial" w:eastAsia="Arial" w:hAnsi="Arial"/>
                <w:sz w:val="18"/>
                <w:szCs w:val="18"/>
                <w:color w:val="auto"/>
                <w:w w:val="88"/>
              </w:rPr>
              <w:t>(16,448)</w:t>
            </w:r>
            <w:r>
              <w:rPr>
                <w:rFonts w:ascii="Arial" w:cs="Arial" w:eastAsia="Arial" w:hAnsi="Arial"/>
                <w:sz w:val="26"/>
                <w:szCs w:val="26"/>
                <w:color w:val="auto"/>
                <w:w w:val="88"/>
                <w:vertAlign w:val="superscript"/>
              </w:rPr>
              <w:t>(2)</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4"/>
            <w:vMerge w:val="restart"/>
          </w:tcPr>
          <w:p>
            <w:pPr>
              <w:jc w:val="right"/>
              <w:spacing w:after="0"/>
              <w:rPr>
                <w:sz w:val="20"/>
                <w:szCs w:val="20"/>
                <w:color w:val="auto"/>
              </w:rPr>
            </w:pPr>
            <w:r>
              <w:rPr>
                <w:rFonts w:ascii="Arial" w:cs="Arial" w:eastAsia="Arial" w:hAnsi="Arial"/>
                <w:sz w:val="18"/>
                <w:szCs w:val="18"/>
                <w:color w:val="auto"/>
                <w:w w:val="89"/>
              </w:rPr>
              <w:t>(9,147)</w:t>
            </w:r>
            <w:r>
              <w:rPr>
                <w:rFonts w:ascii="Arial" w:cs="Arial" w:eastAsia="Arial" w:hAnsi="Arial"/>
                <w:sz w:val="26"/>
                <w:szCs w:val="26"/>
                <w:color w:val="auto"/>
                <w:w w:val="89"/>
                <w:vertAlign w:val="superscript"/>
              </w:rPr>
              <w:t>(2)</w:t>
            </w: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60" w:type="dxa"/>
            <w:vAlign w:val="bottom"/>
            <w:gridSpan w:val="3"/>
          </w:tcPr>
          <w:p>
            <w:pPr>
              <w:ind w:left="180"/>
              <w:spacing w:after="0"/>
              <w:rPr>
                <w:sz w:val="20"/>
                <w:szCs w:val="20"/>
                <w:color w:val="auto"/>
              </w:rPr>
            </w:pPr>
            <w:r>
              <w:rPr>
                <w:rFonts w:ascii="Arial" w:cs="Arial" w:eastAsia="Arial" w:hAnsi="Arial"/>
                <w:sz w:val="18"/>
                <w:szCs w:val="18"/>
                <w:color w:val="auto"/>
              </w:rPr>
              <w:t>interests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46,903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4"/>
            <w:vMerge w:val="continue"/>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49,259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4"/>
            <w:vMerge w:val="continue"/>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40,112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6"/>
                <w:shd w:val="clear" w:color="auto" w:fill="CCEEFF"/>
              </w:rPr>
              <w:t xml:space="preserve">Net income attributable to Tradeweb Markets Inc. </w:t>
            </w:r>
            <w:r>
              <w:rPr>
                <w:rFonts w:ascii="Arial" w:cs="Arial" w:eastAsia="Arial" w:hAnsi="Arial"/>
                <w:sz w:val="18"/>
                <w:szCs w:val="18"/>
                <w:color w:val="auto"/>
                <w:w w:val="96"/>
                <w:shd w:val="clear" w:color="auto" w:fill="CCEEFF"/>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83,769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18,392</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13,969</w:t>
            </w:r>
          </w:p>
        </w:tc>
        <w:tc>
          <w:tcPr>
            <w:tcW w:w="12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shd w:val="clear" w:color="auto" w:fill="CCEEFF"/>
              </w:rPr>
              <w:t>116,130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shd w:val="clear" w:color="auto" w:fill="CCEEFF"/>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8,246</w:t>
            </w:r>
          </w:p>
        </w:tc>
        <w:tc>
          <w:tcPr>
            <w:tcW w:w="12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124,376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w w:val="93"/>
              </w:rPr>
              <w:t>Pro forma earnings per share data</w:t>
            </w:r>
          </w:p>
        </w:tc>
        <w:tc>
          <w:tcPr>
            <w:tcW w:w="180" w:type="dxa"/>
            <w:vAlign w:val="bottom"/>
            <w:tcBorders>
              <w:top w:val="single" w:sz="8" w:color="CCEEFF"/>
              <w:bottom w:val="single" w:sz="8" w:color="CCEEFF"/>
            </w:tcBorders>
            <w:vMerge w:val="restart"/>
          </w:tcPr>
          <w:p>
            <w:pPr>
              <w:jc w:val="right"/>
              <w:spacing w:after="0" w:line="129" w:lineRule="exact"/>
              <w:rPr>
                <w:sz w:val="20"/>
                <w:szCs w:val="20"/>
                <w:color w:val="auto"/>
              </w:rPr>
            </w:pPr>
            <w:r>
              <w:rPr>
                <w:rFonts w:ascii="Arial" w:cs="Arial" w:eastAsia="Arial" w:hAnsi="Arial"/>
                <w:sz w:val="13"/>
                <w:szCs w:val="13"/>
                <w:b w:val="1"/>
                <w:bCs w:val="1"/>
                <w:color w:val="auto"/>
              </w:rPr>
              <w:t>(3)</w:t>
            </w:r>
          </w:p>
        </w:tc>
        <w:tc>
          <w:tcPr>
            <w:tcW w:w="1120" w:type="dxa"/>
            <w:vAlign w:val="bottom"/>
            <w:tcBorders>
              <w:top w:val="single" w:sz="8" w:color="CCEEFF"/>
              <w:bottom w:val="single" w:sz="8" w:color="CCEEFF"/>
            </w:tcBorders>
            <w:vMerge w:val="restart"/>
          </w:tcPr>
          <w:p>
            <w:pPr>
              <w:jc w:val="right"/>
              <w:ind w:right="981"/>
              <w:spacing w:after="0"/>
              <w:rPr>
                <w:sz w:val="20"/>
                <w:szCs w:val="20"/>
                <w:color w:val="auto"/>
              </w:rPr>
            </w:pPr>
            <w:r>
              <w:rPr>
                <w:rFonts w:ascii="Arial" w:cs="Arial" w:eastAsia="Arial" w:hAnsi="Arial"/>
                <w:sz w:val="16"/>
                <w:szCs w:val="16"/>
                <w:b w:val="1"/>
                <w:bCs w:val="1"/>
                <w:u w:val="single" w:color="auto"/>
                <w:color w:val="auto"/>
                <w:w w:val="74"/>
              </w:rPr>
              <w:t>:</w:t>
            </w: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760" w:type="dxa"/>
            <w:vAlign w:val="bottom"/>
            <w:tcBorders>
              <w:bottom w:val="single" w:sz="8" w:color="CCEEFF"/>
            </w:tcBorders>
            <w:vMerge w:val="continue"/>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1120" w:type="dxa"/>
            <w:vAlign w:val="bottom"/>
            <w:tcBorders>
              <w:bottom w:val="single" w:sz="8" w:color="CCEEFF"/>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2760" w:type="dxa"/>
            <w:vAlign w:val="bottom"/>
            <w:tcBorders>
              <w:bottom w:val="single" w:sz="8" w:color="auto"/>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6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right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Basic</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60" w:type="dxa"/>
            <w:vAlign w:val="bottom"/>
            <w:gridSpan w:val="3"/>
          </w:tcPr>
          <w:p>
            <w:pPr>
              <w:spacing w:after="0"/>
              <w:rPr>
                <w:sz w:val="20"/>
                <w:szCs w:val="20"/>
                <w:color w:val="auto"/>
              </w:rPr>
            </w:pPr>
            <w:r>
              <w:rPr>
                <w:rFonts w:ascii="Arial" w:cs="Arial" w:eastAsia="Arial" w:hAnsi="Arial"/>
                <w:sz w:val="18"/>
                <w:szCs w:val="18"/>
                <w:color w:val="auto"/>
              </w:rPr>
              <w:t>Weighted average shares of Class A and Class B</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60" w:type="dxa"/>
            <w:vAlign w:val="bottom"/>
            <w:gridSpan w:val="3"/>
          </w:tcPr>
          <w:p>
            <w:pPr>
              <w:ind w:left="180"/>
              <w:spacing w:after="0"/>
              <w:rPr>
                <w:sz w:val="20"/>
                <w:szCs w:val="20"/>
                <w:color w:val="auto"/>
              </w:rPr>
            </w:pPr>
            <w:r>
              <w:rPr>
                <w:rFonts w:ascii="Arial" w:cs="Arial" w:eastAsia="Arial" w:hAnsi="Arial"/>
                <w:sz w:val="18"/>
                <w:szCs w:val="18"/>
                <w:color w:val="auto"/>
              </w:rPr>
              <w:t>common stock outstanding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174,338,501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60" w:type="dxa"/>
            <w:vAlign w:val="bottom"/>
            <w:gridSpan w:val="3"/>
          </w:tcPr>
          <w:p>
            <w:pPr>
              <w:ind w:left="180"/>
              <w:spacing w:after="0"/>
              <w:rPr>
                <w:sz w:val="20"/>
                <w:szCs w:val="20"/>
                <w:color w:val="auto"/>
              </w:rPr>
            </w:pPr>
            <w:r>
              <w:rPr>
                <w:rFonts w:ascii="Arial" w:cs="Arial" w:eastAsia="Arial" w:hAnsi="Arial"/>
                <w:sz w:val="18"/>
                <w:szCs w:val="18"/>
                <w:color w:val="auto"/>
              </w:rPr>
              <w:t>Diluted</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182,865,473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-796290</wp:posOffset>
            </wp:positionV>
            <wp:extent cx="55460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4609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-1482090</wp:posOffset>
            </wp:positionV>
            <wp:extent cx="1111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-1482090</wp:posOffset>
            </wp:positionV>
            <wp:extent cx="1200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-1482090</wp:posOffset>
            </wp:positionV>
            <wp:extent cx="1200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-1482090</wp:posOffset>
            </wp:positionV>
            <wp:extent cx="19685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-1482090</wp:posOffset>
            </wp:positionV>
            <wp:extent cx="32143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-2091055</wp:posOffset>
            </wp:positionV>
            <wp:extent cx="1111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-2091055</wp:posOffset>
            </wp:positionV>
            <wp:extent cx="1200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-2091055</wp:posOffset>
            </wp:positionV>
            <wp:extent cx="1200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-2091055</wp:posOffset>
            </wp:positionV>
            <wp:extent cx="1968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-2091055</wp:posOffset>
            </wp:positionV>
            <wp:extent cx="32143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-2562225</wp:posOffset>
            </wp:positionV>
            <wp:extent cx="1111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-2562225</wp:posOffset>
            </wp:positionV>
            <wp:extent cx="1200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-2562225</wp:posOffset>
            </wp:positionV>
            <wp:extent cx="1200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-2562225</wp:posOffset>
            </wp:positionV>
            <wp:extent cx="1968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-2562225</wp:posOffset>
            </wp:positionV>
            <wp:extent cx="32143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-2896870</wp:posOffset>
            </wp:positionV>
            <wp:extent cx="1111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-2896870</wp:posOffset>
            </wp:positionV>
            <wp:extent cx="12001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-2896870</wp:posOffset>
            </wp:positionV>
            <wp:extent cx="12001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-2896870</wp:posOffset>
            </wp:positionV>
            <wp:extent cx="19685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-2896870</wp:posOffset>
            </wp:positionV>
            <wp:extent cx="32143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214370"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-3394075</wp:posOffset>
            </wp:positionV>
            <wp:extent cx="342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-3565525</wp:posOffset>
            </wp:positionV>
            <wp:extent cx="1111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-3565525</wp:posOffset>
            </wp:positionV>
            <wp:extent cx="12001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-3565525</wp:posOffset>
            </wp:positionV>
            <wp:extent cx="12001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-3565525</wp:posOffset>
            </wp:positionV>
            <wp:extent cx="19685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-3565525</wp:posOffset>
            </wp:positionV>
            <wp:extent cx="32143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214370"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-4653915</wp:posOffset>
            </wp:positionV>
            <wp:extent cx="342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-4817110</wp:posOffset>
            </wp:positionV>
            <wp:extent cx="1111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-4817110</wp:posOffset>
            </wp:positionV>
            <wp:extent cx="1200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-4817110</wp:posOffset>
            </wp:positionV>
            <wp:extent cx="1200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-4817110</wp:posOffset>
            </wp:positionV>
            <wp:extent cx="1968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-4817110</wp:posOffset>
            </wp:positionV>
            <wp:extent cx="32143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-5133975</wp:posOffset>
            </wp:positionV>
            <wp:extent cx="1111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-5133975</wp:posOffset>
            </wp:positionV>
            <wp:extent cx="1200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-5133975</wp:posOffset>
            </wp:positionV>
            <wp:extent cx="1200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-5133975</wp:posOffset>
            </wp:positionV>
            <wp:extent cx="1968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-5133975</wp:posOffset>
            </wp:positionV>
            <wp:extent cx="32143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-6068695</wp:posOffset>
            </wp:positionV>
            <wp:extent cx="61804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3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See accompanying Notes to Unaudited Pro Forma Consolidated Statement of Income.</w:t>
      </w:r>
    </w:p>
    <w:p>
      <w:pPr>
        <w:spacing w:after="0" w:line="10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300"/>
          </w:cols>
          <w:pgMar w:left="320" w:top="131" w:right="1279" w:bottom="1440" w:gutter="0" w:footer="0" w:header="0"/>
        </w:sectPr>
      </w:pPr>
    </w:p>
    <w:bookmarkStart w:id="99" w:name="page100"/>
    <w:bookmarkEnd w:id="9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1540" w:right="1500"/>
        <w:spacing w:after="0" w:line="236" w:lineRule="auto"/>
        <w:rPr>
          <w:sz w:val="20"/>
          <w:szCs w:val="20"/>
          <w:color w:val="auto"/>
        </w:rPr>
      </w:pPr>
      <w:r>
        <w:rPr>
          <w:rFonts w:ascii="Arial" w:cs="Arial" w:eastAsia="Arial" w:hAnsi="Arial"/>
          <w:sz w:val="18"/>
          <w:szCs w:val="18"/>
          <w:b w:val="1"/>
          <w:bCs w:val="1"/>
          <w:color w:val="auto"/>
        </w:rPr>
        <w:t>Tradeweb Markets Inc. and Subsidiaries Notes to Unaudited Pro Forma Consolidated Statement of Income For the Year Ended December 31, 2019</w:t>
      </w:r>
    </w:p>
    <w:p>
      <w:pPr>
        <w:spacing w:after="0" w:line="82" w:lineRule="exact"/>
        <w:rPr>
          <w:sz w:val="20"/>
          <w:szCs w:val="20"/>
          <w:color w:val="auto"/>
        </w:rPr>
      </w:pPr>
    </w:p>
    <w:p>
      <w:pPr>
        <w:ind w:left="1620" w:right="739" w:hanging="352"/>
        <w:spacing w:after="0" w:line="270" w:lineRule="auto"/>
        <w:tabs>
          <w:tab w:leader="none" w:pos="16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TWM LLC has been, and will continue to be, treated as a partnership for U.S. federal and state income tax purposes. As such, income generated by TWM LLC will flow through to its partners, including us, and is generally not subject to tax at the TWM LLC level. TWM LLC or some of its subsidiaries, are subject to unincorporated business taxes on income earned, or losses incurred, by conducting business in certain state and local jurisdictions and income taxes in foreign jurisdictions on certain of their operations. Additionally, some subsidiaries are treated as a C corporation for U.S. federal and state income tax purposes and are therefore subject to income taxes on their income earned or losses incurred. As a result, the unaudited pro forma consolidated statement of income reflects adjustments to our income tax expense based on the following effective tax rate calculated as follows:</w:t>
      </w:r>
    </w:p>
    <w:p>
      <w:pPr>
        <w:spacing w:after="0" w:line="10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6"/>
              </w:rPr>
              <w:t>October</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IPO and</w:t>
            </w:r>
          </w:p>
        </w:tc>
        <w:tc>
          <w:tcPr>
            <w:tcW w:w="58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6"/>
              </w:rPr>
              <w:t>Reorganization</w:t>
            </w:r>
          </w:p>
        </w:tc>
        <w:tc>
          <w:tcPr>
            <w:tcW w:w="10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9"/>
              </w:rPr>
              <w:t>Offering</w:t>
            </w:r>
          </w:p>
        </w:tc>
        <w:tc>
          <w:tcPr>
            <w:tcW w:w="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Offering</w:t>
            </w:r>
          </w:p>
        </w:tc>
      </w:tr>
      <w:tr>
        <w:trPr>
          <w:trHeight w:val="186"/>
        </w:trPr>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6"/>
              </w:rPr>
              <w:t>Adjustments</w:t>
            </w:r>
          </w:p>
        </w:tc>
        <w:tc>
          <w:tcPr>
            <w:tcW w:w="10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6"/>
              </w:rPr>
              <w:t>Adjustments</w:t>
            </w:r>
          </w:p>
        </w:tc>
        <w:tc>
          <w:tcPr>
            <w:tcW w:w="8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4"/>
              </w:rPr>
              <w:t>Adjustments</w:t>
            </w:r>
          </w:p>
        </w:tc>
      </w:tr>
      <w:tr>
        <w:trPr>
          <w:trHeight w:val="26"/>
        </w:trPr>
        <w:tc>
          <w:tcPr>
            <w:tcW w:w="46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5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Tradeweb ownership percentage</w:t>
            </w:r>
          </w:p>
        </w:tc>
        <w:tc>
          <w:tcPr>
            <w:tcW w:w="11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64.3%</w:t>
            </w:r>
          </w:p>
        </w:tc>
        <w:tc>
          <w:tcPr>
            <w:tcW w:w="20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73.3%</w:t>
            </w:r>
          </w:p>
        </w:tc>
        <w:tc>
          <w:tcPr>
            <w:tcW w:w="1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78.2%</w:t>
            </w:r>
          </w:p>
        </w:tc>
      </w:tr>
      <w:tr>
        <w:trPr>
          <w:trHeight w:val="257"/>
        </w:trPr>
        <w:tc>
          <w:tcPr>
            <w:tcW w:w="4640" w:type="dxa"/>
            <w:vAlign w:val="bottom"/>
          </w:tcPr>
          <w:p>
            <w:pPr>
              <w:spacing w:after="0"/>
              <w:rPr>
                <w:sz w:val="20"/>
                <w:szCs w:val="20"/>
                <w:color w:val="auto"/>
              </w:rPr>
            </w:pPr>
            <w:r>
              <w:rPr>
                <w:rFonts w:ascii="Arial" w:cs="Arial" w:eastAsia="Arial" w:hAnsi="Arial"/>
                <w:sz w:val="18"/>
                <w:szCs w:val="18"/>
                <w:color w:val="auto"/>
              </w:rPr>
              <w:t>U.S. federal income tax rate</w:t>
            </w:r>
          </w:p>
        </w:tc>
        <w:tc>
          <w:tcPr>
            <w:tcW w:w="1180" w:type="dxa"/>
            <w:vAlign w:val="bottom"/>
            <w:gridSpan w:val="4"/>
          </w:tcPr>
          <w:p>
            <w:pPr>
              <w:jc w:val="right"/>
              <w:ind w:right="340"/>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22"/>
                <w:szCs w:val="22"/>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260" w:type="dxa"/>
            <w:vAlign w:val="bottom"/>
          </w:tcPr>
          <w:p>
            <w:pPr>
              <w:spacing w:after="0"/>
              <w:rPr>
                <w:sz w:val="22"/>
                <w:szCs w:val="22"/>
                <w:color w:val="auto"/>
              </w:rPr>
            </w:pPr>
          </w:p>
        </w:tc>
      </w:tr>
      <w:tr>
        <w:trPr>
          <w:trHeight w:val="257"/>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Less: rate attributable to non-controlling interest</w:t>
            </w:r>
          </w:p>
        </w:tc>
        <w:tc>
          <w:tcPr>
            <w:tcW w:w="11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r>
      <w:tr>
        <w:trPr>
          <w:trHeight w:val="256"/>
        </w:trPr>
        <w:tc>
          <w:tcPr>
            <w:tcW w:w="4640" w:type="dxa"/>
            <w:vAlign w:val="bottom"/>
          </w:tcPr>
          <w:p>
            <w:pPr>
              <w:spacing w:after="0"/>
              <w:rPr>
                <w:sz w:val="20"/>
                <w:szCs w:val="20"/>
                <w:color w:val="auto"/>
              </w:rPr>
            </w:pPr>
            <w:r>
              <w:rPr>
                <w:rFonts w:ascii="Arial" w:cs="Arial" w:eastAsia="Arial" w:hAnsi="Arial"/>
                <w:sz w:val="18"/>
                <w:szCs w:val="18"/>
                <w:color w:val="auto"/>
              </w:rPr>
              <w:t>State and local income taxes, net of federal tax benefit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22"/>
                <w:szCs w:val="22"/>
                <w:color w:val="auto"/>
              </w:rPr>
            </w:pPr>
          </w:p>
        </w:tc>
      </w:tr>
      <w:tr>
        <w:trPr>
          <w:trHeight w:val="257"/>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Tax receivable agreement adjustment</w:t>
            </w:r>
          </w:p>
        </w:tc>
        <w:tc>
          <w:tcPr>
            <w:tcW w:w="11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r>
      <w:tr>
        <w:trPr>
          <w:trHeight w:val="257"/>
        </w:trPr>
        <w:tc>
          <w:tcPr>
            <w:tcW w:w="4640" w:type="dxa"/>
            <w:vAlign w:val="bottom"/>
          </w:tcPr>
          <w:p>
            <w:pPr>
              <w:spacing w:after="0"/>
              <w:rPr>
                <w:sz w:val="20"/>
                <w:szCs w:val="20"/>
                <w:color w:val="auto"/>
              </w:rPr>
            </w:pPr>
            <w:r>
              <w:rPr>
                <w:rFonts w:ascii="Arial" w:cs="Arial" w:eastAsia="Arial" w:hAnsi="Arial"/>
                <w:sz w:val="18"/>
                <w:szCs w:val="18"/>
                <w:color w:val="auto"/>
              </w:rPr>
              <w:t>Rate change</w:t>
            </w:r>
          </w:p>
        </w:tc>
        <w:tc>
          <w:tcPr>
            <w:tcW w:w="1180" w:type="dxa"/>
            <w:vAlign w:val="bottom"/>
            <w:gridSpan w:val="4"/>
          </w:tcPr>
          <w:p>
            <w:pPr>
              <w:jc w:val="right"/>
              <w:ind w:right="34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22"/>
                <w:szCs w:val="22"/>
                <w:color w:val="auto"/>
              </w:rPr>
            </w:pPr>
          </w:p>
        </w:tc>
      </w:tr>
      <w:tr>
        <w:trPr>
          <w:trHeight w:val="263"/>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Foreign taxes and other</w:t>
            </w:r>
          </w:p>
        </w:tc>
        <w:tc>
          <w:tcPr>
            <w:tcW w:w="480" w:type="dxa"/>
            <w:vAlign w:val="bottom"/>
            <w:gridSpan w:val="2"/>
            <w:shd w:val="clear" w:color="auto" w:fill="CCEEFF"/>
          </w:tcPr>
          <w:p>
            <w:pPr>
              <w:spacing w:after="0"/>
              <w:rPr>
                <w:sz w:val="22"/>
                <w:szCs w:val="22"/>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r>
      <w:tr>
        <w:trPr>
          <w:trHeight w:val="20"/>
        </w:trPr>
        <w:tc>
          <w:tcPr>
            <w:tcW w:w="4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63"/>
        </w:trPr>
        <w:tc>
          <w:tcPr>
            <w:tcW w:w="4640" w:type="dxa"/>
            <w:vAlign w:val="bottom"/>
          </w:tcPr>
          <w:p>
            <w:pPr>
              <w:spacing w:after="0"/>
              <w:rPr>
                <w:sz w:val="20"/>
                <w:szCs w:val="20"/>
                <w:color w:val="auto"/>
              </w:rPr>
            </w:pPr>
            <w:r>
              <w:rPr>
                <w:rFonts w:ascii="Arial" w:cs="Arial" w:eastAsia="Arial" w:hAnsi="Arial"/>
                <w:sz w:val="18"/>
                <w:szCs w:val="18"/>
                <w:color w:val="auto"/>
              </w:rPr>
              <w:t>Effective tax rate</w:t>
            </w:r>
          </w:p>
        </w:tc>
        <w:tc>
          <w:tcPr>
            <w:tcW w:w="480" w:type="dxa"/>
            <w:vAlign w:val="bottom"/>
            <w:gridSpan w:val="2"/>
          </w:tcPr>
          <w:p>
            <w:pPr>
              <w:spacing w:after="0"/>
              <w:rPr>
                <w:sz w:val="22"/>
                <w:szCs w:val="2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25.5%</w:t>
            </w:r>
          </w:p>
        </w:tc>
        <w:tc>
          <w:tcPr>
            <w:tcW w:w="200" w:type="dxa"/>
            <w:vAlign w:val="bottom"/>
          </w:tcPr>
          <w:p>
            <w:pPr>
              <w:spacing w:after="0"/>
              <w:rPr>
                <w:sz w:val="22"/>
                <w:szCs w:val="22"/>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26.6%</w:t>
            </w:r>
          </w:p>
        </w:tc>
        <w:tc>
          <w:tcPr>
            <w:tcW w:w="180" w:type="dxa"/>
            <w:vAlign w:val="bottom"/>
          </w:tcPr>
          <w:p>
            <w:pPr>
              <w:spacing w:after="0"/>
              <w:rPr>
                <w:sz w:val="22"/>
                <w:szCs w:val="22"/>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27.0%</w:t>
            </w:r>
          </w:p>
        </w:tc>
      </w:tr>
      <w:tr>
        <w:trPr>
          <w:trHeight w:val="20"/>
        </w:trPr>
        <w:tc>
          <w:tcPr>
            <w:tcW w:w="4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-1362075</wp:posOffset>
            </wp:positionV>
            <wp:extent cx="1200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-1362075</wp:posOffset>
            </wp:positionV>
            <wp:extent cx="381444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155" w:lineRule="exact"/>
        <w:rPr>
          <w:sz w:val="20"/>
          <w:szCs w:val="20"/>
          <w:color w:val="auto"/>
        </w:rPr>
      </w:pPr>
    </w:p>
    <w:p>
      <w:pPr>
        <w:ind w:left="1620" w:right="859" w:hanging="352"/>
        <w:spacing w:after="0" w:line="255" w:lineRule="auto"/>
        <w:tabs>
          <w:tab w:leader="none" w:pos="1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Upon completion of the Reorganization Transactions, we became the sole manager of TWM LLC. As the sole manager of TWM LLC, we operate and control all of the business and affairs of TWM LLC and, through TWM LLC and its subsidiaries, conduct our business. As a result of this control, and because we have a substantial financial interest in TWM LLC, we consolidate the financial results of TWM LLC and report a non-controlling interest related to the LLC Interests held by the Continuing LLC Owners in our consolidated financial statements.</w:t>
      </w:r>
    </w:p>
    <w:p>
      <w:pPr>
        <w:spacing w:after="0" w:line="84" w:lineRule="exact"/>
        <w:rPr>
          <w:rFonts w:ascii="Arial" w:cs="Arial" w:eastAsia="Arial" w:hAnsi="Arial"/>
          <w:sz w:val="18"/>
          <w:szCs w:val="18"/>
          <w:color w:val="auto"/>
        </w:rPr>
      </w:pPr>
    </w:p>
    <w:p>
      <w:pPr>
        <w:ind w:left="1620" w:right="719"/>
        <w:spacing w:after="0" w:line="257" w:lineRule="auto"/>
        <w:rPr>
          <w:rFonts w:ascii="Arial" w:cs="Arial" w:eastAsia="Arial" w:hAnsi="Arial"/>
          <w:sz w:val="18"/>
          <w:szCs w:val="18"/>
          <w:color w:val="auto"/>
        </w:rPr>
      </w:pPr>
      <w:r>
        <w:rPr>
          <w:rFonts w:ascii="Arial" w:cs="Arial" w:eastAsia="Arial" w:hAnsi="Arial"/>
          <w:sz w:val="18"/>
          <w:szCs w:val="18"/>
          <w:color w:val="auto"/>
        </w:rPr>
        <w:t>Following the completion of the Reorganization Transactions and IPO, we owned 64.3% of the economic interest of TWM LLC and the Continuing LLC Owners owned 35.7% of the economic interest of TWM LLC, and as such, this adjustment reflects that 35.7% of TWM LLC’s net income was attributable to the non-controlling interests following the completion of the Reorganization Transactions and IPO.</w:t>
      </w:r>
    </w:p>
    <w:p>
      <w:pPr>
        <w:spacing w:after="0" w:line="79" w:lineRule="exact"/>
        <w:rPr>
          <w:rFonts w:ascii="Arial" w:cs="Arial" w:eastAsia="Arial" w:hAnsi="Arial"/>
          <w:sz w:val="18"/>
          <w:szCs w:val="18"/>
          <w:color w:val="auto"/>
        </w:rPr>
      </w:pPr>
    </w:p>
    <w:p>
      <w:pPr>
        <w:ind w:left="1620" w:right="679"/>
        <w:spacing w:after="0" w:line="279" w:lineRule="auto"/>
        <w:rPr>
          <w:rFonts w:ascii="Arial" w:cs="Arial" w:eastAsia="Arial" w:hAnsi="Arial"/>
          <w:sz w:val="18"/>
          <w:szCs w:val="18"/>
          <w:color w:val="auto"/>
        </w:rPr>
      </w:pPr>
      <w:r>
        <w:rPr>
          <w:rFonts w:ascii="Arial" w:cs="Arial" w:eastAsia="Arial" w:hAnsi="Arial"/>
          <w:sz w:val="17"/>
          <w:szCs w:val="17"/>
          <w:color w:val="auto"/>
        </w:rPr>
        <w:t>Following the completion of the October 2019 follow-on offering, we owned 73.3% of the economic interest of TWM LLC and the Continuing LLC Owners owned 26.7% of the economic interest of TWM LLC, and as such, this adjustment reflects that 26.7% of TWM LLC’s net income was attributable to the non-controlling interests following the completion of the October 2019 follow-on offering.</w:t>
      </w:r>
    </w:p>
    <w:p>
      <w:pPr>
        <w:spacing w:after="0" w:line="63" w:lineRule="exact"/>
        <w:rPr>
          <w:rFonts w:ascii="Arial" w:cs="Arial" w:eastAsia="Arial" w:hAnsi="Arial"/>
          <w:sz w:val="18"/>
          <w:szCs w:val="18"/>
          <w:color w:val="auto"/>
        </w:rPr>
      </w:pPr>
    </w:p>
    <w:p>
      <w:pPr>
        <w:ind w:left="1620" w:right="739"/>
        <w:spacing w:after="0" w:line="255" w:lineRule="auto"/>
        <w:rPr>
          <w:rFonts w:ascii="Arial" w:cs="Arial" w:eastAsia="Arial" w:hAnsi="Arial"/>
          <w:sz w:val="18"/>
          <w:szCs w:val="18"/>
          <w:color w:val="auto"/>
        </w:rPr>
      </w:pPr>
      <w:r>
        <w:rPr>
          <w:rFonts w:ascii="Arial" w:cs="Arial" w:eastAsia="Arial" w:hAnsi="Arial"/>
          <w:sz w:val="18"/>
          <w:szCs w:val="18"/>
          <w:color w:val="auto"/>
        </w:rPr>
        <w:t>Following this offering and the application of substantially all of the net proceeds from this offering to purchase issued and outstanding LLC Interests (and cancel the corresponding shares of common stock) from the Selling LLC Owners, we will own 78.2% of the economic interest of TWM LLC and the Continuing LLC Owners will own 21.8% of the economic interest of TWM LLC, and as such, this adjustment reflects that 21.8% of TWM LLC’s net income will be attributable to the non-controlling interests following this offering.</w:t>
      </w:r>
    </w:p>
    <w:p>
      <w:pPr>
        <w:spacing w:after="0" w:line="97" w:lineRule="exact"/>
        <w:rPr>
          <w:rFonts w:ascii="Arial" w:cs="Arial" w:eastAsia="Arial" w:hAnsi="Arial"/>
          <w:sz w:val="18"/>
          <w:szCs w:val="18"/>
          <w:color w:val="auto"/>
        </w:rPr>
      </w:pPr>
    </w:p>
    <w:p>
      <w:pPr>
        <w:ind w:left="1620" w:right="699" w:hanging="352"/>
        <w:spacing w:after="0" w:line="279" w:lineRule="auto"/>
        <w:tabs>
          <w:tab w:leader="none" w:pos="16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Pro forma basic earnings per share is computed by dividing the pro forma net income attributable to Tradeweb Markets Inc. by the pro forma weighted-average shares of Class A common stock and Class B common stock outstanding during the period. Pro forma diluted earnings per share is computed by adjusting pro forma net income attributable to Tradeweb Markets Inc. and the weighted</w:t>
      </w:r>
    </w:p>
    <w:p>
      <w:pPr>
        <w:spacing w:after="0" w:line="3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719"/>
        <w:spacing w:after="0" w:line="271" w:lineRule="auto"/>
        <w:rPr>
          <w:sz w:val="20"/>
          <w:szCs w:val="20"/>
          <w:color w:val="auto"/>
        </w:rPr>
      </w:pPr>
      <w:r>
        <w:rPr>
          <w:rFonts w:ascii="Arial" w:cs="Arial" w:eastAsia="Arial" w:hAnsi="Arial"/>
          <w:sz w:val="17"/>
          <w:szCs w:val="17"/>
          <w:color w:val="auto"/>
        </w:rPr>
        <w:t>average shares of Class A common stock and Class B common stock outstanding to give effect to potentially dilutive securities that qualify as participating securities using the treasury stock method, as applicable. Shares of Class C common stock and Class D common stock are not entitled to receive any distributions or dividends and, therefore, are not included in, as they are not participating securities for purposes of, the computation of pro forma basic or diluted earnings per share. The diluted weighted average share calculation assumes that certain equity awards were issued and outstanding at the beginning of the period. The following table sets forth a reconciliation of the numerators and denominators used to compute pro forma basic and diluted earnings per share.</w:t>
      </w:r>
    </w:p>
    <w:p>
      <w:pPr>
        <w:spacing w:after="0" w:line="10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7"/>
              </w:rPr>
              <w:t>Pro Forma</w:t>
            </w:r>
          </w:p>
        </w:tc>
      </w:tr>
      <w:tr>
        <w:trPr>
          <w:trHeight w:val="162"/>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7"/>
              </w:rPr>
              <w:t>Tradeweb</w:t>
            </w:r>
          </w:p>
        </w:tc>
      </w:tr>
      <w:tr>
        <w:trPr>
          <w:trHeight w:val="186"/>
        </w:trPr>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Markets Inc.</w:t>
            </w:r>
          </w:p>
        </w:tc>
      </w:tr>
      <w:tr>
        <w:trPr>
          <w:trHeight w:val="26"/>
        </w:trPr>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gridSpan w:val="2"/>
          </w:tcPr>
          <w:p>
            <w:pPr>
              <w:spacing w:after="0"/>
              <w:rPr>
                <w:sz w:val="2"/>
                <w:szCs w:val="2"/>
                <w:color w:val="auto"/>
              </w:rPr>
            </w:pPr>
          </w:p>
        </w:tc>
      </w:tr>
      <w:tr>
        <w:trPr>
          <w:trHeight w:val="173"/>
        </w:trPr>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Year Ended</w:t>
            </w:r>
          </w:p>
        </w:tc>
      </w:tr>
      <w:tr>
        <w:trPr>
          <w:trHeight w:val="162"/>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6"/>
              </w:rPr>
              <w:t>December 31,</w:t>
            </w:r>
          </w:p>
        </w:tc>
      </w:tr>
      <w:tr>
        <w:trPr>
          <w:trHeight w:val="186"/>
        </w:trPr>
        <w:tc>
          <w:tcPr>
            <w:tcW w:w="6880" w:type="dxa"/>
            <w:vAlign w:val="bottom"/>
            <w:gridSpan w:val="4"/>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80" w:type="dxa"/>
            <w:vAlign w:val="bottom"/>
          </w:tcPr>
          <w:p>
            <w:pPr>
              <w:spacing w:after="0"/>
              <w:rPr>
                <w:sz w:val="16"/>
                <w:szCs w:val="16"/>
                <w:color w:val="auto"/>
              </w:rPr>
            </w:pPr>
          </w:p>
        </w:tc>
        <w:tc>
          <w:tcPr>
            <w:tcW w:w="90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30"/>
        </w:trPr>
        <w:tc>
          <w:tcPr>
            <w:tcW w:w="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Numerator:</w:t>
            </w:r>
          </w:p>
        </w:tc>
        <w:tc>
          <w:tcPr>
            <w:tcW w:w="6000" w:type="dxa"/>
            <w:vAlign w:val="bottom"/>
            <w:tcBorders>
              <w:bottom w:val="single" w:sz="8" w:color="CCEEFF"/>
            </w:tcBorders>
            <w:gridSpan w:val="3"/>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7"/>
        </w:trPr>
        <w:tc>
          <w:tcPr>
            <w:tcW w:w="688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164,488</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6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03"/>
        </w:trPr>
        <w:tc>
          <w:tcPr>
            <w:tcW w:w="68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b w:val="1"/>
                <w:bCs w:val="1"/>
                <w:color w:val="auto"/>
              </w:rPr>
              <w:t>Net income attributable to Tradeweb Markets Inc. – Basic and Diluted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124,376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3"/>
        </w:trPr>
        <w:tc>
          <w:tcPr>
            <w:tcW w:w="1060" w:type="dxa"/>
            <w:vAlign w:val="bottom"/>
            <w:tcBorders>
              <w:bottom w:val="single" w:sz="8" w:color="auto"/>
            </w:tcBorders>
            <w:gridSpan w:val="2"/>
            <w:shd w:val="clear" w:color="auto" w:fill="CCEEFF"/>
          </w:tcPr>
          <w:p>
            <w:pPr>
              <w:spacing w:after="0" w:line="163" w:lineRule="exact"/>
              <w:rPr>
                <w:sz w:val="20"/>
                <w:szCs w:val="20"/>
                <w:color w:val="auto"/>
              </w:rPr>
            </w:pPr>
            <w:r>
              <w:rPr>
                <w:rFonts w:ascii="Arial" w:cs="Arial" w:eastAsia="Arial" w:hAnsi="Arial"/>
                <w:sz w:val="18"/>
                <w:szCs w:val="18"/>
                <w:color w:val="auto"/>
                <w:w w:val="96"/>
              </w:rPr>
              <w:t>Denominator:</w:t>
            </w:r>
          </w:p>
        </w:tc>
        <w:tc>
          <w:tcPr>
            <w:tcW w:w="5820" w:type="dxa"/>
            <w:vAlign w:val="bottom"/>
            <w:tcBorders>
              <w:bottom w:val="single" w:sz="8" w:color="CCEEFF"/>
            </w:tcBorders>
            <w:gridSpan w:val="2"/>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9"/>
        </w:trPr>
        <w:tc>
          <w:tcPr>
            <w:tcW w:w="6880" w:type="dxa"/>
            <w:vAlign w:val="bottom"/>
            <w:gridSpan w:val="4"/>
          </w:tcPr>
          <w:p>
            <w:pPr>
              <w:spacing w:after="0"/>
              <w:rPr>
                <w:sz w:val="20"/>
                <w:szCs w:val="20"/>
                <w:color w:val="auto"/>
              </w:rPr>
            </w:pPr>
            <w:r>
              <w:rPr>
                <w:rFonts w:ascii="Arial" w:cs="Arial" w:eastAsia="Arial" w:hAnsi="Arial"/>
                <w:sz w:val="18"/>
                <w:szCs w:val="18"/>
                <w:color w:val="auto"/>
              </w:rPr>
              <w:t>Shares of Class A common stock issued in connection with the IPO, the October 2019</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7"/>
        </w:trPr>
        <w:tc>
          <w:tcPr>
            <w:tcW w:w="6880" w:type="dxa"/>
            <w:vAlign w:val="bottom"/>
            <w:gridSpan w:val="4"/>
          </w:tcPr>
          <w:p>
            <w:pPr>
              <w:ind w:left="180"/>
              <w:spacing w:after="0"/>
              <w:rPr>
                <w:sz w:val="20"/>
                <w:szCs w:val="20"/>
                <w:color w:val="auto"/>
              </w:rPr>
            </w:pPr>
            <w:r>
              <w:rPr>
                <w:rFonts w:ascii="Arial" w:cs="Arial" w:eastAsia="Arial" w:hAnsi="Arial"/>
                <w:sz w:val="18"/>
                <w:szCs w:val="18"/>
                <w:color w:val="auto"/>
              </w:rPr>
              <w:t>follow-on offering and other exchanges of LLC Interests and option exercises</w:t>
            </w:r>
          </w:p>
        </w:tc>
        <w:tc>
          <w:tcPr>
            <w:tcW w:w="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66,408,328</w:t>
            </w:r>
          </w:p>
        </w:tc>
        <w:tc>
          <w:tcPr>
            <w:tcW w:w="40" w:type="dxa"/>
            <w:vAlign w:val="bottom"/>
          </w:tcPr>
          <w:p>
            <w:pPr>
              <w:spacing w:after="0"/>
              <w:rPr>
                <w:sz w:val="20"/>
                <w:szCs w:val="20"/>
                <w:color w:val="auto"/>
              </w:rPr>
            </w:pPr>
          </w:p>
        </w:tc>
      </w:tr>
      <w:tr>
        <w:trPr>
          <w:trHeight w:val="235"/>
        </w:trPr>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Shares of Class B common stock issued in connection with the Reorganization</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4"/>
        </w:trPr>
        <w:tc>
          <w:tcPr>
            <w:tcW w:w="68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Transactions</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96,933,192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9"/>
        </w:trPr>
        <w:tc>
          <w:tcPr>
            <w:tcW w:w="6880" w:type="dxa"/>
            <w:vAlign w:val="bottom"/>
            <w:gridSpan w:val="4"/>
          </w:tcPr>
          <w:p>
            <w:pPr>
              <w:spacing w:after="0"/>
              <w:rPr>
                <w:sz w:val="20"/>
                <w:szCs w:val="20"/>
                <w:color w:val="auto"/>
              </w:rPr>
            </w:pPr>
            <w:r>
              <w:rPr>
                <w:rFonts w:ascii="Arial" w:cs="Arial" w:eastAsia="Arial" w:hAnsi="Arial"/>
                <w:sz w:val="18"/>
                <w:szCs w:val="18"/>
                <w:color w:val="auto"/>
              </w:rPr>
              <w:t>Shares of Class A common stock issued in connection with the Net Exercise and this</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880" w:type="dxa"/>
            <w:vAlign w:val="bottom"/>
            <w:gridSpan w:val="4"/>
          </w:tcPr>
          <w:p>
            <w:pPr>
              <w:ind w:left="180"/>
              <w:spacing w:after="0"/>
              <w:rPr>
                <w:sz w:val="20"/>
                <w:szCs w:val="20"/>
                <w:color w:val="auto"/>
              </w:rPr>
            </w:pPr>
            <w:r>
              <w:rPr>
                <w:rFonts w:ascii="Arial" w:cs="Arial" w:eastAsia="Arial" w:hAnsi="Arial"/>
                <w:sz w:val="18"/>
                <w:szCs w:val="18"/>
                <w:color w:val="auto"/>
              </w:rPr>
              <w:t>offering</w:t>
            </w:r>
          </w:p>
        </w:tc>
        <w:tc>
          <w:tcPr>
            <w:tcW w:w="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10,996,981</w:t>
            </w:r>
          </w:p>
        </w:tc>
        <w:tc>
          <w:tcPr>
            <w:tcW w:w="40" w:type="dxa"/>
            <w:vAlign w:val="bottom"/>
          </w:tcPr>
          <w:p>
            <w:pPr>
              <w:spacing w:after="0"/>
              <w:rPr>
                <w:sz w:val="20"/>
                <w:szCs w:val="20"/>
                <w:color w:val="auto"/>
              </w:rPr>
            </w:pPr>
          </w:p>
        </w:tc>
      </w:tr>
      <w:tr>
        <w:trPr>
          <w:trHeight w:val="27"/>
        </w:trPr>
        <w:tc>
          <w:tcPr>
            <w:tcW w:w="8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4"/>
                <w:shd w:val="clear" w:color="auto" w:fill="CCEEFF"/>
              </w:rPr>
              <w:t>Weighted average shares of Class A and Class B common stock outstanding – Basic</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174,338,501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7"/>
        </w:trPr>
        <w:tc>
          <w:tcPr>
            <w:tcW w:w="6880" w:type="dxa"/>
            <w:vAlign w:val="bottom"/>
            <w:gridSpan w:val="4"/>
          </w:tcPr>
          <w:p>
            <w:pPr>
              <w:spacing w:after="0"/>
              <w:rPr>
                <w:sz w:val="20"/>
                <w:szCs w:val="20"/>
                <w:color w:val="auto"/>
              </w:rPr>
            </w:pPr>
            <w:r>
              <w:rPr>
                <w:rFonts w:ascii="Arial" w:cs="Arial" w:eastAsia="Arial" w:hAnsi="Arial"/>
                <w:sz w:val="18"/>
                <w:szCs w:val="18"/>
                <w:color w:val="auto"/>
              </w:rPr>
              <w:t>Dilutive effect of options</w:t>
            </w: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6,062,835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6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Dilutive effect of equity-settled PRSUs</w:t>
            </w:r>
          </w:p>
        </w:tc>
        <w:tc>
          <w:tcPr>
            <w:tcW w:w="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2,464,137</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17"/>
        </w:trPr>
        <w:tc>
          <w:tcPr>
            <w:tcW w:w="68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b w:val="1"/>
                <w:bCs w:val="1"/>
                <w:color w:val="auto"/>
                <w:w w:val="92"/>
              </w:rPr>
              <w:t>Weighted average shares of Class A and Class B common stock outstanding – Diluted</w:t>
            </w: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182,865,473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68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880" w:type="dxa"/>
            <w:vAlign w:val="bottom"/>
            <w:gridSpan w:val="4"/>
          </w:tcPr>
          <w:p>
            <w:pPr>
              <w:spacing w:after="0"/>
              <w:rPr>
                <w:sz w:val="20"/>
                <w:szCs w:val="20"/>
                <w:color w:val="auto"/>
              </w:rPr>
            </w:pPr>
            <w:r>
              <w:rPr>
                <w:rFonts w:ascii="Arial" w:cs="Arial" w:eastAsia="Arial" w:hAnsi="Arial"/>
                <w:sz w:val="18"/>
                <w:szCs w:val="18"/>
                <w:color w:val="auto"/>
              </w:rPr>
              <w:t>Earnings per share – Diluted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0.68</w:t>
            </w:r>
          </w:p>
        </w:tc>
        <w:tc>
          <w:tcPr>
            <w:tcW w:w="40" w:type="dxa"/>
            <w:vAlign w:val="bottom"/>
          </w:tcPr>
          <w:p>
            <w:pPr>
              <w:spacing w:after="0"/>
              <w:rPr>
                <w:sz w:val="21"/>
                <w:szCs w:val="2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-607695</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-1113790</wp:posOffset>
            </wp:positionV>
            <wp:extent cx="435483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5483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-2365375</wp:posOffset>
            </wp:positionV>
            <wp:extent cx="8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22" w:lineRule="exact"/>
        <w:rPr>
          <w:sz w:val="20"/>
          <w:szCs w:val="20"/>
          <w:color w:val="auto"/>
        </w:rPr>
      </w:pPr>
    </w:p>
    <w:p>
      <w:pPr>
        <w:jc w:val="both"/>
        <w:ind w:left="1620" w:right="799"/>
        <w:spacing w:after="0" w:line="257" w:lineRule="auto"/>
        <w:rPr>
          <w:sz w:val="20"/>
          <w:szCs w:val="20"/>
          <w:color w:val="auto"/>
        </w:rPr>
      </w:pPr>
      <w:r>
        <w:rPr>
          <w:rFonts w:ascii="Arial" w:cs="Arial" w:eastAsia="Arial" w:hAnsi="Arial"/>
          <w:sz w:val="18"/>
          <w:szCs w:val="18"/>
          <w:color w:val="auto"/>
        </w:rPr>
        <w:t>LLC Interests held by the Continuing LLC Owners are redeemable, at the election of such holders, for shares of our Class A common stock or Class B common stock. After evaluating the potential dilutive effect under the if-converted method, the outstanding LLC Interests for the assumed exchange of non-controlling interests were determined to be anti-dilutive and thus were excluded from the computation of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MANAGEMENT</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 and Directors</w:t>
      </w:r>
    </w:p>
    <w:p>
      <w:pPr>
        <w:spacing w:after="0" w:line="108"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The following table sets forth information about our executive officers and directors, including their ages as of April 16, 2020. With respect to our directors, each biography contains information regarding the person’s service as a director, business experience, director positions held currently or at any time during the past five years, information regarding involvement in certain legal or administrative proceedings, and the experience, qualifications, attributes or skills that caused our board of directors to determine that the person should serve as a director of our company.</w:t>
      </w:r>
    </w:p>
    <w:p>
      <w:pPr>
        <w:spacing w:after="0" w:line="11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Age</w:t>
            </w:r>
          </w:p>
        </w:tc>
        <w:tc>
          <w:tcPr>
            <w:tcW w:w="4660" w:type="dxa"/>
            <w:vAlign w:val="bottom"/>
          </w:tcPr>
          <w:p>
            <w:pPr>
              <w:ind w:left="208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50"/>
        </w:trPr>
        <w:tc>
          <w:tcPr>
            <w:tcW w:w="2920" w:type="dxa"/>
            <w:vAlign w:val="bottom"/>
            <w:gridSpan w:val="2"/>
          </w:tcPr>
          <w:p>
            <w:pPr>
              <w:spacing w:after="0"/>
              <w:rPr>
                <w:sz w:val="20"/>
                <w:szCs w:val="20"/>
                <w:color w:val="auto"/>
              </w:rPr>
            </w:pPr>
            <w:r>
              <w:rPr>
                <w:rFonts w:ascii="Arial" w:cs="Arial" w:eastAsia="Arial" w:hAnsi="Arial"/>
                <w:sz w:val="18"/>
                <w:szCs w:val="18"/>
                <w:color w:val="auto"/>
              </w:rPr>
              <w:t>Lee Olesky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0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70"/>
        </w:trPr>
        <w:tc>
          <w:tcPr>
            <w:tcW w:w="2920" w:type="dxa"/>
            <w:vAlign w:val="bottom"/>
            <w:gridSpan w:val="2"/>
          </w:tcPr>
          <w:p>
            <w:pPr>
              <w:spacing w:after="0"/>
              <w:rPr>
                <w:sz w:val="20"/>
                <w:szCs w:val="20"/>
                <w:color w:val="auto"/>
              </w:rPr>
            </w:pPr>
            <w:r>
              <w:rPr>
                <w:rFonts w:ascii="Arial" w:cs="Arial" w:eastAsia="Arial" w:hAnsi="Arial"/>
                <w:sz w:val="18"/>
                <w:szCs w:val="18"/>
                <w:color w:val="auto"/>
              </w:rPr>
              <w:t>William (“Billy”) Hult</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00" w:type="dxa"/>
            <w:vAlign w:val="bottom"/>
          </w:tcPr>
          <w:p>
            <w:pPr>
              <w:spacing w:after="0"/>
              <w:rPr>
                <w:sz w:val="23"/>
                <w:szCs w:val="23"/>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President and Director</w:t>
            </w:r>
          </w:p>
        </w:tc>
      </w:tr>
      <w:tr>
        <w:trPr>
          <w:trHeight w:val="270"/>
        </w:trPr>
        <w:tc>
          <w:tcPr>
            <w:tcW w:w="2920" w:type="dxa"/>
            <w:vAlign w:val="bottom"/>
            <w:gridSpan w:val="2"/>
          </w:tcPr>
          <w:p>
            <w:pPr>
              <w:spacing w:after="0"/>
              <w:rPr>
                <w:sz w:val="20"/>
                <w:szCs w:val="20"/>
                <w:color w:val="auto"/>
              </w:rPr>
            </w:pPr>
            <w:r>
              <w:rPr>
                <w:rFonts w:ascii="Arial" w:cs="Arial" w:eastAsia="Arial" w:hAnsi="Arial"/>
                <w:sz w:val="18"/>
                <w:szCs w:val="18"/>
                <w:color w:val="auto"/>
              </w:rPr>
              <w:t>Enrico Bruni</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00" w:type="dxa"/>
            <w:vAlign w:val="bottom"/>
          </w:tcPr>
          <w:p>
            <w:pPr>
              <w:spacing w:after="0"/>
              <w:rPr>
                <w:sz w:val="23"/>
                <w:szCs w:val="23"/>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Managing Director, Head of Europe and Asia Business</w:t>
            </w:r>
          </w:p>
        </w:tc>
      </w:tr>
      <w:tr>
        <w:trPr>
          <w:trHeight w:val="270"/>
        </w:trPr>
        <w:tc>
          <w:tcPr>
            <w:tcW w:w="2920" w:type="dxa"/>
            <w:vAlign w:val="bottom"/>
            <w:gridSpan w:val="2"/>
          </w:tcPr>
          <w:p>
            <w:pPr>
              <w:spacing w:after="0"/>
              <w:rPr>
                <w:sz w:val="20"/>
                <w:szCs w:val="20"/>
                <w:color w:val="auto"/>
              </w:rPr>
            </w:pPr>
            <w:r>
              <w:rPr>
                <w:rFonts w:ascii="Arial" w:cs="Arial" w:eastAsia="Arial" w:hAnsi="Arial"/>
                <w:sz w:val="18"/>
                <w:szCs w:val="18"/>
                <w:color w:val="auto"/>
              </w:rPr>
              <w:t>Douglas Friedman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00" w:type="dxa"/>
            <w:vAlign w:val="bottom"/>
          </w:tcPr>
          <w:p>
            <w:pPr>
              <w:spacing w:after="0"/>
              <w:rPr>
                <w:sz w:val="23"/>
                <w:szCs w:val="23"/>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General Counsel and Secretary</w:t>
            </w:r>
          </w:p>
        </w:tc>
      </w:tr>
      <w:tr>
        <w:trPr>
          <w:trHeight w:val="257"/>
        </w:trPr>
        <w:tc>
          <w:tcPr>
            <w:tcW w:w="2920" w:type="dxa"/>
            <w:vAlign w:val="bottom"/>
            <w:gridSpan w:val="2"/>
          </w:tcPr>
          <w:p>
            <w:pPr>
              <w:spacing w:after="0"/>
              <w:rPr>
                <w:sz w:val="20"/>
                <w:szCs w:val="20"/>
                <w:color w:val="auto"/>
              </w:rPr>
            </w:pPr>
            <w:r>
              <w:rPr>
                <w:rFonts w:ascii="Arial" w:cs="Arial" w:eastAsia="Arial" w:hAnsi="Arial"/>
                <w:sz w:val="18"/>
                <w:szCs w:val="18"/>
                <w:color w:val="auto"/>
              </w:rPr>
              <w:t>Simon Maisey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00" w:type="dxa"/>
            <w:vAlign w:val="bottom"/>
          </w:tcPr>
          <w:p>
            <w:pPr>
              <w:spacing w:after="0"/>
              <w:rPr>
                <w:sz w:val="22"/>
                <w:szCs w:val="22"/>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w w:val="97"/>
              </w:rPr>
              <w:t>Managing Director, Global Head of Corporate Development</w:t>
            </w:r>
          </w:p>
        </w:tc>
      </w:tr>
      <w:tr>
        <w:trPr>
          <w:trHeight w:val="297"/>
        </w:trPr>
        <w:tc>
          <w:tcPr>
            <w:tcW w:w="2920" w:type="dxa"/>
            <w:vAlign w:val="bottom"/>
            <w:gridSpan w:val="2"/>
          </w:tcPr>
          <w:p>
            <w:pPr>
              <w:spacing w:after="0"/>
              <w:rPr>
                <w:sz w:val="20"/>
                <w:szCs w:val="20"/>
                <w:color w:val="auto"/>
              </w:rPr>
            </w:pPr>
            <w:r>
              <w:rPr>
                <w:rFonts w:ascii="Arial" w:cs="Arial" w:eastAsia="Arial" w:hAnsi="Arial"/>
                <w:sz w:val="18"/>
                <w:szCs w:val="18"/>
                <w:color w:val="auto"/>
              </w:rPr>
              <w:t>Justin Peterson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Chief Technology Officer</w:t>
            </w:r>
          </w:p>
        </w:tc>
      </w:tr>
      <w:tr>
        <w:trPr>
          <w:trHeight w:val="283"/>
        </w:trPr>
        <w:tc>
          <w:tcPr>
            <w:tcW w:w="2920" w:type="dxa"/>
            <w:vAlign w:val="bottom"/>
            <w:gridSpan w:val="2"/>
          </w:tcPr>
          <w:p>
            <w:pPr>
              <w:spacing w:after="0"/>
              <w:rPr>
                <w:sz w:val="20"/>
                <w:szCs w:val="20"/>
                <w:color w:val="auto"/>
              </w:rPr>
            </w:pPr>
            <w:r>
              <w:rPr>
                <w:rFonts w:ascii="Arial" w:cs="Arial" w:eastAsia="Arial" w:hAnsi="Arial"/>
                <w:sz w:val="18"/>
                <w:szCs w:val="18"/>
                <w:color w:val="auto"/>
              </w:rPr>
              <w:t>Robert Warshaw</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83"/>
        </w:trPr>
        <w:tc>
          <w:tcPr>
            <w:tcW w:w="2920" w:type="dxa"/>
            <w:vAlign w:val="bottom"/>
            <w:gridSpan w:val="2"/>
          </w:tcPr>
          <w:p>
            <w:pPr>
              <w:spacing w:after="0"/>
              <w:rPr>
                <w:sz w:val="20"/>
                <w:szCs w:val="20"/>
                <w:color w:val="auto"/>
              </w:rPr>
            </w:pPr>
            <w:r>
              <w:rPr>
                <w:rFonts w:ascii="Arial" w:cs="Arial" w:eastAsia="Arial" w:hAnsi="Arial"/>
                <w:sz w:val="18"/>
                <w:szCs w:val="18"/>
                <w:color w:val="auto"/>
              </w:rPr>
              <w:t>Scott Zucker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Chief Risk and Administrative Officer</w:t>
            </w:r>
          </w:p>
        </w:tc>
      </w:tr>
      <w:tr>
        <w:trPr>
          <w:trHeight w:val="284"/>
        </w:trPr>
        <w:tc>
          <w:tcPr>
            <w:tcW w:w="2920" w:type="dxa"/>
            <w:vAlign w:val="bottom"/>
            <w:gridSpan w:val="2"/>
          </w:tcPr>
          <w:p>
            <w:pPr>
              <w:spacing w:after="0"/>
              <w:rPr>
                <w:sz w:val="20"/>
                <w:szCs w:val="20"/>
                <w:color w:val="auto"/>
              </w:rPr>
            </w:pPr>
            <w:r>
              <w:rPr>
                <w:rFonts w:ascii="Arial" w:cs="Arial" w:eastAsia="Arial" w:hAnsi="Arial"/>
                <w:sz w:val="18"/>
                <w:szCs w:val="18"/>
                <w:color w:val="auto"/>
              </w:rPr>
              <w:t>Steven Berns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83"/>
        </w:trPr>
        <w:tc>
          <w:tcPr>
            <w:tcW w:w="2920" w:type="dxa"/>
            <w:vAlign w:val="bottom"/>
            <w:gridSpan w:val="2"/>
          </w:tcPr>
          <w:p>
            <w:pPr>
              <w:spacing w:after="0"/>
              <w:rPr>
                <w:sz w:val="20"/>
                <w:szCs w:val="20"/>
                <w:color w:val="auto"/>
              </w:rPr>
            </w:pPr>
            <w:r>
              <w:rPr>
                <w:rFonts w:ascii="Arial" w:cs="Arial" w:eastAsia="Arial" w:hAnsi="Arial"/>
                <w:sz w:val="18"/>
                <w:szCs w:val="18"/>
                <w:color w:val="auto"/>
              </w:rPr>
              <w:t>Martin Brand</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Director, Chairman of the Board of Directors</w:t>
            </w:r>
          </w:p>
        </w:tc>
      </w:tr>
      <w:tr>
        <w:trPr>
          <w:trHeight w:val="283"/>
        </w:trPr>
        <w:tc>
          <w:tcPr>
            <w:tcW w:w="2920" w:type="dxa"/>
            <w:vAlign w:val="bottom"/>
            <w:gridSpan w:val="2"/>
          </w:tcPr>
          <w:p>
            <w:pPr>
              <w:spacing w:after="0"/>
              <w:rPr>
                <w:sz w:val="20"/>
                <w:szCs w:val="20"/>
                <w:color w:val="auto"/>
              </w:rPr>
            </w:pPr>
            <w:r>
              <w:rPr>
                <w:rFonts w:ascii="Arial" w:cs="Arial" w:eastAsia="Arial" w:hAnsi="Arial"/>
                <w:sz w:val="18"/>
                <w:szCs w:val="18"/>
                <w:color w:val="auto"/>
              </w:rPr>
              <w:t>John Finley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83"/>
        </w:trPr>
        <w:tc>
          <w:tcPr>
            <w:tcW w:w="2920" w:type="dxa"/>
            <w:vAlign w:val="bottom"/>
            <w:gridSpan w:val="2"/>
          </w:tcPr>
          <w:p>
            <w:pPr>
              <w:spacing w:after="0"/>
              <w:rPr>
                <w:sz w:val="20"/>
                <w:szCs w:val="20"/>
                <w:color w:val="auto"/>
              </w:rPr>
            </w:pPr>
            <w:r>
              <w:rPr>
                <w:rFonts w:ascii="Arial" w:cs="Arial" w:eastAsia="Arial" w:hAnsi="Arial"/>
                <w:sz w:val="18"/>
                <w:szCs w:val="18"/>
                <w:color w:val="auto"/>
              </w:rPr>
              <w:t>Scott Ganeles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83"/>
        </w:trPr>
        <w:tc>
          <w:tcPr>
            <w:tcW w:w="2920" w:type="dxa"/>
            <w:vAlign w:val="bottom"/>
            <w:gridSpan w:val="2"/>
          </w:tcPr>
          <w:p>
            <w:pPr>
              <w:spacing w:after="0"/>
              <w:rPr>
                <w:sz w:val="20"/>
                <w:szCs w:val="20"/>
                <w:color w:val="auto"/>
              </w:rPr>
            </w:pPr>
            <w:r>
              <w:rPr>
                <w:rFonts w:ascii="Arial" w:cs="Arial" w:eastAsia="Arial" w:hAnsi="Arial"/>
                <w:sz w:val="18"/>
                <w:szCs w:val="18"/>
                <w:color w:val="auto"/>
              </w:rPr>
              <w:t>Paula Madoff</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84"/>
        </w:trPr>
        <w:tc>
          <w:tcPr>
            <w:tcW w:w="2920" w:type="dxa"/>
            <w:vAlign w:val="bottom"/>
            <w:gridSpan w:val="2"/>
          </w:tcPr>
          <w:p>
            <w:pPr>
              <w:spacing w:after="0"/>
              <w:rPr>
                <w:sz w:val="20"/>
                <w:szCs w:val="20"/>
                <w:color w:val="auto"/>
              </w:rPr>
            </w:pPr>
            <w:r>
              <w:rPr>
                <w:rFonts w:ascii="Arial" w:cs="Arial" w:eastAsia="Arial" w:hAnsi="Arial"/>
                <w:sz w:val="18"/>
                <w:szCs w:val="18"/>
                <w:color w:val="auto"/>
              </w:rPr>
              <w:t>Thomas Pluta</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83"/>
        </w:trPr>
        <w:tc>
          <w:tcPr>
            <w:tcW w:w="2920" w:type="dxa"/>
            <w:vAlign w:val="bottom"/>
            <w:gridSpan w:val="2"/>
          </w:tcPr>
          <w:p>
            <w:pPr>
              <w:spacing w:after="0"/>
              <w:rPr>
                <w:sz w:val="20"/>
                <w:szCs w:val="20"/>
                <w:color w:val="auto"/>
              </w:rPr>
            </w:pPr>
            <w:r>
              <w:rPr>
                <w:rFonts w:ascii="Arial" w:cs="Arial" w:eastAsia="Arial" w:hAnsi="Arial"/>
                <w:sz w:val="18"/>
                <w:szCs w:val="18"/>
                <w:color w:val="auto"/>
              </w:rPr>
              <w:t>Debra Walton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83"/>
        </w:trPr>
        <w:tc>
          <w:tcPr>
            <w:tcW w:w="2920" w:type="dxa"/>
            <w:vAlign w:val="bottom"/>
            <w:gridSpan w:val="2"/>
          </w:tcPr>
          <w:p>
            <w:pPr>
              <w:spacing w:after="0"/>
              <w:rPr>
                <w:sz w:val="20"/>
                <w:szCs w:val="20"/>
                <w:color w:val="auto"/>
              </w:rPr>
            </w:pPr>
            <w:r>
              <w:rPr>
                <w:rFonts w:ascii="Arial" w:cs="Arial" w:eastAsia="Arial" w:hAnsi="Arial"/>
                <w:sz w:val="18"/>
                <w:szCs w:val="18"/>
                <w:color w:val="auto"/>
              </w:rPr>
              <w:t>Brian West</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Lee Olesky</w:t>
      </w:r>
    </w:p>
    <w:p>
      <w:pPr>
        <w:spacing w:after="0" w:line="104" w:lineRule="exact"/>
        <w:rPr>
          <w:sz w:val="20"/>
          <w:szCs w:val="20"/>
          <w:color w:val="auto"/>
        </w:rPr>
      </w:pPr>
    </w:p>
    <w:p>
      <w:pPr>
        <w:ind w:left="1260" w:right="879" w:firstLine="360"/>
        <w:spacing w:after="0" w:line="269" w:lineRule="auto"/>
        <w:rPr>
          <w:sz w:val="20"/>
          <w:szCs w:val="20"/>
          <w:color w:val="auto"/>
        </w:rPr>
      </w:pPr>
      <w:r>
        <w:rPr>
          <w:rFonts w:ascii="Arial" w:cs="Arial" w:eastAsia="Arial" w:hAnsi="Arial"/>
          <w:sz w:val="17"/>
          <w:szCs w:val="17"/>
          <w:color w:val="auto"/>
        </w:rPr>
        <w:t>Mr. Olesky is our co-founder and has served as Tradeweb’s Chief Executive Officer and on the board of directors since its formation. Mr. Olesky has been TWM LLC’s Chief Executive Officer since September 2008 and, prior to the Reorganization Transactions, served on the former board of managers of TWM LLC beginning in 2008. After being our founding Chairman of the Board from 1996 to 1998,</w:t>
      </w:r>
    </w:p>
    <w:p>
      <w:pPr>
        <w:spacing w:after="0" w:line="2" w:lineRule="exact"/>
        <w:rPr>
          <w:sz w:val="20"/>
          <w:szCs w:val="20"/>
          <w:color w:val="auto"/>
        </w:rPr>
      </w:pPr>
    </w:p>
    <w:p>
      <w:pPr>
        <w:ind w:left="1260" w:right="739"/>
        <w:spacing w:after="0" w:line="251" w:lineRule="auto"/>
        <w:rPr>
          <w:sz w:val="20"/>
          <w:szCs w:val="20"/>
          <w:color w:val="auto"/>
        </w:rPr>
      </w:pPr>
      <w:r>
        <w:rPr>
          <w:rFonts w:ascii="Arial" w:cs="Arial" w:eastAsia="Arial" w:hAnsi="Arial"/>
          <w:sz w:val="18"/>
          <w:szCs w:val="18"/>
          <w:color w:val="auto"/>
        </w:rPr>
        <w:t>Mr. Olesky rejoined the Company in February 2002 in London as President, driving the Company’s expansion in Europe and into the global derivatives markets. He then led the expansion of Tradeweb into Asia, opening offices in Tokyo, Hong Kong and Singapore. Prior to returning to the Company, Mr. Olesky worked at Credit Suisse First Boston from 1993 to 1999 in a variety of management positions, ultimately as Chief Operating Officer for the Fixed Income Americas division. Following his time at Credit Suisse First Boston, from 1999 to 2002, he served as Chief Executive Officer of BrokerTec, an electronic brokerage platform that he co-founded. He received a B.A. from Tulane University and a J.D. from The George Washington University. Mr. Olesky was selected to serve on our board of directors because of the perspective, management, leadership experience and operational expertise in our business that he has developed as our Chief Executive Officer.</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Billy Hult</w:t>
      </w:r>
    </w:p>
    <w:p>
      <w:pPr>
        <w:spacing w:after="0" w:line="104"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Mr. Hult has served as Tradeweb’s President since its formation and has served on its board of directors since March 2019. Mr. Hult has served as TWM LLC’s President since September 2008 and, prior to the Reorganization Transactions, served on the former board of managers of TWM LLC beginning in September 2008. Mr. Hult joined Tradeweb in July 2000 as a product manager and oversaw the creation of</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75" w:lineRule="auto"/>
        <w:rPr>
          <w:sz w:val="20"/>
          <w:szCs w:val="20"/>
          <w:color w:val="auto"/>
        </w:rPr>
      </w:pPr>
      <w:r>
        <w:rPr>
          <w:rFonts w:ascii="Arial" w:cs="Arial" w:eastAsia="Arial" w:hAnsi="Arial"/>
          <w:sz w:val="17"/>
          <w:szCs w:val="17"/>
          <w:color w:val="auto"/>
        </w:rPr>
        <w:t>our TBA-MBS marketplace. In 2005, Mr. Hult went on to serve as the head of U.S. products overseeing the firm’s expansion into new asset classes. Prior to joining Tradeweb, Mr. Hult held a variety of trading positions at Société Générale from 1997 to 2000. He received a B.A. from Denison University. Mr. Hult was selected to serve on our board of directors because of the perspective, management, industry experience and operational expertise in our business that he has developed as our President.</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Enrico Bruni</w:t>
      </w:r>
    </w:p>
    <w:p>
      <w:pPr>
        <w:spacing w:after="0" w:line="104" w:lineRule="exact"/>
        <w:rPr>
          <w:sz w:val="20"/>
          <w:szCs w:val="20"/>
          <w:color w:val="auto"/>
        </w:rPr>
      </w:pPr>
    </w:p>
    <w:p>
      <w:pPr>
        <w:ind w:left="1260" w:right="899" w:firstLine="360"/>
        <w:spacing w:after="0" w:line="254" w:lineRule="auto"/>
        <w:rPr>
          <w:sz w:val="20"/>
          <w:szCs w:val="20"/>
          <w:color w:val="auto"/>
        </w:rPr>
      </w:pPr>
      <w:r>
        <w:rPr>
          <w:rFonts w:ascii="Arial" w:cs="Arial" w:eastAsia="Arial" w:hAnsi="Arial"/>
          <w:sz w:val="18"/>
          <w:szCs w:val="18"/>
          <w:color w:val="auto"/>
        </w:rPr>
        <w:t>Mr. Bruni has served as Managing Director, Head of Europe and Asia Business of TWM LLC since February 2013 and has served in the same position at Tradeweb since April 2019. Mr. Bruni joined Tradeweb in 2002 and has been instrumental in developing the interest rate swaps business in Europe and Asia. Prior to joining Tradeweb, from 1995 to 2002, Mr. Bruni was at J.P. Morgan where he worked in a number of business and product management roles across the markets division, with particular focus on their e-trading strategy. Mr. Bruni received a business management degree from L. Bocconi University, Milan.</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Douglas Friedman</w:t>
      </w:r>
    </w:p>
    <w:p>
      <w:pPr>
        <w:spacing w:after="0" w:line="104" w:lineRule="exact"/>
        <w:rPr>
          <w:sz w:val="20"/>
          <w:szCs w:val="20"/>
          <w:color w:val="auto"/>
        </w:rPr>
      </w:pPr>
    </w:p>
    <w:p>
      <w:pPr>
        <w:ind w:left="1260" w:right="879" w:firstLine="360"/>
        <w:spacing w:after="0" w:line="254" w:lineRule="auto"/>
        <w:rPr>
          <w:sz w:val="20"/>
          <w:szCs w:val="20"/>
          <w:color w:val="auto"/>
        </w:rPr>
      </w:pPr>
      <w:r>
        <w:rPr>
          <w:rFonts w:ascii="Arial" w:cs="Arial" w:eastAsia="Arial" w:hAnsi="Arial"/>
          <w:sz w:val="18"/>
          <w:szCs w:val="18"/>
          <w:color w:val="auto"/>
        </w:rPr>
        <w:t>Mr. Friedman has served as Tradeweb’s General Counsel and Secretary since its formation and as the General Counsel of TWM LLC since November 2009, prior to which he served as the Assistant General Counsel of TWM LLC beginning in June 2005. Prior to joining Tradeweb, Mr. Friedman worked in the litigation department of King &amp; Spalding LLP, an international law firm, from 2001 to 2005, where he focused on securities litigation and regulatory investigations. Prior to that, he worked at Cadwalader, Wickersham and Taft LLP and at Gibbons P.C. He received a B.A. from the University of Michigan and a J.D. from Seton Hall University School of Law.</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Simon Maisey</w:t>
      </w:r>
    </w:p>
    <w:p>
      <w:pPr>
        <w:spacing w:after="0" w:line="104"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Mr. Maisey has served as Managing Director, Global Head of Corporate Development of TWM LLC since May 2016 and has served in the same position at Tradeweb since April 2019. Prior to that, Mr. Maisey served as Managing Director in Finance and Business Development of TWM LLC beginning in May 2014. Prior to joining Tradeweb, from 1998 to May 2014, Mr. Maisey worked at J.P. Morgan, most recently in the position of Managing Director, eCommerce for the global rates business. In addition, he has also held roles as COO and CFO of J.P. Morgan’s fixed income businesses and served on the TWM LLC board of directors as a J.P. Morgan representative from 2009 to 2014. He holds a MEng (Hons) from the University of Oxford.</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Justin Peterson</w:t>
      </w:r>
    </w:p>
    <w:p>
      <w:pPr>
        <w:spacing w:after="0" w:line="90"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Mr. Peterson has served as Chief Technology Officer of Tradeweb since April 2020, and has served on TWM LLC’s Global Operating Committee since January 2014. Mr. Peterson joined TWM LLC in 1999 and served as Managing Director, Head of Institutional Technology, from January 2008 to March 2020. Prior to joining Tradeweb, Mr. Peterson served as Vice President at Citibank from 1995 to 1999. Prior to that, he held positions at NYNEX Science and Technology and Hughes Aircraft Company. Mr. Peterson holds a B.S. in engineering from Harvey Mudd College, and a Ph.D. and M.S. in Computer Science from the Georgia Institute of Technology.</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Robert Warshaw</w:t>
      </w:r>
    </w:p>
    <w:p>
      <w:pPr>
        <w:spacing w:after="0" w:line="104"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Mr. Warshaw has served as Tradeweb’s Chief Financial Officer since its formation and as the Chief Financial Officer of TWM LLC since May 2011. Mr. Warshaw joined the Company in July 2009 as a managing director and Head of Equities and became Head of Business Development in November 2010. Prior to joining Tradeweb, Mr. Warshaw led venture capital-backed technology startups in the electronic trading, telepresence and social networking fields. Prior to that, he served as Chief Information Officer and a director of Lazard as well as a partner at McKinsey &amp; Company, where he advised large companies in the financial and technology sectors. Mr. Warshaw began his career at the former Andersen Consulting, since renamed Accenture, where he worked on a series of global assignments in the financial sector. He received a B.A. from the University of Pennsylvania and a master of management from the Kellogg School of Management at Northwestern University.</w:t>
      </w:r>
    </w:p>
    <w:p>
      <w:pPr>
        <w:spacing w:after="0" w:line="24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Scott Zucker</w:t>
      </w:r>
    </w:p>
    <w:p>
      <w:pPr>
        <w:spacing w:after="0" w:line="104"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Mr. Zucker has served as Tradeweb’s Chief Risk and Administrative Officer since February 2020, and served as Tradeweb’s Chief Administrative Officer since its formation and as the Chief Administrative Officer of TWM LLC since November 2009. He joined the company in 2002 as General Counsel. Prior to joining Tradeweb, from 1999 to 2002, Mr. Zucker worked in the Corporate Department of Willkie Farr &amp; Gallagher LLP, an international law firm, providing legal, regulatory and securities law support exclusively to Bloomberg LP. He also worked in the Corporate Department of Robinson, Silverman, Pearce, Aronsohn and Berman LLP (now Bryan Cave Leighton Paisner LLP) from 1996 to 1999, where he specialized in general corporate and securities matters. Mr. Zucker is a member of the Market Risk Advisory Committee of the U.S. Futures Trading Commission and serves on the Board of Directors for Habitat for Humanity NYC. He received a B.A. from Tufts University and a J.D. from Hofstra University School of Law.</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Steven Berns</w:t>
      </w:r>
    </w:p>
    <w:p>
      <w:pPr>
        <w:spacing w:after="0" w:line="104"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Mr. Berns has served on Tradeweb’s board of directors since April 2020. Mr. Berns has served as Chief Financial Officer of GTT Communications, Inc. since April 2020. Prior to that, Mr. Berns served as Chief Financial Officer of Shutterstock, Inc. (“Shutterstock”) from September 2015 to June 2019, and as Chief Operating Officer and Co-Chief Operating Officer of Shutterstock from March 2017 to March 2019 and March 2019 to June 2019, respectively. Prior to joining Shutterstock, Mr. Berns served as Executive Vice President and Chief Financial Officer of Tribune Media Company (“Tribune”) from 2013 to 2015, and Executive Vice President and Chief Financial Officer of Revlon, Inc. (“Revlon”) from 2009 to 2013. Prior to that, Mr. Berns served as the Chief Financial Officer of TWM LLC, the Company’s predecessor, and President, Chief Financial Officer and Director of MDC Partners, Inc. (“MDC Partners”). He previously held several senior financial positions at the Interpublic Group of Companies, Inc. and Revlon. Mr. Berns currently serves as a board member for Forum Merger II Corporation and has previously served as a board member of Forum Merger Corporation, Shutterstock and LivePerson, Inc. Mr. Berns received a B.S. in Business and Economics from Lehigh University and an Executive MBA in Finance from New York University, Stern School of Business. Mr. Berns was selected to serve on our board of directors because of his extensive financial knowledge, including from his service as Chief Financial Officer of Tribune, Revlon, TWM LLC, MDC Partners, and most recently Shutterstock.</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Martin Brand</w:t>
      </w:r>
    </w:p>
    <w:p>
      <w:pPr>
        <w:spacing w:after="0" w:line="104"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8"/>
          <w:szCs w:val="18"/>
          <w:color w:val="auto"/>
        </w:rPr>
        <w:t>Mr. Brand has served as Chairman of Tradeweb’s board of directors since March 2019. Mr. Brand is a Senior Managing Director in the Private Equity Group at Blackstone and has held various positions at Blackstone since 2003. Mr. Brand leads the private equity investments in financial institutions, and co-leads private equity investments in technology. In addition, he is a member of the Investment Committee of Blackstone’s Tactical Opportunities funds. Mr. Brand also serves as a director of Kronos, Inc., Exeter Finance Corporation, Paysafe Group Ltd, Refinitiv and First Eagle Investment Management. Mr. Brand serves on the board of directors of the Park Avenue Armory. He is a Trustee of the American Academy, Berlin. Prior to joining Blackstone, he served as a consultant with McKinsey &amp; Company and a derivatives trader with Goldman, Sachs &amp; Co. Mr. Brand received a B.A./M.A. in Mathematics and Computation from Oxford University and an M.B.A. from the Harvard Business School. Mr. Brand was selected to serve on our board of directors because of his significant experience leading private equity investments in financial institutions and extensive board experience.</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John Finley</w:t>
      </w:r>
    </w:p>
    <w:p>
      <w:pPr>
        <w:spacing w:after="0" w:line="104"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Mr. Finley has served on Tradeweb’s board of directors since March 2019. Mr. Finley is a Senior Managing Director and Chief Legal Officer of Blackstone and serves on its Management Committee. Before joining Blackstone, Mr. Finley had been a partner with Simpson Thacher &amp; Bartlett for 22 years where he was a member of that law firm’s Executive Committee and Co-Head of Global M&amp;A. Mr. Finley is an Adviser on the American Law Institute’s Restatement of the Law, Corporate Governance project and a member of the Dean’s Advisory Board of Harvard Law School, the Advisory Board of the Harvard Law School Program on Corporate Governance, the Board of Advisors of the Penn Institute for Law and Economics and the Advisory Board of the Penn Netter Center for Community Partnerships. He has served</w:t>
      </w:r>
    </w:p>
    <w:p>
      <w:pPr>
        <w:spacing w:after="0" w:line="2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3" w:lineRule="auto"/>
        <w:rPr>
          <w:sz w:val="20"/>
          <w:szCs w:val="20"/>
          <w:color w:val="auto"/>
        </w:rPr>
      </w:pPr>
      <w:r>
        <w:rPr>
          <w:rFonts w:ascii="Arial" w:cs="Arial" w:eastAsia="Arial" w:hAnsi="Arial"/>
          <w:sz w:val="18"/>
          <w:szCs w:val="18"/>
          <w:color w:val="auto"/>
        </w:rPr>
        <w:t xml:space="preserve">on the Board of Advisors of the Knight-Bagehot Fellowship in Economics and Business Journalism at Columbia University, the Lawyers Committee for Human Rights and the Jewish Board of Family and Children Services. He has also served as Chairman of the Annual International Mergers &amp; Acquisitions Conference of the International Bar Association and on the Committee of Securities Regulation of the New York State Bar Association. Mr. Finley has a BS in Economics, </w:t>
      </w:r>
      <w:r>
        <w:rPr>
          <w:rFonts w:ascii="Arial" w:cs="Arial" w:eastAsia="Arial" w:hAnsi="Arial"/>
          <w:sz w:val="18"/>
          <w:szCs w:val="18"/>
          <w:i w:val="1"/>
          <w:iCs w:val="1"/>
          <w:color w:val="auto"/>
        </w:rPr>
        <w:t>summa cum laude</w:t>
      </w:r>
      <w:r>
        <w:rPr>
          <w:rFonts w:ascii="Arial" w:cs="Arial" w:eastAsia="Arial" w:hAnsi="Arial"/>
          <w:sz w:val="18"/>
          <w:szCs w:val="18"/>
          <w:color w:val="auto"/>
        </w:rPr>
        <w:t xml:space="preserve">, from the Wharton School of the University of Pennsylvania (1978), a B.A. in History, </w:t>
      </w:r>
      <w:r>
        <w:rPr>
          <w:rFonts w:ascii="Arial" w:cs="Arial" w:eastAsia="Arial" w:hAnsi="Arial"/>
          <w:sz w:val="18"/>
          <w:szCs w:val="18"/>
          <w:i w:val="1"/>
          <w:iCs w:val="1"/>
          <w:color w:val="auto"/>
        </w:rPr>
        <w:t>summa cum laude</w:t>
      </w:r>
      <w:r>
        <w:rPr>
          <w:rFonts w:ascii="Arial" w:cs="Arial" w:eastAsia="Arial" w:hAnsi="Arial"/>
          <w:sz w:val="18"/>
          <w:szCs w:val="18"/>
          <w:color w:val="auto"/>
        </w:rPr>
        <w:t xml:space="preserve">, from the College of Arts and Sciences of the University of Pennsylvania (1978) and a JD, </w:t>
      </w:r>
      <w:r>
        <w:rPr>
          <w:rFonts w:ascii="Arial" w:cs="Arial" w:eastAsia="Arial" w:hAnsi="Arial"/>
          <w:sz w:val="18"/>
          <w:szCs w:val="18"/>
          <w:i w:val="1"/>
          <w:iCs w:val="1"/>
          <w:color w:val="auto"/>
        </w:rPr>
        <w:t>cum laude</w:t>
      </w:r>
      <w:r>
        <w:rPr>
          <w:rFonts w:ascii="Arial" w:cs="Arial" w:eastAsia="Arial" w:hAnsi="Arial"/>
          <w:sz w:val="18"/>
          <w:szCs w:val="18"/>
          <w:color w:val="auto"/>
        </w:rPr>
        <w:t>, from Harvard Law School (1981). Mr. Finley was selected to serve on our board of directors because of his extensive business, management and legal experience.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Scott Ganeles</w:t>
      </w:r>
    </w:p>
    <w:p>
      <w:pPr>
        <w:spacing w:after="0" w:line="104"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color w:val="auto"/>
        </w:rPr>
        <w:t>Mr. Ganeles has served on Tradeweb’s board of directors since March 2019. Mr. Ganeles was the Chief Executive Officer of i-Deal from December 2000 until it merged with Hemscott in 2006 to form Ipreo Holdings LLC. Mr. Ganeles became Chief Executive Officer of Ipreo after the merger and continued as Chief Executive Officer until August 2018. Prior to Ipreo Holdings LLC, Mr. Ganeles was President and Co-Founder of the Carson Group from June 1990 to September 2000. Mr. Ganeles received a B.A. in Political Science from Brown University. Mr. Ganeles was selected to serve on our board of directors because of his extensive business and management experience and thorough knowledge of our industry.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Paula Madoff</w:t>
      </w:r>
    </w:p>
    <w:p>
      <w:pPr>
        <w:spacing w:after="0" w:line="104" w:lineRule="exact"/>
        <w:rPr>
          <w:sz w:val="20"/>
          <w:szCs w:val="20"/>
          <w:color w:val="auto"/>
        </w:rPr>
      </w:pPr>
    </w:p>
    <w:p>
      <w:pPr>
        <w:ind w:left="1260" w:right="979" w:firstLine="360"/>
        <w:spacing w:after="0" w:line="268" w:lineRule="auto"/>
        <w:rPr>
          <w:sz w:val="20"/>
          <w:szCs w:val="20"/>
          <w:color w:val="auto"/>
        </w:rPr>
      </w:pPr>
      <w:r>
        <w:rPr>
          <w:rFonts w:ascii="Arial" w:cs="Arial" w:eastAsia="Arial" w:hAnsi="Arial"/>
          <w:sz w:val="17"/>
          <w:szCs w:val="17"/>
          <w:color w:val="auto"/>
        </w:rPr>
        <w:t>Ms. Madoff has served on Tradeweb’s board of directors since March 2019. Ms. Madoff currently serves as an Advisor to Goldman Sachs (“Goldman”). She had been employed by Goldman for 24 years where she was most recently a Partner and Head of Sales and Distribution for Interest Rate Products and Mortgages until her retirement from this position in August 2017. From August 2017 to April 2018, Ms. Madoff was employed as an Advisory Director at Goldman. She brings experience in managing regulatory and market structure changes, investing, risk management, and capital markets activities.</w:t>
      </w:r>
    </w:p>
    <w:p>
      <w:pPr>
        <w:spacing w:after="0" w:line="1" w:lineRule="exact"/>
        <w:rPr>
          <w:sz w:val="20"/>
          <w:szCs w:val="20"/>
          <w:color w:val="auto"/>
        </w:rPr>
      </w:pPr>
    </w:p>
    <w:p>
      <w:pPr>
        <w:ind w:left="1260" w:right="699"/>
        <w:spacing w:after="0" w:line="267" w:lineRule="auto"/>
        <w:rPr>
          <w:sz w:val="20"/>
          <w:szCs w:val="20"/>
          <w:color w:val="auto"/>
        </w:rPr>
      </w:pPr>
      <w:r>
        <w:rPr>
          <w:rFonts w:ascii="Arial" w:cs="Arial" w:eastAsia="Arial" w:hAnsi="Arial"/>
          <w:sz w:val="17"/>
          <w:szCs w:val="17"/>
          <w:color w:val="auto"/>
        </w:rPr>
        <w:t>Ms. Madoff serves as a non-executive director on the boards of KKR Real Estate Finance Trust Inc.; Great-West Lifeco; and ICE Benchmark Administration, where she is also Chair of the ICE LIBOR Oversight Committee. She held several additional leadership positions at Goldman, including Co-Chair of the Retirement Committee, overseeing 401(k) and pension plan assets; CEO of Goldman Sachs Mitsui Marine Derivatives Products, L.P.; and was a member of its Securities Division Operating Committee and Firmwide New Activity Committee. Before joining Goldman, Ms. Madoff worked in Mergers and Acquisitions at Wasserstein Perella &amp; Co. and in Corporate Finance at Bankers Trust. Ms. Madoff is a 2018 David Rockefeller Fellow, a member of the Harvard Business School Alumni Board, a member of the Harvard Kennedy School Women’s Leadership Board, and a Director of Hudson River Park Friends. Ms. Madoff received a B.A. degree in Economics, cum laude, from Lafayette College and an M.B.A. from Harvard Business School. Ms. Madoff was selected to serve on our board of directors because of her deep bench of knowledge and experience working with sales and distributions for Goldman’s interest rate products and mortgages, as well as her significant service on boards and board committees.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Thomas Pluta</w:t>
      </w:r>
    </w:p>
    <w:p>
      <w:pPr>
        <w:spacing w:after="0" w:line="104" w:lineRule="exact"/>
        <w:rPr>
          <w:sz w:val="20"/>
          <w:szCs w:val="20"/>
          <w:color w:val="auto"/>
        </w:rPr>
      </w:pPr>
    </w:p>
    <w:p>
      <w:pPr>
        <w:ind w:left="1260" w:right="819" w:firstLine="360"/>
        <w:spacing w:after="0" w:line="252" w:lineRule="auto"/>
        <w:rPr>
          <w:sz w:val="20"/>
          <w:szCs w:val="20"/>
          <w:color w:val="auto"/>
        </w:rPr>
      </w:pPr>
      <w:r>
        <w:rPr>
          <w:rFonts w:ascii="Arial" w:cs="Arial" w:eastAsia="Arial" w:hAnsi="Arial"/>
          <w:sz w:val="18"/>
          <w:szCs w:val="18"/>
          <w:color w:val="auto"/>
        </w:rPr>
        <w:t>Mr. Pluta has served on Tradeweb’s board of directors since March 2019 and, prior to the Reorganization Transactions, served on the former board of managers of TWM LLC beginning in December 2017. Mr. Pluta has served as Global Head of the Linear Rates Trading business at J.P. Morgan since July 2019. Prior to that, Mr. Pluta was Co-Head of Global Rates Trading between April 2015 and July 2019 and Global Head of Short Term Interest Rate Trading between January 2014 and April 2015 at J.P. Morgan. In addition to his 24 year career at J.P. Morgan managing trading teams across the Global Rates, Emerging Markets and Foreign Exchange businesses, he serves as the Corporate and Investment Bank lead for the firm-wide LIBOR Transition Program. A champion for advancing the people agenda at J.P. Morgan, Mr. Pluta has been actively engaged throughout his career, and holds leadership positions in various diversity &amp; inclusion, recruiting, and culture-building efforts. He received a B.A. in Economics from Yale University and an M.B.A. in General Management from the Harvard Business School. Mr. Pluta was selected to serve on our board of directors because of his significant trading and management experience and deep knowledge of our industry.</w:t>
      </w:r>
    </w:p>
    <w:p>
      <w:pPr>
        <w:spacing w:after="0" w:line="26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Debra Walton</w:t>
      </w:r>
    </w:p>
    <w:p>
      <w:pPr>
        <w:spacing w:after="0" w:line="104"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Ms. Walton has served on Tradeweb’s board of directors since March 2019 and, prior to the Reorganization Transactions, served on the former board of managers of TWM LLC beginning in July 2016. Ms. Walton has served as Chief Revenue Officer of Refinitiv since December 2018. From 2003 through November 2018, Ms. Walton held senior executive positions across product, content, sales and marketing at Refinitiv and the Financial &amp; Risk business division of Thomson Reuters. Prior to Thomson Reuters,</w:t>
      </w:r>
    </w:p>
    <w:p>
      <w:pPr>
        <w:spacing w:after="0" w:line="3" w:lineRule="exact"/>
        <w:rPr>
          <w:sz w:val="20"/>
          <w:szCs w:val="20"/>
          <w:color w:val="auto"/>
        </w:rPr>
      </w:pPr>
    </w:p>
    <w:p>
      <w:pPr>
        <w:ind w:left="1260" w:right="919"/>
        <w:spacing w:after="0" w:line="253" w:lineRule="auto"/>
        <w:rPr>
          <w:sz w:val="20"/>
          <w:szCs w:val="20"/>
          <w:color w:val="auto"/>
        </w:rPr>
      </w:pPr>
      <w:r>
        <w:rPr>
          <w:rFonts w:ascii="Arial" w:cs="Arial" w:eastAsia="Arial" w:hAnsi="Arial"/>
          <w:sz w:val="18"/>
          <w:szCs w:val="18"/>
          <w:color w:val="auto"/>
        </w:rPr>
        <w:t>Ms. Walton held senior executive roles at Cantor Fitzgerald, Nucleus Financial and Dow Jones Telerate. Ms. Walton has served as an advisory board member of Springboard since March 2013. Ms. Walton was selected to serve on our board of directors because of her extensive business and management experience and valuable knowledge and experience in our industry.</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Brian West</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Mr. West has served on Tradeweb’s board of directors since March 2019. Mr. West has served as Chief</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Financial Officer of Refinitiv since November 2018. Prior to that, Mr. West was the Chief Financial Officer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Executive Vice President of Operations of Oscar Insurance Corporation between January 2016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November 2018. Prior to that, Mr. West was the Chief Operating Officer of Nielsen Holdings plc between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March 2014 and January 2016 and the Chief Financial Officer of Nielsen Holdings plc (or its predecessor)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from February 2007 to March 2014. Prior to joining Nielsen Holdings plc, Mr. West was employed by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General Electric Company as the Chief Financial Officer of its GE Aviation division from June 2005 to</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February 2007. Prior to that, Mr. West held several senior financial positions across General Electric</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Company businesses, including NBC and Plastics. Mr. West is a veteran of General Electric Company’s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financial leadership program and spent more than 16 years with General Electric Company. In the past,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Mr. West served as a director and Chair of the Audit Committee of Getty Images. He received a B.S. degree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finance from Siena College and an M.B.A. from Columbia University. Mr. West was selected to serve 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board of directors because of his extensive financial knowledge, including from his service as Chief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Financial Officer at GE Aviation, Nielsen Holdings plc, Oscar Insurance Corporation and, most recently, at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Refinitiv.</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Composition</w:t>
      </w:r>
    </w:p>
    <w:p>
      <w:pPr>
        <w:spacing w:after="0" w:line="108"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Our board of directors consists of 10 directors. Our amended and restated certificate of incorporation and amended and restated bylaws provide for a classified board of directors consisting of three classes of directors, each serving staggered three-year terms as follows:</w:t>
      </w:r>
    </w:p>
    <w:p>
      <w:pPr>
        <w:spacing w:after="0" w:line="160" w:lineRule="exact"/>
        <w:rPr>
          <w:sz w:val="20"/>
          <w:szCs w:val="20"/>
          <w:color w:val="auto"/>
        </w:rPr>
      </w:pPr>
    </w:p>
    <w:p>
      <w:pPr>
        <w:ind w:left="1980" w:right="779" w:hanging="352"/>
        <w:spacing w:after="0" w:line="277" w:lineRule="auto"/>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Class I directors are Mr. Finley, Mr. Ganeles and Ms. Walton and their terms will expire at the annual meeting of stockholders to be held in 2020;</w:t>
      </w:r>
    </w:p>
    <w:p>
      <w:pPr>
        <w:spacing w:after="0" w:line="129" w:lineRule="exact"/>
        <w:rPr>
          <w:rFonts w:ascii="Arial" w:cs="Arial" w:eastAsia="Arial" w:hAnsi="Arial"/>
          <w:sz w:val="18"/>
          <w:szCs w:val="18"/>
          <w:color w:val="auto"/>
        </w:rPr>
      </w:pPr>
    </w:p>
    <w:p>
      <w:pPr>
        <w:ind w:left="1980" w:right="999" w:hanging="352"/>
        <w:spacing w:after="0" w:line="277" w:lineRule="auto"/>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Class II directors are Ms. Madoff, Mr. Pluta and Mr. West and their terms will expire at the annual meeting of stockholders to be held in 2021; and</w:t>
      </w:r>
    </w:p>
    <w:p>
      <w:pPr>
        <w:spacing w:after="0" w:line="129" w:lineRule="exact"/>
        <w:rPr>
          <w:rFonts w:ascii="Arial" w:cs="Arial" w:eastAsia="Arial" w:hAnsi="Arial"/>
          <w:sz w:val="18"/>
          <w:szCs w:val="18"/>
          <w:color w:val="auto"/>
        </w:rPr>
      </w:pPr>
    </w:p>
    <w:p>
      <w:pPr>
        <w:ind w:left="1980" w:right="1079" w:hanging="352"/>
        <w:spacing w:after="0" w:line="277" w:lineRule="auto"/>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Class III directors are Mr. Berns, Mr. Brand, Mr. Hult and Mr. Olesky and their terms will expire at the annual meeting of stockholders to be held in 2022.</w:t>
      </w:r>
    </w:p>
    <w:p>
      <w:pPr>
        <w:spacing w:after="0" w:line="62"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Upon expiration of the term of a class of directors, directors for that class will be elected for three-year terms at the annual meeting of stockholders in the year in which that term expires. Each director’s term continues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spacing w:after="0" w:line="70"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In addition, pursuant to the Stockholders Agreement with the Refinitiv Owners, the Refinitiv Owners have the right to designate nominees to our board of directors subject to the maintenance of certain ownership requirements in us. See “Certain Relationships and Related Party Transactions — Related Party Transactions Entered Into in Connection With the IPO — Stockholders Agreement” for additional information.</w:t>
      </w:r>
    </w:p>
    <w:p>
      <w:pPr>
        <w:spacing w:after="0" w:line="25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8065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 and Controlled Company Exception</w:t>
      </w:r>
    </w:p>
    <w:p>
      <w:pPr>
        <w:spacing w:after="0" w:line="108" w:lineRule="exact"/>
        <w:rPr>
          <w:sz w:val="20"/>
          <w:szCs w:val="20"/>
          <w:color w:val="auto"/>
        </w:rPr>
      </w:pPr>
    </w:p>
    <w:p>
      <w:pPr>
        <w:jc w:val="both"/>
        <w:ind w:left="1260" w:right="919" w:firstLine="360"/>
        <w:spacing w:after="0" w:line="263" w:lineRule="auto"/>
        <w:rPr>
          <w:sz w:val="20"/>
          <w:szCs w:val="20"/>
          <w:color w:val="auto"/>
        </w:rPr>
      </w:pPr>
      <w:r>
        <w:rPr>
          <w:rFonts w:ascii="Arial" w:cs="Arial" w:eastAsia="Arial" w:hAnsi="Arial"/>
          <w:sz w:val="18"/>
          <w:szCs w:val="18"/>
          <w:color w:val="auto"/>
        </w:rPr>
        <w:t>Our board of directors has affirmatively determined that Mr. Berns, Mr. Ganeles and Ms. Madoff are independent directors under the rules of Nasdaq, and are independent directors as such term is defined in Rule 10A-3(b)(1) under the Exchange Act.</w:t>
      </w:r>
    </w:p>
    <w:p>
      <w:pPr>
        <w:spacing w:after="0" w:line="76"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The Refinitiv Owners, who are parties to the Stockholders Agreement, hold Class B common stock and Class D common stock collectively representing a majority of the combined voting power of our total outstanding common stock. As a result, we are a “controlled company” within the meaning of the corporate governance standards of Nasdaq. Under these rules, a “controlled company” may elect not to comply with certain corporate governance requirements, including:</w:t>
      </w:r>
    </w:p>
    <w:p>
      <w:pPr>
        <w:spacing w:after="0" w:line="161" w:lineRule="exact"/>
        <w:rPr>
          <w:sz w:val="20"/>
          <w:szCs w:val="20"/>
          <w:color w:val="auto"/>
        </w:rPr>
      </w:pPr>
    </w:p>
    <w:p>
      <w:pPr>
        <w:ind w:left="1980" w:hanging="352"/>
        <w:spacing w:after="0"/>
        <w:tabs>
          <w:tab w:leader="none" w:pos="1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184" w:lineRule="exact"/>
        <w:rPr>
          <w:rFonts w:ascii="Arial" w:cs="Arial" w:eastAsia="Arial" w:hAnsi="Arial"/>
          <w:sz w:val="18"/>
          <w:szCs w:val="18"/>
          <w:color w:val="auto"/>
        </w:rPr>
      </w:pPr>
    </w:p>
    <w:p>
      <w:pPr>
        <w:ind w:left="1980" w:right="759" w:hanging="352"/>
        <w:spacing w:after="0" w:line="263" w:lineRule="auto"/>
        <w:tabs>
          <w:tab w:leader="none" w:pos="1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requirement that director nominations be made, or recommended to the full board of directors, by its independent directors or by a nominations committee that is composed entirely of independent directors; and</w:t>
      </w:r>
    </w:p>
    <w:p>
      <w:pPr>
        <w:spacing w:after="0" w:line="143" w:lineRule="exact"/>
        <w:rPr>
          <w:rFonts w:ascii="Arial" w:cs="Arial" w:eastAsia="Arial" w:hAnsi="Arial"/>
          <w:sz w:val="18"/>
          <w:szCs w:val="18"/>
          <w:color w:val="auto"/>
        </w:rPr>
      </w:pPr>
    </w:p>
    <w:p>
      <w:pPr>
        <w:ind w:left="1980" w:right="779" w:hanging="352"/>
        <w:spacing w:after="0" w:line="342" w:lineRule="auto"/>
        <w:tabs>
          <w:tab w:leader="none" w:pos="19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requirement that we have a compensation committee that is composed entirely of independent directors with a written charter addressing the committee’s purpose and responsibilities.</w:t>
      </w:r>
    </w:p>
    <w:p>
      <w:pPr>
        <w:spacing w:after="0" w:line="16" w:lineRule="exact"/>
        <w:rPr>
          <w:sz w:val="20"/>
          <w:szCs w:val="20"/>
          <w:color w:val="auto"/>
        </w:rPr>
      </w:pPr>
    </w:p>
    <w:p>
      <w:pPr>
        <w:ind w:left="1260" w:right="859" w:firstLine="360"/>
        <w:spacing w:after="0" w:line="269" w:lineRule="auto"/>
        <w:rPr>
          <w:sz w:val="20"/>
          <w:szCs w:val="20"/>
          <w:color w:val="auto"/>
        </w:rPr>
      </w:pPr>
      <w:r>
        <w:rPr>
          <w:rFonts w:ascii="Arial" w:cs="Arial" w:eastAsia="Arial" w:hAnsi="Arial"/>
          <w:sz w:val="17"/>
          <w:szCs w:val="17"/>
          <w:color w:val="auto"/>
        </w:rPr>
        <w:t>We rely on all of the exemptions listed above. As a result, we do not have a majority of independent directors and our nominating and corporate governance committee and compensation committee do not consist entirely of independent directors. Accordingly, you will not have the same protections afforded to stockholders of companies that are subject to all of the applicable stock exchange rules. See “Risk Factors</w:t>
      </w:r>
    </w:p>
    <w:p>
      <w:pPr>
        <w:spacing w:after="0" w:line="2" w:lineRule="exact"/>
        <w:rPr>
          <w:sz w:val="20"/>
          <w:szCs w:val="20"/>
          <w:color w:val="auto"/>
        </w:rPr>
      </w:pPr>
    </w:p>
    <w:p>
      <w:pPr>
        <w:ind w:left="1260" w:right="939"/>
        <w:spacing w:after="0" w:line="255" w:lineRule="auto"/>
        <w:rPr>
          <w:sz w:val="20"/>
          <w:szCs w:val="20"/>
          <w:color w:val="auto"/>
        </w:rPr>
      </w:pPr>
      <w:r>
        <w:rPr>
          <w:rFonts w:ascii="Arial" w:cs="Arial" w:eastAsia="Arial" w:hAnsi="Arial"/>
          <w:sz w:val="18"/>
          <w:szCs w:val="18"/>
          <w:color w:val="auto"/>
        </w:rPr>
        <w:t>— Risks Relating to Ownership of Our Class A Common Stock — We are a “controlled company” within the meaning of the corporate governance standards of Nasdaq and, as a result, qualify for, and rely on, exemptions from certain corporate governance requirements.”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08"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Our board of directors has three committees: the audit committee; the compensation committee; and the nominating and corporate governance committee. Our board of directors may establish other committees to facilitate the management of our business. The composition and functions of the audit committee, compensation committee and nominating and corporate governance committee are described below.</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Committee</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members of the audit committee are Mr. Berns, as Chairman, Mr. Ganeles, and Ms. Madoff.</w:t>
      </w:r>
    </w:p>
    <w:p>
      <w:pPr>
        <w:spacing w:after="0" w:line="117" w:lineRule="exact"/>
        <w:rPr>
          <w:sz w:val="20"/>
          <w:szCs w:val="20"/>
          <w:color w:val="auto"/>
        </w:rPr>
      </w:pPr>
    </w:p>
    <w:p>
      <w:pPr>
        <w:ind w:left="1260" w:right="979" w:firstLine="360"/>
        <w:spacing w:after="0" w:line="259" w:lineRule="auto"/>
        <w:rPr>
          <w:sz w:val="20"/>
          <w:szCs w:val="20"/>
          <w:color w:val="auto"/>
        </w:rPr>
      </w:pPr>
      <w:r>
        <w:rPr>
          <w:rFonts w:ascii="Arial" w:cs="Arial" w:eastAsia="Arial" w:hAnsi="Arial"/>
          <w:sz w:val="18"/>
          <w:szCs w:val="18"/>
          <w:color w:val="auto"/>
        </w:rPr>
        <w:t>Mr. Berns qualifies as our “audit committee financial expert” within the meaning of regulations adopted by the SEC. Our board of directors has also determined that each of Mr. Berns, Mr. Ganeles and Ms. Madoff are “independent” as defined under Nasdaq rules and the Exchange Act and rules and regulations promulgated thereunder.</w:t>
      </w:r>
    </w:p>
    <w:p>
      <w:pPr>
        <w:spacing w:after="0" w:line="79" w:lineRule="exact"/>
        <w:rPr>
          <w:sz w:val="20"/>
          <w:szCs w:val="20"/>
          <w:color w:val="auto"/>
        </w:rPr>
      </w:pPr>
    </w:p>
    <w:p>
      <w:pPr>
        <w:ind w:left="1260" w:right="779" w:firstLine="360"/>
        <w:spacing w:after="0" w:line="275" w:lineRule="auto"/>
        <w:rPr>
          <w:sz w:val="20"/>
          <w:szCs w:val="20"/>
          <w:color w:val="auto"/>
        </w:rPr>
      </w:pPr>
      <w:r>
        <w:rPr>
          <w:rFonts w:ascii="Arial" w:cs="Arial" w:eastAsia="Arial" w:hAnsi="Arial"/>
          <w:sz w:val="17"/>
          <w:szCs w:val="17"/>
          <w:color w:val="auto"/>
        </w:rPr>
        <w:t>The audit committee recommends the annual appointment and reviews the independence of auditors and reviews the scope of audit and non-audit assignments and related fees, the results of the annual audit, accounting principles used in financial reporting, internal auditing procedures, the adequacy of our internal control procedures, related party transactions and investigations into matters related to audit functions. The audit committee is also responsible for overseeing risk management on behalf of our board of directors.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w:t>
      </w:r>
    </w:p>
    <w:p>
      <w:pPr>
        <w:spacing w:after="0" w:line="108"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The members of the compensation committee are Mr. Brand, as Chairman, Mr. Finley, Mr. Ganeles, Ms. Madoff and Mr. West. The principal responsibilities of the compensation committee are to review and approve matters involving executive and director compensation, recommend changes in employee benefit programs, authorize equity and other incentive arrangements and authorize our Company to enter into employment and other employee-related agreements.</w:t>
      </w:r>
    </w:p>
    <w:p>
      <w:pPr>
        <w:spacing w:after="0" w:line="25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8065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7" w:name="page108"/>
    <w:bookmarkEnd w:id="10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08" w:lineRule="exact"/>
        <w:rPr>
          <w:sz w:val="20"/>
          <w:szCs w:val="20"/>
          <w:color w:val="auto"/>
        </w:rPr>
      </w:pPr>
    </w:p>
    <w:p>
      <w:pPr>
        <w:ind w:left="1260" w:right="999" w:firstLine="360"/>
        <w:spacing w:after="0" w:line="257" w:lineRule="auto"/>
        <w:rPr>
          <w:sz w:val="20"/>
          <w:szCs w:val="20"/>
          <w:color w:val="auto"/>
        </w:rPr>
      </w:pPr>
      <w:r>
        <w:rPr>
          <w:rFonts w:ascii="Arial" w:cs="Arial" w:eastAsia="Arial" w:hAnsi="Arial"/>
          <w:sz w:val="18"/>
          <w:szCs w:val="18"/>
          <w:color w:val="auto"/>
        </w:rPr>
        <w:t>The members of the nominating and corporate governance committee are Mr. Finley, as Chairman, Mr. Brand, and Ms. Madoff. The nominating and corporate governance committee assists our board of directors in identifying individuals qualified to become board members, makes recommendations for nominees for committees and develops, recommends to the board of directors and reviews our corporate governance principles.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8" w:lineRule="exact"/>
        <w:rPr>
          <w:sz w:val="20"/>
          <w:szCs w:val="20"/>
          <w:color w:val="auto"/>
        </w:rPr>
      </w:pPr>
    </w:p>
    <w:p>
      <w:pPr>
        <w:ind w:left="1260" w:right="919" w:firstLine="360"/>
        <w:spacing w:after="0" w:line="273" w:lineRule="auto"/>
        <w:rPr>
          <w:sz w:val="20"/>
          <w:szCs w:val="20"/>
          <w:color w:val="auto"/>
        </w:rPr>
      </w:pPr>
      <w:r>
        <w:rPr>
          <w:rFonts w:ascii="Arial" w:cs="Arial" w:eastAsia="Arial" w:hAnsi="Arial"/>
          <w:sz w:val="17"/>
          <w:szCs w:val="17"/>
          <w:color w:val="auto"/>
        </w:rPr>
        <w:t>None of our executive officers serves, or in the past year has served, as a member of the board of directors or compensation committee (or other committee performing equivalent functions) of any entity that has one or more executive officers serving on our board of directors or compensation committee. No interlocking relationship exists between any member of the compensation committee (or other committee performing equivalent functions) and any executive, member of the board of directors or member of the compensation committee (or other committee performing equivalent functions) of any other company.</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Ethics</w:t>
      </w:r>
    </w:p>
    <w:p>
      <w:pPr>
        <w:spacing w:after="0" w:line="108" w:lineRule="exact"/>
        <w:rPr>
          <w:sz w:val="20"/>
          <w:szCs w:val="20"/>
          <w:color w:val="auto"/>
        </w:rPr>
      </w:pPr>
    </w:p>
    <w:p>
      <w:pPr>
        <w:ind w:left="1260" w:right="899" w:firstLine="360"/>
        <w:spacing w:after="0" w:line="272" w:lineRule="auto"/>
        <w:rPr>
          <w:sz w:val="20"/>
          <w:szCs w:val="20"/>
          <w:color w:val="auto"/>
        </w:rPr>
      </w:pPr>
      <w:r>
        <w:rPr>
          <w:rFonts w:ascii="Arial" w:cs="Arial" w:eastAsia="Arial" w:hAnsi="Arial"/>
          <w:sz w:val="17"/>
          <w:szCs w:val="17"/>
          <w:color w:val="auto"/>
        </w:rPr>
        <w:t>We have adopted a Code of Business Conduct and Ethics applicable to all of our directors, officers (including our principal executive officer, principal financial officer and principal accounting officer) and all global employees. Our Code of Business Conduct and Ethics is available on our website at www.tradeweb.com. In the event that we amend or waive certain provisions of our Code of Business Conduct and Ethics applicable to our principal executive officer, principal financial officer or principal accounting officer that requires disclosure under applicable SEC rules, we intend to disclose the same on our website. Our website is not part of or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PRINCIPAL STOCKHOLDERS</w:t>
      </w:r>
    </w:p>
    <w:p>
      <w:pPr>
        <w:spacing w:after="0" w:line="108"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The following table sets forth information regarding the beneficial ownership of our Class A common stock and our Class B common stock as of March 31, 2020, after giving effect to the Net Exercise and the completion of this offering and the application of the net proceeds therefrom as described in “Use of Proceeds” and “Certain Relationships and Related Party Transactions — Transactions With Certain Original LLC Owners,” based on an assumed price of $53.16 per share of our Class A common stock (the closing price for our shares of Class A common stock on Nasdaq on April 16, 2020), for:</w:t>
      </w:r>
    </w:p>
    <w:p>
      <w:pPr>
        <w:spacing w:after="0" w:line="110" w:lineRule="exact"/>
        <w:rPr>
          <w:sz w:val="20"/>
          <w:szCs w:val="20"/>
          <w:color w:val="auto"/>
        </w:rPr>
      </w:pPr>
    </w:p>
    <w:p>
      <w:pPr>
        <w:ind w:left="1980" w:right="779" w:hanging="352"/>
        <w:spacing w:after="0" w:line="277" w:lineRule="auto"/>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person or entity who is known by us to beneficially own more than 5% of our Class A or our Class B common stock;</w:t>
      </w:r>
    </w:p>
    <w:p>
      <w:pPr>
        <w:spacing w:after="0" w:line="102" w:lineRule="exact"/>
        <w:rPr>
          <w:rFonts w:ascii="Arial" w:cs="Arial" w:eastAsia="Arial" w:hAnsi="Arial"/>
          <w:sz w:val="18"/>
          <w:szCs w:val="18"/>
          <w:color w:val="auto"/>
        </w:rPr>
      </w:pPr>
    </w:p>
    <w:p>
      <w:pPr>
        <w:ind w:left="1980" w:hanging="352"/>
        <w:spacing w:after="0"/>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of our directors and named executive officers; and</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17"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including the redemption rights described elsewhere in this prospectus, held by such person that have vested or will vest within 60 days of March 31, 2020 are considered outstanding, although these shares are not considered outstanding for purposes of computing the percentage ownership of any other person. Unless otherwise indicated, the address of all listed stockholders is c/o Tradeweb Markets Inc., 1177 Avenue of the Americas, New York, New York 10036. Each of the stockholders listed has sole voting and investment power with respect to the shares beneficially owned by the stockholder unless noted otherwise, subject to community property laws where applicable.</w:t>
      </w:r>
    </w:p>
    <w:p>
      <w:pPr>
        <w:spacing w:after="0" w:line="12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center"/>
              <w:ind w:left="195"/>
              <w:spacing w:after="0"/>
              <w:rPr>
                <w:sz w:val="20"/>
                <w:szCs w:val="20"/>
                <w:color w:val="auto"/>
              </w:rPr>
            </w:pPr>
            <w:r>
              <w:rPr>
                <w:rFonts w:ascii="Arial" w:cs="Arial" w:eastAsia="Arial" w:hAnsi="Arial"/>
                <w:sz w:val="14"/>
                <w:szCs w:val="14"/>
                <w:b w:val="1"/>
                <w:bCs w:val="1"/>
                <w:color w:val="auto"/>
                <w:w w:val="93"/>
              </w:rPr>
              <w:t>Class A</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5"/>
          </w:tcPr>
          <w:p>
            <w:pPr>
              <w:ind w:left="720"/>
              <w:spacing w:after="0"/>
              <w:rPr>
                <w:sz w:val="20"/>
                <w:szCs w:val="20"/>
                <w:color w:val="auto"/>
              </w:rPr>
            </w:pPr>
            <w:r>
              <w:rPr>
                <w:rFonts w:ascii="Arial" w:cs="Arial" w:eastAsia="Arial" w:hAnsi="Arial"/>
                <w:sz w:val="14"/>
                <w:szCs w:val="14"/>
                <w:b w:val="1"/>
                <w:bCs w:val="1"/>
                <w:color w:val="auto"/>
              </w:rPr>
              <w:t>Class B</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center"/>
              <w:ind w:left="215"/>
              <w:spacing w:after="0"/>
              <w:rPr>
                <w:sz w:val="20"/>
                <w:szCs w:val="20"/>
                <w:color w:val="auto"/>
              </w:rPr>
            </w:pPr>
            <w:r>
              <w:rPr>
                <w:rFonts w:ascii="Arial" w:cs="Arial" w:eastAsia="Arial" w:hAnsi="Arial"/>
                <w:sz w:val="14"/>
                <w:szCs w:val="14"/>
                <w:b w:val="1"/>
                <w:bCs w:val="1"/>
                <w:color w:val="auto"/>
                <w:w w:val="95"/>
              </w:rPr>
              <w:t>Common Stock (on a</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5"/>
          </w:tcPr>
          <w:p>
            <w:pPr>
              <w:ind w:left="300"/>
              <w:spacing w:after="0"/>
              <w:rPr>
                <w:sz w:val="20"/>
                <w:szCs w:val="20"/>
                <w:color w:val="auto"/>
              </w:rPr>
            </w:pPr>
            <w:r>
              <w:rPr>
                <w:rFonts w:ascii="Arial" w:cs="Arial" w:eastAsia="Arial" w:hAnsi="Arial"/>
                <w:sz w:val="14"/>
                <w:szCs w:val="14"/>
                <w:b w:val="1"/>
                <w:bCs w:val="1"/>
                <w:color w:val="auto"/>
                <w:w w:val="94"/>
              </w:rPr>
              <w:t>Common Stock (on a</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4"/>
        </w:trPr>
        <w:tc>
          <w:tcPr>
            <w:tcW w:w="1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5"/>
          </w:tcPr>
          <w:p>
            <w:pPr>
              <w:jc w:val="center"/>
              <w:ind w:left="195"/>
              <w:spacing w:after="0" w:line="145" w:lineRule="exact"/>
              <w:rPr>
                <w:sz w:val="20"/>
                <w:szCs w:val="20"/>
                <w:color w:val="auto"/>
              </w:rPr>
            </w:pPr>
            <w:r>
              <w:rPr>
                <w:rFonts w:ascii="Arial" w:cs="Arial" w:eastAsia="Arial" w:hAnsi="Arial"/>
                <w:sz w:val="14"/>
                <w:szCs w:val="14"/>
                <w:b w:val="1"/>
                <w:bCs w:val="1"/>
                <w:color w:val="auto"/>
                <w:w w:val="95"/>
              </w:rPr>
              <w:t>fully exchanged and</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5"/>
          </w:tcPr>
          <w:p>
            <w:pPr>
              <w:ind w:left="460"/>
              <w:spacing w:after="0" w:line="145" w:lineRule="exact"/>
              <w:rPr>
                <w:sz w:val="20"/>
                <w:szCs w:val="20"/>
                <w:color w:val="auto"/>
              </w:rPr>
            </w:pPr>
            <w:r>
              <w:rPr>
                <w:rFonts w:ascii="Arial" w:cs="Arial" w:eastAsia="Arial" w:hAnsi="Arial"/>
                <w:sz w:val="14"/>
                <w:szCs w:val="14"/>
                <w:b w:val="1"/>
                <w:bCs w:val="1"/>
                <w:color w:val="auto"/>
              </w:rPr>
              <w:t>fully exchanged</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4"/>
          </w:tcPr>
          <w:p>
            <w:pPr>
              <w:spacing w:after="0" w:line="145" w:lineRule="exact"/>
              <w:rPr>
                <w:sz w:val="20"/>
                <w:szCs w:val="20"/>
                <w:color w:val="auto"/>
              </w:rPr>
            </w:pPr>
            <w:r>
              <w:rPr>
                <w:rFonts w:ascii="Arial" w:cs="Arial" w:eastAsia="Arial" w:hAnsi="Arial"/>
                <w:sz w:val="14"/>
                <w:szCs w:val="14"/>
                <w:b w:val="1"/>
                <w:bCs w:val="1"/>
                <w:color w:val="auto"/>
              </w:rPr>
              <w:t>Combined Voting</w:t>
            </w:r>
          </w:p>
        </w:tc>
      </w:tr>
      <w:tr>
        <w:trPr>
          <w:trHeight w:val="243"/>
        </w:trPr>
        <w:tc>
          <w:tcPr>
            <w:tcW w:w="1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Borders>
              <w:bottom w:val="single" w:sz="8" w:color="auto"/>
            </w:tcBorders>
            <w:gridSpan w:val="5"/>
          </w:tcPr>
          <w:p>
            <w:pPr>
              <w:jc w:val="center"/>
              <w:ind w:left="255"/>
              <w:spacing w:after="0"/>
              <w:rPr>
                <w:sz w:val="20"/>
                <w:szCs w:val="20"/>
                <w:color w:val="auto"/>
              </w:rPr>
            </w:pPr>
            <w:r>
              <w:rPr>
                <w:rFonts w:ascii="Arial" w:cs="Arial" w:eastAsia="Arial" w:hAnsi="Arial"/>
                <w:sz w:val="14"/>
                <w:szCs w:val="14"/>
                <w:b w:val="1"/>
                <w:bCs w:val="1"/>
                <w:color w:val="auto"/>
                <w:w w:val="91"/>
              </w:rPr>
              <w:t>converted basis)</w:t>
            </w:r>
            <w:r>
              <w:rPr>
                <w:rFonts w:ascii="Arial" w:cs="Arial" w:eastAsia="Arial" w:hAnsi="Arial"/>
                <w:sz w:val="21"/>
                <w:szCs w:val="21"/>
                <w:b w:val="1"/>
                <w:bCs w:val="1"/>
                <w:color w:val="auto"/>
                <w:w w:val="91"/>
                <w:vertAlign w:val="superscript"/>
              </w:rPr>
              <w:t>(1)</w:t>
            </w:r>
          </w:p>
        </w:tc>
        <w:tc>
          <w:tcPr>
            <w:tcW w:w="3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basis)</w:t>
            </w:r>
            <w:r>
              <w:rPr>
                <w:rFonts w:ascii="Arial" w:cs="Arial" w:eastAsia="Arial" w:hAnsi="Arial"/>
                <w:sz w:val="21"/>
                <w:szCs w:val="21"/>
                <w:b w:val="1"/>
                <w:bCs w:val="1"/>
                <w:color w:val="auto"/>
                <w:vertAlign w:val="superscript"/>
              </w:rPr>
              <w:t>(2)</w:t>
            </w:r>
          </w:p>
        </w:tc>
        <w:tc>
          <w:tcPr>
            <w:tcW w:w="3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4"/>
                <w:szCs w:val="14"/>
                <w:b w:val="1"/>
                <w:bCs w:val="1"/>
                <w:color w:val="auto"/>
              </w:rPr>
              <w:t>Power</w:t>
            </w:r>
            <w:r>
              <w:rPr>
                <w:rFonts w:ascii="Arial" w:cs="Arial" w:eastAsia="Arial" w:hAnsi="Arial"/>
                <w:sz w:val="21"/>
                <w:szCs w:val="21"/>
                <w:b w:val="1"/>
                <w:bCs w:val="1"/>
                <w:color w:val="auto"/>
                <w:vertAlign w:val="superscript"/>
              </w:rPr>
              <w:t>(3)</w:t>
            </w:r>
          </w:p>
        </w:tc>
        <w:tc>
          <w:tcPr>
            <w:tcW w:w="80" w:type="dxa"/>
            <w:vAlign w:val="bottom"/>
          </w:tcPr>
          <w:p>
            <w:pPr>
              <w:spacing w:after="0"/>
              <w:rPr>
                <w:sz w:val="21"/>
                <w:szCs w:val="21"/>
                <w:color w:val="auto"/>
              </w:rPr>
            </w:pPr>
          </w:p>
        </w:tc>
      </w:tr>
      <w:tr>
        <w:trPr>
          <w:trHeight w:val="198"/>
        </w:trPr>
        <w:tc>
          <w:tcPr>
            <w:tcW w:w="274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 owner</w:t>
            </w: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58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r>
      <w:tr>
        <w:trPr>
          <w:trHeight w:val="25"/>
        </w:trPr>
        <w:tc>
          <w:tcPr>
            <w:tcW w:w="1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63"/>
        </w:trPr>
        <w:tc>
          <w:tcPr>
            <w:tcW w:w="2580" w:type="dxa"/>
            <w:vAlign w:val="bottom"/>
            <w:gridSpan w:val="2"/>
            <w:shd w:val="clear" w:color="auto" w:fill="CCEEFF"/>
          </w:tcPr>
          <w:p>
            <w:pPr>
              <w:spacing w:after="0" w:line="263" w:lineRule="exact"/>
              <w:rPr>
                <w:sz w:val="20"/>
                <w:szCs w:val="20"/>
                <w:color w:val="auto"/>
              </w:rPr>
            </w:pPr>
            <w:r>
              <w:rPr>
                <w:rFonts w:ascii="Arial" w:cs="Arial" w:eastAsia="Arial" w:hAnsi="Arial"/>
                <w:sz w:val="18"/>
                <w:szCs w:val="18"/>
                <w:color w:val="auto"/>
                <w:w w:val="99"/>
                <w:shd w:val="clear" w:color="auto" w:fill="CCEEFF"/>
              </w:rPr>
              <w:t>Entities affiliated with Refinitiv</w:t>
            </w:r>
            <w:r>
              <w:rPr>
                <w:rFonts w:ascii="Arial" w:cs="Arial" w:eastAsia="Arial" w:hAnsi="Arial"/>
                <w:sz w:val="26"/>
                <w:szCs w:val="26"/>
                <w:color w:val="auto"/>
                <w:w w:val="99"/>
                <w:vertAlign w:val="superscript"/>
                <w:shd w:val="clear" w:color="auto" w:fill="CCEEFF"/>
              </w:rPr>
              <w:t>(4)</w:t>
            </w:r>
          </w:p>
        </w:tc>
        <w:tc>
          <w:tcPr>
            <w:tcW w:w="1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shd w:val="clear" w:color="auto" w:fill="CCEEFF"/>
              </w:rPr>
              <w:t>119,921,521</w:t>
            </w:r>
          </w:p>
        </w:tc>
        <w:tc>
          <w:tcPr>
            <w:tcW w:w="2160" w:type="dxa"/>
            <w:vAlign w:val="bottom"/>
            <w:gridSpan w:val="7"/>
            <w:shd w:val="clear" w:color="auto" w:fill="CCEEFF"/>
          </w:tcPr>
          <w:p>
            <w:pPr>
              <w:jc w:val="right"/>
              <w:ind w:right="180"/>
              <w:spacing w:after="0"/>
              <w:rPr>
                <w:sz w:val="20"/>
                <w:szCs w:val="20"/>
                <w:color w:val="auto"/>
              </w:rPr>
            </w:pPr>
            <w:r>
              <w:rPr>
                <w:rFonts w:ascii="Arial" w:cs="Arial" w:eastAsia="Arial" w:hAnsi="Arial"/>
                <w:sz w:val="18"/>
                <w:szCs w:val="18"/>
                <w:color w:val="auto"/>
                <w:w w:val="92"/>
                <w:shd w:val="clear" w:color="auto" w:fill="CCEEFF"/>
              </w:rPr>
              <w:t>53.2% 53.2% 119,921,521</w:t>
            </w:r>
          </w:p>
        </w:tc>
        <w:tc>
          <w:tcPr>
            <w:tcW w:w="10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3"/>
                <w:shd w:val="clear" w:color="auto" w:fill="CCEEFF"/>
              </w:rPr>
              <w:t>88.5% 89.6%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shd w:val="clear" w:color="auto" w:fill="CCEEFF"/>
              </w:rPr>
              <w:t>83.0%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shd w:val="clear" w:color="auto" w:fill="CCEEFF"/>
              </w:rPr>
              <w:t>83.8%</w:t>
            </w:r>
          </w:p>
        </w:tc>
        <w:tc>
          <w:tcPr>
            <w:tcW w:w="80" w:type="dxa"/>
            <w:vAlign w:val="bottom"/>
          </w:tcPr>
          <w:p>
            <w:pPr>
              <w:spacing w:after="0"/>
              <w:rPr>
                <w:sz w:val="22"/>
                <w:szCs w:val="22"/>
                <w:color w:val="auto"/>
              </w:rPr>
            </w:pPr>
          </w:p>
        </w:tc>
      </w:tr>
      <w:tr>
        <w:trPr>
          <w:trHeight w:val="270"/>
        </w:trPr>
        <w:tc>
          <w:tcPr>
            <w:tcW w:w="2740" w:type="dxa"/>
            <w:vAlign w:val="bottom"/>
            <w:gridSpan w:val="3"/>
          </w:tcPr>
          <w:p>
            <w:pPr>
              <w:spacing w:after="0" w:line="270" w:lineRule="exact"/>
              <w:rPr>
                <w:sz w:val="20"/>
                <w:szCs w:val="20"/>
                <w:color w:val="auto"/>
              </w:rPr>
            </w:pPr>
            <w:r>
              <w:rPr>
                <w:rFonts w:ascii="Arial" w:cs="Arial" w:eastAsia="Arial" w:hAnsi="Arial"/>
                <w:sz w:val="18"/>
                <w:szCs w:val="18"/>
                <w:color w:val="auto"/>
              </w:rPr>
              <w:t>Lee Olesky</w:t>
            </w:r>
            <w:r>
              <w:rPr>
                <w:rFonts w:ascii="Arial" w:cs="Arial" w:eastAsia="Arial" w:hAnsi="Arial"/>
                <w:sz w:val="26"/>
                <w:szCs w:val="26"/>
                <w:color w:val="auto"/>
                <w:vertAlign w:val="superscript"/>
              </w:rPr>
              <w:t>(5)</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3,610,893</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3"/>
                <w:szCs w:val="2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r>
      <w:tr>
        <w:trPr>
          <w:trHeight w:val="270"/>
        </w:trPr>
        <w:tc>
          <w:tcPr>
            <w:tcW w:w="274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Billy Hult</w:t>
            </w:r>
            <w:r>
              <w:rPr>
                <w:rFonts w:ascii="Arial" w:cs="Arial" w:eastAsia="Arial" w:hAnsi="Arial"/>
                <w:sz w:val="26"/>
                <w:szCs w:val="26"/>
                <w:color w:val="auto"/>
                <w:vertAlign w:val="superscript"/>
              </w:rPr>
              <w:t>(6)</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2,122,948</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r>
      <w:tr>
        <w:trPr>
          <w:trHeight w:val="270"/>
        </w:trPr>
        <w:tc>
          <w:tcPr>
            <w:tcW w:w="2740" w:type="dxa"/>
            <w:vAlign w:val="bottom"/>
            <w:gridSpan w:val="3"/>
          </w:tcPr>
          <w:p>
            <w:pPr>
              <w:spacing w:after="0" w:line="270" w:lineRule="exact"/>
              <w:rPr>
                <w:sz w:val="20"/>
                <w:szCs w:val="20"/>
                <w:color w:val="auto"/>
              </w:rPr>
            </w:pPr>
            <w:r>
              <w:rPr>
                <w:rFonts w:ascii="Arial" w:cs="Arial" w:eastAsia="Arial" w:hAnsi="Arial"/>
                <w:sz w:val="18"/>
                <w:szCs w:val="18"/>
                <w:color w:val="auto"/>
              </w:rPr>
              <w:t>Enrico Bruni</w:t>
            </w:r>
            <w:r>
              <w:rPr>
                <w:rFonts w:ascii="Arial" w:cs="Arial" w:eastAsia="Arial" w:hAnsi="Arial"/>
                <w:sz w:val="26"/>
                <w:szCs w:val="26"/>
                <w:color w:val="auto"/>
                <w:vertAlign w:val="superscript"/>
              </w:rPr>
              <w:t>(7)</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471,217</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r>
      <w:tr>
        <w:trPr>
          <w:trHeight w:val="270"/>
        </w:trPr>
        <w:tc>
          <w:tcPr>
            <w:tcW w:w="274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Steven Berns</w:t>
            </w:r>
            <w:r>
              <w:rPr>
                <w:rFonts w:ascii="Arial" w:cs="Arial" w:eastAsia="Arial" w:hAnsi="Arial"/>
                <w:sz w:val="26"/>
                <w:szCs w:val="26"/>
                <w:color w:val="auto"/>
                <w:vertAlign w:val="superscript"/>
              </w:rPr>
              <w:t>(8)</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r>
      <w:tr>
        <w:trPr>
          <w:trHeight w:val="270"/>
        </w:trPr>
        <w:tc>
          <w:tcPr>
            <w:tcW w:w="2740" w:type="dxa"/>
            <w:vAlign w:val="bottom"/>
            <w:gridSpan w:val="3"/>
          </w:tcPr>
          <w:p>
            <w:pPr>
              <w:spacing w:after="0" w:line="270" w:lineRule="exact"/>
              <w:rPr>
                <w:sz w:val="20"/>
                <w:szCs w:val="20"/>
                <w:color w:val="auto"/>
              </w:rPr>
            </w:pPr>
            <w:r>
              <w:rPr>
                <w:rFonts w:ascii="Arial" w:cs="Arial" w:eastAsia="Arial" w:hAnsi="Arial"/>
                <w:sz w:val="18"/>
                <w:szCs w:val="18"/>
                <w:color w:val="auto"/>
              </w:rPr>
              <w:t>Martin Brand</w:t>
            </w:r>
            <w:r>
              <w:rPr>
                <w:rFonts w:ascii="Arial" w:cs="Arial" w:eastAsia="Arial" w:hAnsi="Arial"/>
                <w:sz w:val="26"/>
                <w:szCs w:val="26"/>
                <w:color w:val="auto"/>
                <w:vertAlign w:val="superscript"/>
              </w:rPr>
              <w:t>(9)</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0"/>
        </w:trPr>
        <w:tc>
          <w:tcPr>
            <w:tcW w:w="274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John G. Finley</w:t>
            </w:r>
            <w:r>
              <w:rPr>
                <w:rFonts w:ascii="Arial" w:cs="Arial" w:eastAsia="Arial" w:hAnsi="Arial"/>
                <w:sz w:val="26"/>
                <w:szCs w:val="26"/>
                <w:color w:val="auto"/>
                <w:vertAlign w:val="superscript"/>
              </w:rPr>
              <w:t>(10)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r>
      <w:tr>
        <w:trPr>
          <w:trHeight w:val="256"/>
        </w:trPr>
        <w:tc>
          <w:tcPr>
            <w:tcW w:w="2740" w:type="dxa"/>
            <w:vAlign w:val="bottom"/>
            <w:gridSpan w:val="3"/>
          </w:tcPr>
          <w:p>
            <w:pPr>
              <w:spacing w:after="0"/>
              <w:rPr>
                <w:sz w:val="20"/>
                <w:szCs w:val="20"/>
                <w:color w:val="auto"/>
              </w:rPr>
            </w:pPr>
            <w:r>
              <w:rPr>
                <w:rFonts w:ascii="Arial" w:cs="Arial" w:eastAsia="Arial" w:hAnsi="Arial"/>
                <w:sz w:val="18"/>
                <w:szCs w:val="18"/>
                <w:color w:val="auto"/>
              </w:rPr>
              <w:t>Scott C. Ganeles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3,704</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r>
      <w:tr>
        <w:trPr>
          <w:trHeight w:val="257"/>
        </w:trPr>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Paula B. Madoff</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3,704</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r>
      <w:tr>
        <w:trPr>
          <w:trHeight w:val="256"/>
        </w:trPr>
        <w:tc>
          <w:tcPr>
            <w:tcW w:w="2740" w:type="dxa"/>
            <w:vAlign w:val="bottom"/>
            <w:gridSpan w:val="3"/>
          </w:tcPr>
          <w:p>
            <w:pPr>
              <w:spacing w:after="0"/>
              <w:rPr>
                <w:sz w:val="20"/>
                <w:szCs w:val="20"/>
                <w:color w:val="auto"/>
              </w:rPr>
            </w:pPr>
            <w:r>
              <w:rPr>
                <w:rFonts w:ascii="Arial" w:cs="Arial" w:eastAsia="Arial" w:hAnsi="Arial"/>
                <w:sz w:val="18"/>
                <w:szCs w:val="18"/>
                <w:color w:val="auto"/>
              </w:rPr>
              <w:t>Thomas Pluta</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3,704</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r>
      <w:tr>
        <w:trPr>
          <w:trHeight w:val="270"/>
        </w:trPr>
        <w:tc>
          <w:tcPr>
            <w:tcW w:w="274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Debra Walton</w:t>
            </w:r>
            <w:r>
              <w:rPr>
                <w:rFonts w:ascii="Arial" w:cs="Arial" w:eastAsia="Arial" w:hAnsi="Arial"/>
                <w:sz w:val="26"/>
                <w:szCs w:val="26"/>
                <w:color w:val="auto"/>
                <w:vertAlign w:val="superscript"/>
              </w:rPr>
              <w:t>(11)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r>
      <w:tr>
        <w:trPr>
          <w:trHeight w:val="270"/>
        </w:trPr>
        <w:tc>
          <w:tcPr>
            <w:tcW w:w="2740" w:type="dxa"/>
            <w:vAlign w:val="bottom"/>
            <w:gridSpan w:val="3"/>
          </w:tcPr>
          <w:p>
            <w:pPr>
              <w:spacing w:after="0" w:line="270" w:lineRule="exact"/>
              <w:rPr>
                <w:sz w:val="20"/>
                <w:szCs w:val="20"/>
                <w:color w:val="auto"/>
              </w:rPr>
            </w:pPr>
            <w:r>
              <w:rPr>
                <w:rFonts w:ascii="Arial" w:cs="Arial" w:eastAsia="Arial" w:hAnsi="Arial"/>
                <w:sz w:val="18"/>
                <w:szCs w:val="18"/>
                <w:color w:val="auto"/>
              </w:rPr>
              <w:t>Brian West</w:t>
            </w:r>
            <w:r>
              <w:rPr>
                <w:rFonts w:ascii="Arial" w:cs="Arial" w:eastAsia="Arial" w:hAnsi="Arial"/>
                <w:sz w:val="26"/>
                <w:szCs w:val="26"/>
                <w:color w:val="auto"/>
                <w:vertAlign w:val="superscript"/>
              </w:rPr>
              <w:t>(12)</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9"/>
        </w:trPr>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executive officers and</w:t>
            </w: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r>
      <w:tr>
        <w:trPr>
          <w:trHeight w:val="179"/>
        </w:trPr>
        <w:tc>
          <w:tcPr>
            <w:tcW w:w="2740" w:type="dxa"/>
            <w:vAlign w:val="bottom"/>
            <w:gridSpan w:val="3"/>
            <w:shd w:val="clear" w:color="auto" w:fill="CCEEFF"/>
          </w:tcPr>
          <w:p>
            <w:pPr>
              <w:ind w:left="180"/>
              <w:spacing w:after="0" w:line="179" w:lineRule="exact"/>
              <w:rPr>
                <w:sz w:val="20"/>
                <w:szCs w:val="20"/>
                <w:color w:val="auto"/>
              </w:rPr>
            </w:pPr>
            <w:r>
              <w:rPr>
                <w:rFonts w:ascii="Arial" w:cs="Arial" w:eastAsia="Arial" w:hAnsi="Arial"/>
                <w:sz w:val="18"/>
                <w:szCs w:val="18"/>
                <w:color w:val="auto"/>
              </w:rPr>
              <w:t>directors as a group (16</w:t>
            </w: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r>
      <w:tr>
        <w:trPr>
          <w:trHeight w:val="308"/>
        </w:trPr>
        <w:tc>
          <w:tcPr>
            <w:tcW w:w="27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persons)</w:t>
            </w:r>
            <w:r>
              <w:rPr>
                <w:rFonts w:ascii="Arial" w:cs="Arial" w:eastAsia="Arial" w:hAnsi="Arial"/>
                <w:sz w:val="26"/>
                <w:szCs w:val="26"/>
                <w:color w:val="auto"/>
                <w:vertAlign w:val="superscript"/>
              </w:rPr>
              <w:t>(13)</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7,086,629</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r>
      <w:tr>
        <w:trPr>
          <w:trHeight w:val="243"/>
        </w:trPr>
        <w:tc>
          <w:tcPr>
            <w:tcW w:w="1940" w:type="dxa"/>
            <w:vAlign w:val="bottom"/>
            <w:tcBorders>
              <w:bottom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-2656840</wp:posOffset>
            </wp:positionV>
            <wp:extent cx="1371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-2656840</wp:posOffset>
            </wp:positionV>
            <wp:extent cx="1200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-2656840</wp:posOffset>
            </wp:positionV>
            <wp:extent cx="1200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-2656840</wp:posOffset>
            </wp:positionV>
            <wp:extent cx="1200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-2656840</wp:posOffset>
            </wp:positionV>
            <wp:extent cx="1200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-2656840</wp:posOffset>
            </wp:positionV>
            <wp:extent cx="1200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-2656840</wp:posOffset>
            </wp:positionV>
            <wp:extent cx="1111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-2656840</wp:posOffset>
            </wp:positionV>
            <wp:extent cx="1028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5" w:lineRule="exact"/>
        <w:rPr>
          <w:sz w:val="20"/>
          <w:szCs w:val="20"/>
          <w:color w:val="auto"/>
        </w:rPr>
      </w:pPr>
    </w:p>
    <w:p>
      <w:pPr>
        <w:ind w:left="1620" w:right="1219" w:hanging="352"/>
        <w:spacing w:after="0" w:line="277" w:lineRule="auto"/>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Assumes no exercise by the underwriters of their option to purchase additional shares of Class A common stock.</w:t>
      </w:r>
    </w:p>
    <w:p>
      <w:pPr>
        <w:spacing w:after="0" w:line="89" w:lineRule="exact"/>
        <w:rPr>
          <w:sz w:val="20"/>
          <w:szCs w:val="20"/>
          <w:color w:val="auto"/>
        </w:rPr>
      </w:pPr>
    </w:p>
    <w:p>
      <w:pPr>
        <w:ind w:left="1620" w:right="1139" w:hanging="352"/>
        <w:spacing w:after="0" w:line="277" w:lineRule="auto"/>
        <w:tabs>
          <w:tab w:leader="none" w:pos="1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Assumes full exercise by the underwriters of their option to purchase additional shares of Class A common stock.</w:t>
      </w:r>
    </w:p>
    <w:p>
      <w:pPr>
        <w:sectPr>
          <w:pgSz w:w="11900" w:h="16838" w:orient="portrait"/>
          <w:cols w:equalWidth="0" w:num="1">
            <w:col w:w="10139"/>
          </w:cols>
          <w:pgMar w:left="320" w:top="131" w:right="1440" w:bottom="1440" w:gutter="0" w:footer="0" w:header="0"/>
        </w:sectPr>
      </w:pP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68065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9" w:name="page110"/>
    <w:bookmarkEnd w:id="10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hanging="352"/>
        <w:spacing w:after="0"/>
        <w:tabs>
          <w:tab w:leader="none" w:pos="1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Represents less than 1.0% of outstanding shares or voting power, as applicable.</w:t>
      </w:r>
    </w:p>
    <w:p>
      <w:pPr>
        <w:spacing w:after="0" w:line="144" w:lineRule="exact"/>
        <w:rPr>
          <w:sz w:val="20"/>
          <w:szCs w:val="20"/>
          <w:color w:val="auto"/>
        </w:rPr>
      </w:pPr>
    </w:p>
    <w:p>
      <w:pPr>
        <w:ind w:left="1620" w:right="699" w:hanging="352"/>
        <w:spacing w:after="0" w:line="267" w:lineRule="auto"/>
        <w:tabs>
          <w:tab w:leader="none" w:pos="16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Each Continuing LLC Owner that holds LLC Interests also holds corresponding shares of Class C common stock or Class D common stock, as the case may be. Each LLC Interest held by the Continuing LLC Owners is redeemable in accordance with the terms of the TWM LLC Agreement, at the election of such holder, for newly issued shares of Class A common stock or Class B common stock on a one-for-one basis (and such holders’ shares of Class C common stock or Class D common stock, as the case may be, will be cancelled on a one-for-one basis upon any such issuance). The Continuing LLC Owners that hold shares of Class D common stock may also from time to time exchange all or a portion of their shares of our Class D common stock for newly issued shares of Class C common stock on a one-for-one basis (in which case their shares of Class D common stock will be cancelled on a one-for-one basis upon such issuance).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 See “Description of Capital Stock.” The numbers of shares of Class A common stock beneficially owned and percentages of beneficial ownership set forth in the table assume that (i) all LLC Interests held by Continuing LLC Owners have been redeemed or exchanged for shares of Class A common stock (and the corresponding shares of Class C common stock and/or Class D common stock, as the case may be, have been cancelled) and (ii) all shares of Class B common stock have been exchanged for shares of Class A common stock.</w:t>
      </w:r>
    </w:p>
    <w:p>
      <w:pPr>
        <w:spacing w:after="0" w:line="108" w:lineRule="exact"/>
        <w:rPr>
          <w:rFonts w:ascii="Arial" w:cs="Arial" w:eastAsia="Arial" w:hAnsi="Arial"/>
          <w:sz w:val="17"/>
          <w:szCs w:val="17"/>
          <w:color w:val="auto"/>
        </w:rPr>
      </w:pPr>
    </w:p>
    <w:p>
      <w:pPr>
        <w:ind w:left="1620" w:right="679" w:hanging="352"/>
        <w:spacing w:after="0" w:line="253" w:lineRule="auto"/>
        <w:tabs>
          <w:tab w:leader="none" w:pos="1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Continuing LLC Owner that holds LLC Interests also holds a corresponding number of shares of Class C common stock or Class D common stock, as the case may be, and the Refinitiv Direct Owner owns shares of Class B common stock. Each LLC Interest held by Continuing LLC Owners that hold shares of Class D common stock will be redeemable in accordance with the terms of the TWM LLC Agreement, at the election of such holder, for newly issued shares of Class B common stock on a one-for one basis (and such holders’ shares of Class D common stock will be cancelled on a one-for-one basis upon any such issuance). See “Description of Capital Stock.” The numbers of shares of Class B common stock beneficially owned and percentages of beneficial ownership set forth in the table assume that all LLC Interests of Continuing LLC Owners that hold shares of Class D common stock have been exchanged for shares of Class B common stock (and the corresponding shares of Class D common stock have been cancelled).</w:t>
      </w:r>
    </w:p>
    <w:p>
      <w:pPr>
        <w:spacing w:after="0" w:line="97" w:lineRule="exact"/>
        <w:rPr>
          <w:rFonts w:ascii="Arial" w:cs="Arial" w:eastAsia="Arial" w:hAnsi="Arial"/>
          <w:sz w:val="18"/>
          <w:szCs w:val="18"/>
          <w:color w:val="auto"/>
        </w:rPr>
      </w:pPr>
    </w:p>
    <w:p>
      <w:pPr>
        <w:ind w:left="1620" w:right="739" w:hanging="352"/>
        <w:spacing w:after="0" w:line="253" w:lineRule="auto"/>
        <w:tabs>
          <w:tab w:leader="none" w:pos="1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Percentage of combined voting power represents voting power with respect to all shares of our Class A common stock, Class B common stock, Class C common stock and Class D common stock, voting together as a single class. Each holder of Class B common stock and Class D common stock is entitled to 10 votes per share and each holder of Class A common stock and Class C common stock is entitled to one vote per share on all matters submitted to our stockholders for a vote. Our Class C common stock and Class D common stock do not have any economic interests (where “economic interests” means the right to receive any dividends or distributions, whether cash or stock, in connection with common stock) associated with our Class A and Class B common stock. See “Description of Capital Stock.”</w:t>
      </w:r>
    </w:p>
    <w:p>
      <w:pPr>
        <w:spacing w:after="0" w:line="115" w:lineRule="exact"/>
        <w:rPr>
          <w:rFonts w:ascii="Arial" w:cs="Arial" w:eastAsia="Arial" w:hAnsi="Arial"/>
          <w:sz w:val="18"/>
          <w:szCs w:val="18"/>
          <w:color w:val="auto"/>
        </w:rPr>
      </w:pPr>
    </w:p>
    <w:p>
      <w:pPr>
        <w:ind w:left="1620" w:right="759" w:hanging="352"/>
        <w:spacing w:after="0" w:line="268" w:lineRule="auto"/>
        <w:tabs>
          <w:tab w:leader="none" w:pos="16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Reflects securities held directly by Refinitiv TW Holdings Ltd. and Refinitiv US PME LLC. Refinitiv US LLC is the controlling member of Refinitiv US PME LLC. Refinitiv US Holdings Inc. is the sole member of Refinitiv US LLC. Refinitiv Parent Limited is the sole shareholder of each of Refinitiv US Holdings Inc. and Refinitiv TW Holdings Ltd. Refinitiv Holdings Limited is the sole shareholder of Refinitiv Parent Limited. BCP York Holdings (Delaware) L.P. is the majority shareholder of Refinitiv Holdings Limited. BCP York Holdings GP (Delaware) L.L.C. is the general partner of BCP York Holdings (Delaware) L.P. BCP York Subsidiary (Cayman) L.P. is the sole member of BCP York Holdings GP (Delaware) L.L.C. BCP VII Holdings Manager (Cayman) L.L.C. is the general partner of BCP York Subsidiary (Cayman) L.P. Blackstone Management Associates (Cayman) VII L.P. is the managing member of BCP VII Holdings Manager (Cayman) L.L.C. BCP VII GP L.L.C. is the general partner of Blackstone Management Associates (Cayman) VII L.P. Blackstone Holdings III L.P. is the sole member of BCP VII GP L.L.C. The general partner of Blackstone Holdings III L.P. is Blackstone Holdings III GP L.P. The general partner of Blackstone Holdings III GP L.P. is Blackstone Holdings</w:t>
      </w:r>
    </w:p>
    <w:p>
      <w:pPr>
        <w:spacing w:after="0" w:line="24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679"/>
        <w:spacing w:after="0" w:line="272" w:lineRule="auto"/>
        <w:rPr>
          <w:sz w:val="20"/>
          <w:szCs w:val="20"/>
          <w:color w:val="auto"/>
        </w:rPr>
      </w:pPr>
      <w:r>
        <w:rPr>
          <w:rFonts w:ascii="Arial" w:cs="Arial" w:eastAsia="Arial" w:hAnsi="Arial"/>
          <w:sz w:val="17"/>
          <w:szCs w:val="17"/>
          <w:color w:val="auto"/>
        </w:rPr>
        <w:t>III GP Management L.L.C. The sole member of Blackstone Holdings III GP Management L.L.C. is The Blackstone Group Inc. The sole holder of the Class C common stock of The Blackstone Group Inc. is Blackstone Group Management L.L.C. Blackstone Group Management L.L.C. is wholly-owned by Blackstone’s senior managing directors and controlled by its founder, Stephen A. Schwarzman. Each of the entities described in this footnote and Stephen A. Schwarzman may be deemed to beneficially own the securities directly or indirectly controlled by such entities or him, but each (other than to the extent it or he directly holds securities as described herein) disclaims beneficial ownership of such securities.</w:t>
      </w:r>
    </w:p>
    <w:p>
      <w:pPr>
        <w:spacing w:after="0" w:line="150" w:lineRule="exact"/>
        <w:rPr>
          <w:sz w:val="20"/>
          <w:szCs w:val="20"/>
          <w:color w:val="auto"/>
        </w:rPr>
      </w:pPr>
    </w:p>
    <w:p>
      <w:pPr>
        <w:ind w:left="1620" w:right="679" w:hanging="352"/>
        <w:spacing w:after="0" w:line="272" w:lineRule="auto"/>
        <w:tabs>
          <w:tab w:leader="none" w:pos="16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Includes 3,572,463 shares of Class A common stock issuable upon exercise of options that have vested or will vest within 60 days after March 31, 2020. Mr. Olesky owns 20,000 shares of Class A common stock and 138,164 shares of Class A common stock issuable upon exercise of options that have vested or will vest within 60 days after March 31, 2020 through The Lee Olesky 2019 Family Trust. Lee Olesky and his wife, as the co-trustees of The Lee Olesky 2019 Family Trust, share the power to vote and invest the securities, but each disclaims beneficial ownership of such securities. Mr. Olesky may be deemed to beneficially own the securities but disclaims beneficial ownership of such securities.</w:t>
      </w:r>
    </w:p>
    <w:p>
      <w:pPr>
        <w:spacing w:after="0" w:line="136" w:lineRule="exact"/>
        <w:rPr>
          <w:rFonts w:ascii="Arial" w:cs="Arial" w:eastAsia="Arial" w:hAnsi="Arial"/>
          <w:sz w:val="17"/>
          <w:szCs w:val="17"/>
          <w:color w:val="auto"/>
        </w:rPr>
      </w:pPr>
    </w:p>
    <w:p>
      <w:pPr>
        <w:ind w:left="1620" w:right="759" w:hanging="352"/>
        <w:spacing w:after="0" w:line="277"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Includes 2,099,890 shares of Class A common stock issuable upon exercise of options that have vested or will vest within 60 days after March 31, 2020.</w:t>
      </w:r>
    </w:p>
    <w:p>
      <w:pPr>
        <w:spacing w:after="0" w:line="129" w:lineRule="exact"/>
        <w:rPr>
          <w:rFonts w:ascii="Arial" w:cs="Arial" w:eastAsia="Arial" w:hAnsi="Arial"/>
          <w:sz w:val="18"/>
          <w:szCs w:val="18"/>
          <w:color w:val="auto"/>
        </w:rPr>
      </w:pPr>
    </w:p>
    <w:p>
      <w:pPr>
        <w:ind w:left="1620" w:right="699" w:hanging="352"/>
        <w:spacing w:after="0" w:line="277"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Includes 439,129 shares of Class A common stock issuable upon exercise of options that have vested or will vest within 60 days after March 31, 2020.</w:t>
      </w:r>
    </w:p>
    <w:p>
      <w:pPr>
        <w:spacing w:after="0" w:line="143" w:lineRule="exact"/>
        <w:rPr>
          <w:rFonts w:ascii="Arial" w:cs="Arial" w:eastAsia="Arial" w:hAnsi="Arial"/>
          <w:sz w:val="18"/>
          <w:szCs w:val="18"/>
          <w:color w:val="auto"/>
        </w:rPr>
      </w:pPr>
    </w:p>
    <w:p>
      <w:pPr>
        <w:ind w:left="1620" w:hanging="352"/>
        <w:spacing w:after="0"/>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Mr. Berns became a director of our board of directors effective April 3, 2020.</w:t>
      </w:r>
    </w:p>
    <w:p>
      <w:pPr>
        <w:spacing w:after="0" w:line="184" w:lineRule="exact"/>
        <w:rPr>
          <w:rFonts w:ascii="Arial" w:cs="Arial" w:eastAsia="Arial" w:hAnsi="Arial"/>
          <w:sz w:val="18"/>
          <w:szCs w:val="18"/>
          <w:color w:val="auto"/>
        </w:rPr>
      </w:pPr>
    </w:p>
    <w:p>
      <w:pPr>
        <w:ind w:left="1620" w:right="1039" w:hanging="352"/>
        <w:spacing w:after="0" w:line="277"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Mr. Brand is a Senior Managing Director of The Blackstone Group. Mr. Brand disclaims beneficial ownership of any securities owned directly or indirectly by the Refinitiv entities.</w:t>
      </w:r>
    </w:p>
    <w:p>
      <w:pPr>
        <w:spacing w:after="0" w:line="129" w:lineRule="exact"/>
        <w:rPr>
          <w:rFonts w:ascii="Arial" w:cs="Arial" w:eastAsia="Arial" w:hAnsi="Arial"/>
          <w:sz w:val="18"/>
          <w:szCs w:val="18"/>
          <w:color w:val="auto"/>
        </w:rPr>
      </w:pPr>
    </w:p>
    <w:p>
      <w:pPr>
        <w:ind w:left="1620" w:right="1259" w:hanging="352"/>
        <w:spacing w:after="0" w:line="263"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Mr. Finley is a Senior Managing Director and the Chief Legal Officer of The Blackstone Group. Mr. Finley disclaims beneficial ownership of any securities owned directly or indirectly by the Refinitiv entities.</w:t>
      </w:r>
    </w:p>
    <w:p>
      <w:pPr>
        <w:spacing w:after="0" w:line="143" w:lineRule="exact"/>
        <w:rPr>
          <w:rFonts w:ascii="Arial" w:cs="Arial" w:eastAsia="Arial" w:hAnsi="Arial"/>
          <w:sz w:val="18"/>
          <w:szCs w:val="18"/>
          <w:color w:val="auto"/>
        </w:rPr>
      </w:pPr>
    </w:p>
    <w:p>
      <w:pPr>
        <w:ind w:left="1620" w:right="959" w:hanging="352"/>
        <w:spacing w:after="0" w:line="277"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Ms. Walton is the Chief Revenue Officer of Refinitiv. Ms. Walton disclaims beneficial ownership of any securities owned directly or indirectly by the Refinitiv entities.</w:t>
      </w:r>
    </w:p>
    <w:p>
      <w:pPr>
        <w:spacing w:after="0" w:line="143" w:lineRule="exact"/>
        <w:rPr>
          <w:rFonts w:ascii="Arial" w:cs="Arial" w:eastAsia="Arial" w:hAnsi="Arial"/>
          <w:sz w:val="18"/>
          <w:szCs w:val="18"/>
          <w:color w:val="auto"/>
        </w:rPr>
      </w:pPr>
    </w:p>
    <w:p>
      <w:pPr>
        <w:ind w:left="1620" w:right="979" w:hanging="352"/>
        <w:spacing w:after="0" w:line="277"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Mr. West is the Chief Financial Officer of Refinitiv. Mr. West disclaims beneficial ownership of any securities owned directly or indirectly by the Refinitiv entities.</w:t>
      </w:r>
    </w:p>
    <w:p>
      <w:pPr>
        <w:spacing w:after="0" w:line="129" w:lineRule="exact"/>
        <w:rPr>
          <w:rFonts w:ascii="Arial" w:cs="Arial" w:eastAsia="Arial" w:hAnsi="Arial"/>
          <w:sz w:val="18"/>
          <w:szCs w:val="18"/>
          <w:color w:val="auto"/>
        </w:rPr>
      </w:pPr>
    </w:p>
    <w:p>
      <w:pPr>
        <w:ind w:left="1620" w:right="759" w:hanging="352"/>
        <w:spacing w:after="0" w:line="277"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Includes 6,946,928 shares of Class A common stock issuable upon exercise of options that have vested or will vest within 60 days after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08"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The following is a description of transactions since January 1, 2017 to which we were a party in which the amount involved exceeded or will exceed $120,000, and in which any of our executive officers, directors, Bank Stockholders or holders of more than 5% of any class of our voting securities, or immediate family member thereof, had or will have a direct or indirect material interest. We believe the terms obtained or consideration that we paid or received, as applicable, in connection with the transactions described below were comparable to terms available or amounts that would be paid or received, as applicable, in arm’s-length transactions with unrelated third parties.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Refinitiv/Thomson Reuters</w:t>
      </w:r>
    </w:p>
    <w:p>
      <w:pPr>
        <w:spacing w:after="0" w:line="108" w:lineRule="exact"/>
        <w:rPr>
          <w:sz w:val="20"/>
          <w:szCs w:val="20"/>
          <w:color w:val="auto"/>
        </w:rPr>
      </w:pPr>
    </w:p>
    <w:p>
      <w:pPr>
        <w:ind w:left="1260" w:right="759" w:firstLine="360"/>
        <w:spacing w:after="0" w:line="266" w:lineRule="auto"/>
        <w:rPr>
          <w:sz w:val="20"/>
          <w:szCs w:val="20"/>
          <w:color w:val="auto"/>
        </w:rPr>
      </w:pPr>
      <w:r>
        <w:rPr>
          <w:rFonts w:ascii="Arial" w:cs="Arial" w:eastAsia="Arial" w:hAnsi="Arial"/>
          <w:sz w:val="17"/>
          <w:szCs w:val="17"/>
          <w:color w:val="auto"/>
        </w:rPr>
        <w:t>We maintain a shared services agreement with Refinitiv (formerly Thomson Reuters), which indirectly owns a majority of our equity interests. Under the terms of the agreement, Thomson Reuters historically provided us with certain legal, compliance, regulatory, human resources, technology, content, financial, accounting, sales and customer support and administrative services. We expect Refinitiv will continue to provide data and insurance and, at least in the near term, office space and related services. The shared services agreement was amended in June 2016 to continue to be in effect in perpetuity, except that the agreement will automatically terminate upon termination of the market data license agreement. In addition, either party can terminate the shared services agreement with respect to one or more services upon written notice delivered, in the case of termination effective at the end of the then-current calendar year, 90 days prior to the end of such calendar year or, in the case of termination effective at any other date, at least</w:t>
      </w:r>
    </w:p>
    <w:p>
      <w:pPr>
        <w:spacing w:after="0" w:line="8" w:lineRule="exact"/>
        <w:rPr>
          <w:sz w:val="20"/>
          <w:szCs w:val="20"/>
          <w:color w:val="auto"/>
        </w:rPr>
      </w:pPr>
    </w:p>
    <w:p>
      <w:pPr>
        <w:ind w:left="1260" w:right="679"/>
        <w:spacing w:after="0" w:line="253" w:lineRule="auto"/>
        <w:rPr>
          <w:sz w:val="20"/>
          <w:szCs w:val="20"/>
          <w:color w:val="auto"/>
        </w:rPr>
      </w:pPr>
      <w:r>
        <w:rPr>
          <w:rFonts w:ascii="Arial" w:cs="Arial" w:eastAsia="Arial" w:hAnsi="Arial"/>
          <w:sz w:val="18"/>
          <w:szCs w:val="18"/>
          <w:color w:val="auto"/>
        </w:rPr>
        <w:t>6 months prior to such date. During the year ended December 31, 2019, we incurred fees of $3.9 million and during the years ended December 31, 2018 and 2017 we incurred fees of $4.3 million per year relating to this agreement. These fees are included in occupancy, technology and communications and general and administrative expenses in our consolidated statements of income incorporated by reference in this prospectus.</w:t>
      </w:r>
    </w:p>
    <w:p>
      <w:pPr>
        <w:spacing w:after="0" w:line="83"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We maintain a market data license agreement with Refinitiv (formerly Thomson Reuters), pursuant to which we earn license fees and royalties. Under the terms of this agreement, we provide Refinitiv with certain real-time market data feeds for multiple fixed income and derivatives products under an exclusive license pursuant to which Refinitiv redistributes such market data to its customers on its Eikon platform and through direct feeds. We also earn royalties from Refinitiv for referrals of new Eikon customers based on customer conversion rates as well as sales of non-exclusive licensed data. The market license data agreement was amended and restated effective November 1, 2018 for a minimum term of five years with a transition year if the agreement is not renewed or extended. The agreement includes customary termination provisions, including in the event of a material breach that is not cured within 30 days of receipt of written notice. During the years ended December 31, 2019, 2018 and 2017, we earned approximately $55.6 million, $50.3 million and $50.1 million, respectively, of revenue under this agreement. See “Prospectus Summary — LSEG Transaction.”</w:t>
      </w:r>
    </w:p>
    <w:p>
      <w:pPr>
        <w:spacing w:after="0" w:line="92"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We were party to a master agreement with Refinitiv (formerly Thomson Reuters) and the Bank Stockholders, which was entered into in connection with the initial investment in our business by the Bank Stockholders and subsequently amended in connection with restructurings of our business and additional investments by the Bank Stockholders. Under the master agreement, each party was subject to confidentiality obligations regarding both the nonpublic information of our business and the terms of those definitive agreements, subject to customary disclosure exceptions. In connection with the IPO, we terminated the master agreement and entered into a restrictive covenant agreement with affiliates of Refinitiv pursuant to which the non-compete restrictions of the master agreement, as modified, prohibit Refinitiv from establishing, investing in, or acting as primary business operator or manager of, an electronic trade execution platform for trading in fixed income securities or equity derivatives, subject to certain exceptions. If Refinitiv desires to engage in such business for any group of securities, instruments, or other fixed income assets that are not traded at that time on any of our electronic trade execution platforms, Refinitiv must deliver a written notice offering us the right to establish, fund or purchase a Material Interest (as defined in the agreement) in, or act as the primary business operator or manager of, the business. If we don’t accept the offer within three months, Refinitiv will have the right to engage in such activity described in the offer notice, subject to certain exceptions. Refinitiv will be bound by the non-compete provisions so</w:t>
      </w:r>
    </w:p>
    <w:p>
      <w:pPr>
        <w:spacing w:after="0" w:line="24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57" w:lineRule="auto"/>
        <w:rPr>
          <w:sz w:val="20"/>
          <w:szCs w:val="20"/>
          <w:color w:val="auto"/>
        </w:rPr>
      </w:pPr>
      <w:r>
        <w:rPr>
          <w:rFonts w:ascii="Arial" w:cs="Arial" w:eastAsia="Arial" w:hAnsi="Arial"/>
          <w:sz w:val="18"/>
          <w:szCs w:val="18"/>
          <w:color w:val="auto"/>
        </w:rPr>
        <w:t>long as it has the right to designate the total number (or least a majority) of directors on our board of directors on the terms and subject to the conditions set forth in the Stockholders Agreement. The non-compete period terminates in the event (i) of a change of control with respect to Refinitiv or (ii) the overall revenue of TWM LLC declines by more than 25% in each of two consecutive fiscal years. See “Prospectus Summary — LSEG Transaction.”</w:t>
      </w:r>
    </w:p>
    <w:p>
      <w:pPr>
        <w:spacing w:after="0" w:line="80"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We reimburse affiliates of Refinitiv for expenses paid on our behalf for various services including payroll, marketing, professional fees, communications, data costs and certain other administrative services. For the years ended December 31, 2019, 2018 and 2017, we reimbursed such affiliates approximately $6.7 million, $32.5 million and $38.4 million, respectively, for these expenses.</w:t>
      </w:r>
    </w:p>
    <w:p>
      <w:pPr>
        <w:spacing w:after="0" w:line="79"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In 2013, we borrowed $29.3 million from a subsidiary of Thomson Reuters under a convertible term note. Interest charged on the outstanding borrowings was the greater of LIBOR or 150 basis points, plus 300 basis points per annum, and was reset and payable quarterly. During 2017, Thomson Reuters converted all outstanding borrowings into 1,835.122 Class A Shares at the price of $15,958 per share. During the year ended December 31, 2017, the interest rate charged was 4.50% per annum. We paid and expensed approximately $0.5 million of interest related to this note during the year ended December 31, 2017.</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Bank Stockholders</w:t>
      </w:r>
    </w:p>
    <w:p>
      <w:pPr>
        <w:spacing w:after="0" w:line="108" w:lineRule="exact"/>
        <w:rPr>
          <w:sz w:val="20"/>
          <w:szCs w:val="20"/>
          <w:color w:val="auto"/>
        </w:rPr>
      </w:pPr>
    </w:p>
    <w:p>
      <w:pPr>
        <w:ind w:left="1260" w:right="1039" w:firstLine="360"/>
        <w:spacing w:after="0" w:line="259" w:lineRule="auto"/>
        <w:rPr>
          <w:sz w:val="20"/>
          <w:szCs w:val="20"/>
          <w:color w:val="auto"/>
        </w:rPr>
      </w:pPr>
      <w:r>
        <w:rPr>
          <w:rFonts w:ascii="Arial" w:cs="Arial" w:eastAsia="Arial" w:hAnsi="Arial"/>
          <w:sz w:val="18"/>
          <w:szCs w:val="18"/>
          <w:color w:val="auto"/>
        </w:rPr>
        <w:t>Prior to the Reorganization Transactions, the Bank Stockholders were collectively considered to be related parties of the Company. As a result of the Reorganization Transactions, they are no longer considered to be related parties. Accordingly, the related party transactions listed below only include transactions with affiliates of the Bank Stockholders for pre-IPO periods.</w:t>
      </w:r>
    </w:p>
    <w:p>
      <w:pPr>
        <w:spacing w:after="0" w:line="79"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During the pre-IPO period of the year ended December 31, 2019 and the years ended December 31, 2018 and 2017, we earned $0.9 million, $51,000 and $40,000, respectively, of interest income from money market funds invested with and savings accounts deposited with affiliates of the Bank Stockholders. Interest rates earned on the money market and savings accounts are comparable to rates offered to third parties.</w:t>
      </w:r>
    </w:p>
    <w:p>
      <w:pPr>
        <w:spacing w:after="0" w:line="63"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During the pre-IPO period of the year ended December 31, 2019 and the years ended December 31, 2018 and 2017, we earned approximately $81.5 million, $288.6 million and $232.4 million, respectively, of transaction fees, subscription fees and commissions from affiliates of the Bank Stockholders. Over the same period, none of the Bank Stockholders accounted for more than 10% of our revenues.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Certain Original LLC Owners</w:t>
      </w:r>
    </w:p>
    <w:p>
      <w:pPr>
        <w:spacing w:after="0" w:line="108"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In 2014, we issued Class A Shares and unvested Class P1-(A) Shares to some of the Bank Stockholders as a result of a $120.0 million capital contribution to facilitate our expansion into new credit products. In connection with this investment, certain employees also invested $5.3 million in us and were issued Class C Shares and unvested Class P1-(C) Shares. The Class P1-(A) Shares and Class P-1(C) Shares vested on July 31, 2018 upon the achievement of specific revenue earnout milestones related to the growth of specified credit products, with a value of $156.2 million.</w:t>
      </w:r>
    </w:p>
    <w:p>
      <w:pPr>
        <w:spacing w:after="0" w:line="84"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8"/>
          <w:szCs w:val="18"/>
          <w:color w:val="auto"/>
        </w:rPr>
        <w:t>Immediately following this offering, we will use the net proceeds from this offering to purchase (i) 10,663,603 issued and outstanding LLC Interests (or 12,228,645 LLC Interests, if the underwriters exercise in full their option to purchase additional shares of Class A common stock) from the Selling LLC Owners (and cancel the corresponding shares of common stock held by such Selling LLC Owners) and (ii) 316,397 issued and outstanding shares of Class A common stock (or 363,855 shares of Class A common stock, if the underwriters exercise in full their option to purchase additional shares of Class A common stock) from certain of our executive officers following the Net Exercise, as applicable (and cancel such shares of Class A common stock). See “Use of Proceeds.” The following table sets forth the cash proceeds that the Selling LLC Owners and certain of our executive officers will receive from the purchase by us of LLC Interests and shares of Class A common stock with the net proceeds of this offering, based on an assumed price of $53.16 per share of our Class A common stock (the closing price for our shares of Class A common stock on Nasdaq on April 16, 2020):</w:t>
      </w:r>
    </w:p>
    <w:p>
      <w:pPr>
        <w:spacing w:after="0" w:line="2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Number of LLC</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Number of LLC</w:t>
            </w:r>
          </w:p>
        </w:tc>
        <w:tc>
          <w:tcPr>
            <w:tcW w:w="92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Interests and/or</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Interests and/or</w:t>
            </w:r>
          </w:p>
        </w:tc>
        <w:tc>
          <w:tcPr>
            <w:tcW w:w="92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Class A shares,</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Class A shares,</w:t>
            </w:r>
          </w:p>
        </w:tc>
        <w:tc>
          <w:tcPr>
            <w:tcW w:w="92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to be sold to us,</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to be sold to us,</w:t>
            </w:r>
          </w:p>
        </w:tc>
        <w:tc>
          <w:tcPr>
            <w:tcW w:w="92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assuming the</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assuming the</w:t>
            </w:r>
          </w:p>
        </w:tc>
        <w:tc>
          <w:tcPr>
            <w:tcW w:w="92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underwriters’</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underwriters’</w:t>
            </w:r>
          </w:p>
        </w:tc>
        <w:tc>
          <w:tcPr>
            <w:tcW w:w="92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option to</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option to</w:t>
            </w:r>
          </w:p>
        </w:tc>
        <w:tc>
          <w:tcPr>
            <w:tcW w:w="92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Number of LLC</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purchase</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purchase</w:t>
            </w:r>
          </w:p>
        </w:tc>
        <w:tc>
          <w:tcPr>
            <w:tcW w:w="92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Interests and/or</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additional</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additional</w:t>
            </w:r>
          </w:p>
        </w:tc>
        <w:tc>
          <w:tcPr>
            <w:tcW w:w="92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Class A shares</w:t>
            </w: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shares of Class A</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Cash</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shares of Class A</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Cash</w:t>
            </w:r>
          </w:p>
        </w:tc>
      </w:tr>
      <w:tr>
        <w:trPr>
          <w:trHeight w:val="162"/>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held before</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common stock is</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Proceeds</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common stock is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Proceeds</w:t>
            </w:r>
          </w:p>
        </w:tc>
      </w:tr>
      <w:tr>
        <w:trPr>
          <w:trHeight w:val="192"/>
        </w:trPr>
        <w:tc>
          <w:tcPr>
            <w:tcW w:w="2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this offering†</w:t>
            </w:r>
          </w:p>
        </w:tc>
        <w:tc>
          <w:tcPr>
            <w:tcW w:w="1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not exercised</w:t>
            </w:r>
          </w:p>
        </w:tc>
        <w:tc>
          <w:tcPr>
            <w:tcW w:w="1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exercised in full</w:t>
            </w:r>
          </w:p>
        </w:tc>
        <w:tc>
          <w:tcPr>
            <w:tcW w:w="1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r>
      <w:tr>
        <w:trPr>
          <w:trHeight w:val="215"/>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Stockholders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2440" w:type="dxa"/>
            <w:vAlign w:val="bottom"/>
            <w:gridSpan w:val="2"/>
          </w:tcPr>
          <w:p>
            <w:pPr>
              <w:ind w:left="180"/>
              <w:spacing w:after="0"/>
              <w:rPr>
                <w:sz w:val="20"/>
                <w:szCs w:val="20"/>
                <w:color w:val="auto"/>
              </w:rPr>
            </w:pPr>
            <w:r>
              <w:rPr>
                <w:rFonts w:ascii="Arial" w:cs="Arial" w:eastAsia="Arial" w:hAnsi="Arial"/>
                <w:sz w:val="18"/>
                <w:szCs w:val="18"/>
                <w:color w:val="auto"/>
              </w:rPr>
              <w:t>Barclays Unquoted</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2440" w:type="dxa"/>
            <w:vAlign w:val="bottom"/>
            <w:gridSpan w:val="2"/>
          </w:tcPr>
          <w:p>
            <w:pPr>
              <w:ind w:left="360"/>
              <w:spacing w:after="0"/>
              <w:rPr>
                <w:sz w:val="20"/>
                <w:szCs w:val="20"/>
                <w:color w:val="auto"/>
              </w:rPr>
            </w:pPr>
            <w:r>
              <w:rPr>
                <w:rFonts w:ascii="Arial" w:cs="Arial" w:eastAsia="Arial" w:hAnsi="Arial"/>
                <w:sz w:val="18"/>
                <w:szCs w:val="18"/>
                <w:color w:val="auto"/>
              </w:rPr>
              <w:t>Investments Limited</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3,881,078</w:t>
            </w:r>
          </w:p>
        </w:tc>
        <w:tc>
          <w:tcPr>
            <w:tcW w:w="140" w:type="dxa"/>
            <w:vAlign w:val="bottom"/>
          </w:tcPr>
          <w:p>
            <w:pPr>
              <w:spacing w:after="0"/>
              <w:rPr>
                <w:sz w:val="20"/>
                <w:szCs w:val="20"/>
                <w:color w:val="auto"/>
              </w:rPr>
            </w:pPr>
          </w:p>
        </w:tc>
        <w:tc>
          <w:tcPr>
            <w:tcW w:w="1140" w:type="dxa"/>
            <w:vAlign w:val="bottom"/>
          </w:tcPr>
          <w:p>
            <w:pPr>
              <w:jc w:val="right"/>
              <w:ind w:right="98"/>
              <w:spacing w:after="0"/>
              <w:rPr>
                <w:sz w:val="20"/>
                <w:szCs w:val="20"/>
                <w:color w:val="auto"/>
              </w:rPr>
            </w:pPr>
            <w:r>
              <w:rPr>
                <w:rFonts w:ascii="Arial" w:cs="Arial" w:eastAsia="Arial" w:hAnsi="Arial"/>
                <w:sz w:val="18"/>
                <w:szCs w:val="18"/>
                <w:color w:val="auto"/>
              </w:rPr>
              <w:t>2,896,520</w:t>
            </w:r>
          </w:p>
        </w:tc>
        <w:tc>
          <w:tcPr>
            <w:tcW w:w="1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149,744,581</w:t>
            </w: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3,330,999</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172,206,319</w:t>
            </w:r>
          </w:p>
        </w:tc>
      </w:tr>
      <w:tr>
        <w:trPr>
          <w:trHeight w:val="215"/>
        </w:trPr>
        <w:tc>
          <w:tcPr>
            <w:tcW w:w="2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Citigroup Strategic</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2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Investments LLC</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5,980,909</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1,732,154</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89,549,071</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1,991,977</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102,981,426</w:t>
            </w:r>
          </w:p>
        </w:tc>
      </w:tr>
      <w:tr>
        <w:trPr>
          <w:trHeight w:val="215"/>
        </w:trPr>
        <w:tc>
          <w:tcPr>
            <w:tcW w:w="2440" w:type="dxa"/>
            <w:vAlign w:val="bottom"/>
            <w:gridSpan w:val="2"/>
          </w:tcPr>
          <w:p>
            <w:pPr>
              <w:ind w:left="180"/>
              <w:spacing w:after="0"/>
              <w:rPr>
                <w:sz w:val="20"/>
                <w:szCs w:val="20"/>
                <w:color w:val="auto"/>
              </w:rPr>
            </w:pPr>
            <w:r>
              <w:rPr>
                <w:rFonts w:ascii="Arial" w:cs="Arial" w:eastAsia="Arial" w:hAnsi="Arial"/>
                <w:sz w:val="18"/>
                <w:szCs w:val="18"/>
                <w:color w:val="auto"/>
              </w:rPr>
              <w:t>DBR Investments Co.</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2440" w:type="dxa"/>
            <w:vAlign w:val="bottom"/>
            <w:gridSpan w:val="2"/>
          </w:tcPr>
          <w:p>
            <w:pPr>
              <w:ind w:left="360"/>
              <w:spacing w:after="0"/>
              <w:rPr>
                <w:sz w:val="20"/>
                <w:szCs w:val="20"/>
                <w:color w:val="auto"/>
              </w:rPr>
            </w:pPr>
            <w:r>
              <w:rPr>
                <w:rFonts w:ascii="Arial" w:cs="Arial" w:eastAsia="Arial" w:hAnsi="Arial"/>
                <w:sz w:val="18"/>
                <w:szCs w:val="18"/>
                <w:color w:val="auto"/>
              </w:rPr>
              <w:t>Limited</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3,355,485</w:t>
            </w:r>
          </w:p>
        </w:tc>
        <w:tc>
          <w:tcPr>
            <w:tcW w:w="140" w:type="dxa"/>
            <w:vAlign w:val="bottom"/>
          </w:tcPr>
          <w:p>
            <w:pPr>
              <w:spacing w:after="0"/>
              <w:rPr>
                <w:sz w:val="20"/>
                <w:szCs w:val="20"/>
                <w:color w:val="auto"/>
              </w:rPr>
            </w:pPr>
          </w:p>
        </w:tc>
        <w:tc>
          <w:tcPr>
            <w:tcW w:w="1140" w:type="dxa"/>
            <w:vAlign w:val="bottom"/>
          </w:tcPr>
          <w:p>
            <w:pPr>
              <w:jc w:val="right"/>
              <w:ind w:right="98"/>
              <w:spacing w:after="0"/>
              <w:rPr>
                <w:sz w:val="20"/>
                <w:szCs w:val="20"/>
                <w:color w:val="auto"/>
              </w:rPr>
            </w:pPr>
            <w:r>
              <w:rPr>
                <w:rFonts w:ascii="Arial" w:cs="Arial" w:eastAsia="Arial" w:hAnsi="Arial"/>
                <w:sz w:val="18"/>
                <w:szCs w:val="18"/>
                <w:color w:val="auto"/>
              </w:rPr>
              <w:t>728,846</w:t>
            </w:r>
          </w:p>
        </w:tc>
        <w:tc>
          <w:tcPr>
            <w:tcW w:w="1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37,679,953</w:t>
            </w: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838,173</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43,331,952</w:t>
            </w:r>
          </w:p>
        </w:tc>
      </w:tr>
      <w:tr>
        <w:trPr>
          <w:trHeight w:val="229"/>
        </w:trPr>
        <w:tc>
          <w:tcPr>
            <w:tcW w:w="2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Goldman Sachs PSI Global</w:t>
            </w: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2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Holdings, LLC</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3,532,571</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3,069,245</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158,674,135</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3,529,632</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182,475,268</w:t>
            </w:r>
          </w:p>
        </w:tc>
      </w:tr>
      <w:tr>
        <w:trPr>
          <w:trHeight w:val="229"/>
        </w:trPr>
        <w:tc>
          <w:tcPr>
            <w:tcW w:w="2440" w:type="dxa"/>
            <w:vAlign w:val="bottom"/>
            <w:gridSpan w:val="2"/>
          </w:tcPr>
          <w:p>
            <w:pPr>
              <w:ind w:left="180"/>
              <w:spacing w:after="0"/>
              <w:rPr>
                <w:sz w:val="20"/>
                <w:szCs w:val="20"/>
                <w:color w:val="auto"/>
              </w:rPr>
            </w:pPr>
            <w:r>
              <w:rPr>
                <w:rFonts w:ascii="Arial" w:cs="Arial" w:eastAsia="Arial" w:hAnsi="Arial"/>
                <w:sz w:val="18"/>
                <w:szCs w:val="18"/>
                <w:color w:val="auto"/>
              </w:rPr>
              <w:t>Morgan Stanley Fixed</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440" w:type="dxa"/>
            <w:vAlign w:val="bottom"/>
            <w:gridSpan w:val="2"/>
          </w:tcPr>
          <w:p>
            <w:pPr>
              <w:ind w:left="360"/>
              <w:spacing w:after="0"/>
              <w:rPr>
                <w:sz w:val="20"/>
                <w:szCs w:val="20"/>
                <w:color w:val="auto"/>
              </w:rPr>
            </w:pPr>
            <w:r>
              <w:rPr>
                <w:rFonts w:ascii="Arial" w:cs="Arial" w:eastAsia="Arial" w:hAnsi="Arial"/>
                <w:sz w:val="18"/>
                <w:szCs w:val="18"/>
                <w:color w:val="auto"/>
              </w:rPr>
              <w:t>Income Ventures Inc.</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1,531,732</w:t>
            </w:r>
          </w:p>
        </w:tc>
        <w:tc>
          <w:tcPr>
            <w:tcW w:w="140" w:type="dxa"/>
            <w:vAlign w:val="bottom"/>
          </w:tcPr>
          <w:p>
            <w:pPr>
              <w:spacing w:after="0"/>
              <w:rPr>
                <w:sz w:val="20"/>
                <w:szCs w:val="20"/>
                <w:color w:val="auto"/>
              </w:rPr>
            </w:pPr>
          </w:p>
        </w:tc>
        <w:tc>
          <w:tcPr>
            <w:tcW w:w="1140" w:type="dxa"/>
            <w:vAlign w:val="bottom"/>
          </w:tcPr>
          <w:p>
            <w:pPr>
              <w:jc w:val="right"/>
              <w:ind w:right="98"/>
              <w:spacing w:after="0"/>
              <w:rPr>
                <w:sz w:val="20"/>
                <w:szCs w:val="20"/>
                <w:color w:val="auto"/>
              </w:rPr>
            </w:pPr>
            <w:r>
              <w:rPr>
                <w:rFonts w:ascii="Arial" w:cs="Arial" w:eastAsia="Arial" w:hAnsi="Arial"/>
                <w:sz w:val="18"/>
                <w:szCs w:val="18"/>
                <w:color w:val="auto"/>
              </w:rPr>
              <w:t>1,330,833</w:t>
            </w:r>
          </w:p>
        </w:tc>
        <w:tc>
          <w:tcPr>
            <w:tcW w:w="1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68,801,538</w:t>
            </w: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1,530,458</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79,121,771</w:t>
            </w:r>
          </w:p>
        </w:tc>
      </w:tr>
      <w:tr>
        <w:trPr>
          <w:trHeight w:val="229"/>
        </w:trPr>
        <w:tc>
          <w:tcPr>
            <w:tcW w:w="2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Wells Fargo Central Pacific</w:t>
            </w: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2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Holdings, Inc.</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1,008,245</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876,005</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45,287,794</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1,007,406</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52,080,976</w:t>
            </w:r>
          </w:p>
        </w:tc>
      </w:tr>
      <w:tr>
        <w:trPr>
          <w:trHeight w:val="229"/>
        </w:trPr>
        <w:tc>
          <w:tcPr>
            <w:tcW w:w="2440" w:type="dxa"/>
            <w:vAlign w:val="bottom"/>
            <w:gridSpan w:val="2"/>
          </w:tcPr>
          <w:p>
            <w:pPr>
              <w:spacing w:after="0"/>
              <w:rPr>
                <w:sz w:val="20"/>
                <w:szCs w:val="20"/>
                <w:color w:val="auto"/>
              </w:rPr>
            </w:pPr>
            <w:r>
              <w:rPr>
                <w:rFonts w:ascii="Arial" w:cs="Arial" w:eastAsia="Arial" w:hAnsi="Arial"/>
                <w:sz w:val="18"/>
                <w:szCs w:val="18"/>
                <w:color w:val="auto"/>
              </w:rPr>
              <w:t>Executive Officers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Enrico Bruni</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519,129</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13,831</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715,036</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15,905</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822,258</w:t>
            </w:r>
          </w:p>
        </w:tc>
      </w:tr>
      <w:tr>
        <w:trPr>
          <w:trHeight w:val="229"/>
        </w:trPr>
        <w:tc>
          <w:tcPr>
            <w:tcW w:w="2440" w:type="dxa"/>
            <w:vAlign w:val="bottom"/>
            <w:gridSpan w:val="2"/>
          </w:tcPr>
          <w:p>
            <w:pPr>
              <w:ind w:left="180"/>
              <w:spacing w:after="0"/>
              <w:rPr>
                <w:sz w:val="20"/>
                <w:szCs w:val="20"/>
                <w:color w:val="auto"/>
              </w:rPr>
            </w:pPr>
            <w:r>
              <w:rPr>
                <w:rFonts w:ascii="Arial" w:cs="Arial" w:eastAsia="Arial" w:hAnsi="Arial"/>
                <w:sz w:val="18"/>
                <w:szCs w:val="18"/>
                <w:color w:val="auto"/>
              </w:rPr>
              <w:t>Douglas Friedman</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165,464</w:t>
            </w:r>
          </w:p>
        </w:tc>
        <w:tc>
          <w:tcPr>
            <w:tcW w:w="140" w:type="dxa"/>
            <w:vAlign w:val="bottom"/>
          </w:tcPr>
          <w:p>
            <w:pPr>
              <w:spacing w:after="0"/>
              <w:rPr>
                <w:sz w:val="19"/>
                <w:szCs w:val="19"/>
                <w:color w:val="auto"/>
              </w:rPr>
            </w:pPr>
          </w:p>
        </w:tc>
        <w:tc>
          <w:tcPr>
            <w:tcW w:w="1140" w:type="dxa"/>
            <w:vAlign w:val="bottom"/>
          </w:tcPr>
          <w:p>
            <w:pPr>
              <w:jc w:val="right"/>
              <w:ind w:right="98"/>
              <w:spacing w:after="0"/>
              <w:rPr>
                <w:sz w:val="20"/>
                <w:szCs w:val="20"/>
                <w:color w:val="auto"/>
              </w:rPr>
            </w:pPr>
            <w:r>
              <w:rPr>
                <w:rFonts w:ascii="Arial" w:cs="Arial" w:eastAsia="Arial" w:hAnsi="Arial"/>
                <w:sz w:val="18"/>
                <w:szCs w:val="18"/>
                <w:color w:val="auto"/>
              </w:rPr>
              <w:t>12,800</w:t>
            </w:r>
          </w:p>
        </w:tc>
        <w:tc>
          <w:tcPr>
            <w:tcW w:w="1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661,736</w:t>
            </w: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14,720</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760,996</w:t>
            </w:r>
          </w:p>
        </w:tc>
      </w:tr>
      <w:tr>
        <w:trPr>
          <w:trHeight w:val="230"/>
        </w:trPr>
        <w:tc>
          <w:tcPr>
            <w:tcW w:w="2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William Hult</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2,411,890</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73,249</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3,786,834</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84,236</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4,354,841</w:t>
            </w:r>
          </w:p>
        </w:tc>
      </w:tr>
      <w:tr>
        <w:trPr>
          <w:trHeight w:val="230"/>
        </w:trPr>
        <w:tc>
          <w:tcPr>
            <w:tcW w:w="2440" w:type="dxa"/>
            <w:vAlign w:val="bottom"/>
            <w:gridSpan w:val="2"/>
          </w:tcPr>
          <w:p>
            <w:pPr>
              <w:ind w:left="180"/>
              <w:spacing w:after="0"/>
              <w:rPr>
                <w:sz w:val="20"/>
                <w:szCs w:val="20"/>
                <w:color w:val="auto"/>
              </w:rPr>
            </w:pPr>
            <w:r>
              <w:rPr>
                <w:rFonts w:ascii="Arial" w:cs="Arial" w:eastAsia="Arial" w:hAnsi="Arial"/>
                <w:sz w:val="18"/>
                <w:szCs w:val="18"/>
                <w:color w:val="auto"/>
              </w:rPr>
              <w:t>Simon Maisey</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283,223</w:t>
            </w:r>
          </w:p>
        </w:tc>
        <w:tc>
          <w:tcPr>
            <w:tcW w:w="140" w:type="dxa"/>
            <w:vAlign w:val="bottom"/>
          </w:tcPr>
          <w:p>
            <w:pPr>
              <w:spacing w:after="0"/>
              <w:rPr>
                <w:sz w:val="19"/>
                <w:szCs w:val="19"/>
                <w:color w:val="auto"/>
              </w:rPr>
            </w:pPr>
          </w:p>
        </w:tc>
        <w:tc>
          <w:tcPr>
            <w:tcW w:w="1140" w:type="dxa"/>
            <w:vAlign w:val="bottom"/>
          </w:tcPr>
          <w:p>
            <w:pPr>
              <w:jc w:val="right"/>
              <w:ind w:right="98"/>
              <w:spacing w:after="0"/>
              <w:rPr>
                <w:sz w:val="20"/>
                <w:szCs w:val="20"/>
                <w:color w:val="auto"/>
              </w:rPr>
            </w:pPr>
            <w:r>
              <w:rPr>
                <w:rFonts w:ascii="Arial" w:cs="Arial" w:eastAsia="Arial" w:hAnsi="Arial"/>
                <w:sz w:val="18"/>
                <w:szCs w:val="18"/>
                <w:color w:val="auto"/>
              </w:rPr>
              <w:t>32,863</w:t>
            </w:r>
          </w:p>
        </w:tc>
        <w:tc>
          <w:tcPr>
            <w:tcW w:w="1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1,698,955</w:t>
            </w: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37,792</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1,953,775</w:t>
            </w:r>
          </w:p>
        </w:tc>
      </w:tr>
      <w:tr>
        <w:trPr>
          <w:trHeight w:val="229"/>
        </w:trPr>
        <w:tc>
          <w:tcPr>
            <w:tcW w:w="2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Lee Olesky</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4,092,463</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122,082</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6,311,407</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140,395</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7,258,155</w:t>
            </w:r>
          </w:p>
        </w:tc>
      </w:tr>
      <w:tr>
        <w:trPr>
          <w:trHeight w:val="230"/>
        </w:trPr>
        <w:tc>
          <w:tcPr>
            <w:tcW w:w="2440" w:type="dxa"/>
            <w:vAlign w:val="bottom"/>
            <w:gridSpan w:val="2"/>
          </w:tcPr>
          <w:p>
            <w:pPr>
              <w:ind w:left="180"/>
              <w:spacing w:after="0"/>
              <w:rPr>
                <w:sz w:val="20"/>
                <w:szCs w:val="20"/>
                <w:color w:val="auto"/>
              </w:rPr>
            </w:pPr>
            <w:r>
              <w:rPr>
                <w:rFonts w:ascii="Arial" w:cs="Arial" w:eastAsia="Arial" w:hAnsi="Arial"/>
                <w:sz w:val="18"/>
                <w:szCs w:val="18"/>
                <w:color w:val="auto"/>
              </w:rPr>
              <w:t>James Spencer</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195,753</w:t>
            </w:r>
          </w:p>
        </w:tc>
        <w:tc>
          <w:tcPr>
            <w:tcW w:w="140" w:type="dxa"/>
            <w:vAlign w:val="bottom"/>
          </w:tcPr>
          <w:p>
            <w:pPr>
              <w:spacing w:after="0"/>
              <w:rPr>
                <w:sz w:val="19"/>
                <w:szCs w:val="19"/>
                <w:color w:val="auto"/>
              </w:rPr>
            </w:pPr>
          </w:p>
        </w:tc>
        <w:tc>
          <w:tcPr>
            <w:tcW w:w="1140" w:type="dxa"/>
            <w:vAlign w:val="bottom"/>
          </w:tcPr>
          <w:p>
            <w:pPr>
              <w:jc w:val="right"/>
              <w:ind w:right="98"/>
              <w:spacing w:after="0"/>
              <w:rPr>
                <w:sz w:val="20"/>
                <w:szCs w:val="20"/>
                <w:color w:val="auto"/>
              </w:rPr>
            </w:pPr>
            <w:r>
              <w:rPr>
                <w:rFonts w:ascii="Arial" w:cs="Arial" w:eastAsia="Arial" w:hAnsi="Arial"/>
                <w:sz w:val="18"/>
                <w:szCs w:val="18"/>
                <w:color w:val="auto"/>
              </w:rPr>
              <w:t>24,356</w:t>
            </w:r>
          </w:p>
        </w:tc>
        <w:tc>
          <w:tcPr>
            <w:tcW w:w="1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1,259,159</w:t>
            </w: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28,009</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1,448,012</w:t>
            </w:r>
          </w:p>
        </w:tc>
      </w:tr>
      <w:tr>
        <w:trPr>
          <w:trHeight w:val="230"/>
        </w:trPr>
        <w:tc>
          <w:tcPr>
            <w:tcW w:w="2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Robert Warshaw</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284,270</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24,416</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1,262,261</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28,078</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1,451,579</w:t>
            </w:r>
          </w:p>
        </w:tc>
      </w:tr>
      <w:tr>
        <w:trPr>
          <w:trHeight w:val="257"/>
        </w:trPr>
        <w:tc>
          <w:tcPr>
            <w:tcW w:w="2440" w:type="dxa"/>
            <w:vAlign w:val="bottom"/>
            <w:gridSpan w:val="2"/>
          </w:tcPr>
          <w:p>
            <w:pPr>
              <w:ind w:left="180"/>
              <w:spacing w:after="0"/>
              <w:rPr>
                <w:sz w:val="20"/>
                <w:szCs w:val="20"/>
                <w:color w:val="auto"/>
              </w:rPr>
            </w:pPr>
            <w:r>
              <w:rPr>
                <w:rFonts w:ascii="Arial" w:cs="Arial" w:eastAsia="Arial" w:hAnsi="Arial"/>
                <w:sz w:val="18"/>
                <w:szCs w:val="18"/>
                <w:color w:val="auto"/>
              </w:rPr>
              <w:t>Scott Zucker</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163,274</w:t>
            </w:r>
          </w:p>
        </w:tc>
        <w:tc>
          <w:tcPr>
            <w:tcW w:w="140" w:type="dxa"/>
            <w:vAlign w:val="bottom"/>
          </w:tcPr>
          <w:p>
            <w:pPr>
              <w:spacing w:after="0"/>
              <w:rPr>
                <w:sz w:val="22"/>
                <w:szCs w:val="22"/>
                <w:color w:val="auto"/>
              </w:rPr>
            </w:pPr>
          </w:p>
        </w:tc>
        <w:tc>
          <w:tcPr>
            <w:tcW w:w="1140" w:type="dxa"/>
            <w:vAlign w:val="bottom"/>
          </w:tcPr>
          <w:p>
            <w:pPr>
              <w:jc w:val="right"/>
              <w:ind w:right="98"/>
              <w:spacing w:after="0"/>
              <w:rPr>
                <w:sz w:val="20"/>
                <w:szCs w:val="20"/>
                <w:color w:val="auto"/>
              </w:rPr>
            </w:pPr>
            <w:r>
              <w:rPr>
                <w:rFonts w:ascii="Arial" w:cs="Arial" w:eastAsia="Arial" w:hAnsi="Arial"/>
                <w:sz w:val="18"/>
                <w:szCs w:val="18"/>
                <w:color w:val="auto"/>
              </w:rPr>
              <w:t>12,800</w:t>
            </w:r>
          </w:p>
        </w:tc>
        <w:tc>
          <w:tcPr>
            <w:tcW w:w="14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661,736</w:t>
            </w: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14,720</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760,996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-3196590</wp:posOffset>
            </wp:positionV>
            <wp:extent cx="1028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-3196590</wp:posOffset>
            </wp:positionV>
            <wp:extent cx="946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-3196590</wp:posOffset>
            </wp:positionV>
            <wp:extent cx="857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-3196590</wp:posOffset>
            </wp:positionV>
            <wp:extent cx="857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-3196590</wp:posOffset>
            </wp:positionV>
            <wp:extent cx="857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7" w:lineRule="exact"/>
        <w:rPr>
          <w:sz w:val="20"/>
          <w:szCs w:val="20"/>
          <w:color w:val="auto"/>
        </w:rPr>
      </w:pPr>
    </w:p>
    <w:p>
      <w:pPr>
        <w:ind w:left="1620" w:right="679" w:hanging="352"/>
        <w:spacing w:after="0" w:line="255" w:lineRule="auto"/>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there is an increase in the number of shares of Class A common stock sold in this offering by us, as set forth on the cover page of this prospectus, then additional Bank Stockholders, which may include affiliates of the underwriters, may sell LLC Interests. If there is a change in the number of shares of Class A common stock sold in this offering by us, as set forth on the cover page of this prospectus, then the level of participation by certain Bank Stockholders and certain of our executive officers may increase or decrease from the amounts shown above.</w:t>
      </w:r>
    </w:p>
    <w:p>
      <w:pPr>
        <w:spacing w:after="0" w:line="152" w:lineRule="exact"/>
        <w:rPr>
          <w:sz w:val="20"/>
          <w:szCs w:val="20"/>
          <w:color w:val="auto"/>
        </w:rPr>
      </w:pPr>
    </w:p>
    <w:p>
      <w:pPr>
        <w:ind w:left="1620" w:right="799" w:hanging="352"/>
        <w:spacing w:after="0" w:line="275" w:lineRule="auto"/>
        <w:tabs>
          <w:tab w:leader="none" w:pos="1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As of March 31, 2020. For the Bank Stockholders, represents LLC Interests held before this offering only. For the Executive Officers, represents shares of Class A common stock held before this offering, including shares of Class A common stock issuable upon exercise of options that have vested or will vest within 60 days of March 31, 2020 before giving effect to the Net Exercise and the completion of this offering and the application of the net proceeds therefrom only.</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Executive Officers</w:t>
      </w:r>
    </w:p>
    <w:p>
      <w:pPr>
        <w:spacing w:after="0" w:line="108"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color w:val="auto"/>
        </w:rPr>
        <w:t>We used a portion of the net proceeds that we received from the October 2019 follow-on offering to purchase issued and outstanding LLC Interests and shares of Class A common stock (which shares of Class A common stock were cancelled) from certain of our executive officers, at a purchase price per interest and share equal to $40.74 (the public offering price per share of our Class A common stock, less the underwriting discounts and commissions payable thereon). The following table sets forth the cash proceeds that such executive officers received from the purchase by us of such LLC Interests and shares of Class A common stock with the net proceeds of the October 2019 follow-on offering:</w:t>
      </w: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Number of LLC</w:t>
            </w:r>
          </w:p>
        </w:tc>
        <w:tc>
          <w:tcPr>
            <w:tcW w:w="740" w:type="dxa"/>
            <w:vAlign w:val="bottom"/>
          </w:tcPr>
          <w:p>
            <w:pPr>
              <w:spacing w:after="0"/>
              <w:rPr>
                <w:sz w:val="14"/>
                <w:szCs w:val="14"/>
                <w:color w:val="auto"/>
              </w:rPr>
            </w:pPr>
          </w:p>
        </w:tc>
      </w:tr>
      <w:tr>
        <w:trPr>
          <w:trHeight w:val="162"/>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Interests and/or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Cash</w:t>
            </w:r>
          </w:p>
        </w:tc>
      </w:tr>
      <w:tr>
        <w:trPr>
          <w:trHeight w:val="162"/>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Class A shares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Proceeds</w:t>
            </w:r>
          </w:p>
        </w:tc>
      </w:tr>
      <w:tr>
        <w:trPr>
          <w:trHeight w:val="186"/>
        </w:trPr>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sold to us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6"/>
        </w:trPr>
        <w:tc>
          <w:tcPr>
            <w:tcW w:w="5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3"/>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Enrico Bruni</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45,001</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1,833,341</w:t>
            </w:r>
          </w:p>
        </w:tc>
      </w:tr>
      <w:tr>
        <w:trPr>
          <w:trHeight w:val="243"/>
        </w:trPr>
        <w:tc>
          <w:tcPr>
            <w:tcW w:w="5440" w:type="dxa"/>
            <w:vAlign w:val="bottom"/>
            <w:gridSpan w:val="2"/>
          </w:tcPr>
          <w:p>
            <w:pPr>
              <w:spacing w:after="0"/>
              <w:rPr>
                <w:sz w:val="20"/>
                <w:szCs w:val="20"/>
                <w:color w:val="auto"/>
              </w:rPr>
            </w:pPr>
            <w:r>
              <w:rPr>
                <w:rFonts w:ascii="Arial" w:cs="Arial" w:eastAsia="Arial" w:hAnsi="Arial"/>
                <w:sz w:val="18"/>
                <w:szCs w:val="18"/>
                <w:color w:val="auto"/>
              </w:rPr>
              <w:t>Douglas Friedman</w:t>
            </w:r>
          </w:p>
        </w:tc>
        <w:tc>
          <w:tcPr>
            <w:tcW w:w="1080" w:type="dxa"/>
            <w:vAlign w:val="bottom"/>
          </w:tcPr>
          <w:p>
            <w:pPr>
              <w:jc w:val="right"/>
              <w:ind w:right="136"/>
              <w:spacing w:after="0"/>
              <w:rPr>
                <w:sz w:val="20"/>
                <w:szCs w:val="20"/>
                <w:color w:val="auto"/>
              </w:rPr>
            </w:pPr>
            <w:r>
              <w:rPr>
                <w:rFonts w:ascii="Arial" w:cs="Arial" w:eastAsia="Arial" w:hAnsi="Arial"/>
                <w:sz w:val="18"/>
                <w:szCs w:val="18"/>
                <w:color w:val="auto"/>
              </w:rPr>
              <w:t>24,605</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1,002,408</w:t>
            </w:r>
          </w:p>
        </w:tc>
      </w:tr>
      <w:tr>
        <w:trPr>
          <w:trHeight w:val="243"/>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Hult</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109,369</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4,455,693</w:t>
            </w:r>
          </w:p>
        </w:tc>
      </w:tr>
      <w:tr>
        <w:trPr>
          <w:trHeight w:val="243"/>
        </w:trPr>
        <w:tc>
          <w:tcPr>
            <w:tcW w:w="5440" w:type="dxa"/>
            <w:vAlign w:val="bottom"/>
            <w:gridSpan w:val="2"/>
          </w:tcPr>
          <w:p>
            <w:pPr>
              <w:spacing w:after="0"/>
              <w:rPr>
                <w:sz w:val="20"/>
                <w:szCs w:val="20"/>
                <w:color w:val="auto"/>
              </w:rPr>
            </w:pPr>
            <w:r>
              <w:rPr>
                <w:rFonts w:ascii="Arial" w:cs="Arial" w:eastAsia="Arial" w:hAnsi="Arial"/>
                <w:sz w:val="18"/>
                <w:szCs w:val="18"/>
                <w:color w:val="auto"/>
              </w:rPr>
              <w:t>Simon Maisey</w:t>
            </w:r>
          </w:p>
        </w:tc>
        <w:tc>
          <w:tcPr>
            <w:tcW w:w="1080" w:type="dxa"/>
            <w:vAlign w:val="bottom"/>
          </w:tcPr>
          <w:p>
            <w:pPr>
              <w:jc w:val="right"/>
              <w:ind w:right="136"/>
              <w:spacing w:after="0"/>
              <w:rPr>
                <w:sz w:val="20"/>
                <w:szCs w:val="20"/>
                <w:color w:val="auto"/>
              </w:rPr>
            </w:pPr>
            <w:r>
              <w:rPr>
                <w:rFonts w:ascii="Arial" w:cs="Arial" w:eastAsia="Arial" w:hAnsi="Arial"/>
                <w:sz w:val="18"/>
                <w:szCs w:val="18"/>
                <w:color w:val="auto"/>
              </w:rPr>
              <w:t>13,231</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539,031</w:t>
            </w:r>
          </w:p>
        </w:tc>
      </w:tr>
      <w:tr>
        <w:trPr>
          <w:trHeight w:val="243"/>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Lee Olesky</w:t>
            </w:r>
          </w:p>
        </w:tc>
        <w:tc>
          <w:tcPr>
            <w:tcW w:w="1080" w:type="dxa"/>
            <w:vAlign w:val="bottom"/>
            <w:shd w:val="clear" w:color="auto" w:fill="CCEEFF"/>
          </w:tcPr>
          <w:p>
            <w:pPr>
              <w:jc w:val="right"/>
              <w:spacing w:after="0" w:line="243" w:lineRule="exact"/>
              <w:rPr>
                <w:sz w:val="20"/>
                <w:szCs w:val="20"/>
                <w:color w:val="auto"/>
              </w:rPr>
            </w:pPr>
            <w:r>
              <w:rPr>
                <w:rFonts w:ascii="Arial" w:cs="Arial" w:eastAsia="Arial" w:hAnsi="Arial"/>
                <w:sz w:val="18"/>
                <w:szCs w:val="18"/>
                <w:color w:val="auto"/>
              </w:rPr>
              <w:t>208,487</w:t>
            </w:r>
            <w:r>
              <w:rPr>
                <w:rFonts w:ascii="Arial" w:cs="Arial" w:eastAsia="Arial" w:hAnsi="Arial"/>
                <w:sz w:val="26"/>
                <w:szCs w:val="26"/>
                <w:color w:val="auto"/>
                <w:vertAlign w:val="superscript"/>
              </w:rPr>
              <w:t>(1)</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8,493,760</w:t>
            </w:r>
          </w:p>
        </w:tc>
      </w:tr>
      <w:tr>
        <w:trPr>
          <w:trHeight w:val="243"/>
        </w:trPr>
        <w:tc>
          <w:tcPr>
            <w:tcW w:w="5440" w:type="dxa"/>
            <w:vAlign w:val="bottom"/>
            <w:gridSpan w:val="2"/>
          </w:tcPr>
          <w:p>
            <w:pPr>
              <w:spacing w:after="0"/>
              <w:rPr>
                <w:sz w:val="20"/>
                <w:szCs w:val="20"/>
                <w:color w:val="auto"/>
              </w:rPr>
            </w:pPr>
            <w:r>
              <w:rPr>
                <w:rFonts w:ascii="Arial" w:cs="Arial" w:eastAsia="Arial" w:hAnsi="Arial"/>
                <w:sz w:val="18"/>
                <w:szCs w:val="18"/>
                <w:color w:val="auto"/>
              </w:rPr>
              <w:t>James Spencer</w:t>
            </w:r>
          </w:p>
        </w:tc>
        <w:tc>
          <w:tcPr>
            <w:tcW w:w="1080" w:type="dxa"/>
            <w:vAlign w:val="bottom"/>
          </w:tcPr>
          <w:p>
            <w:pPr>
              <w:jc w:val="right"/>
              <w:ind w:right="136"/>
              <w:spacing w:after="0"/>
              <w:rPr>
                <w:sz w:val="20"/>
                <w:szCs w:val="20"/>
                <w:color w:val="auto"/>
              </w:rPr>
            </w:pPr>
            <w:r>
              <w:rPr>
                <w:rFonts w:ascii="Arial" w:cs="Arial" w:eastAsia="Arial" w:hAnsi="Arial"/>
                <w:sz w:val="18"/>
                <w:szCs w:val="18"/>
                <w:color w:val="auto"/>
              </w:rPr>
              <w:t>35,000</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1,425,900</w:t>
            </w:r>
          </w:p>
        </w:tc>
      </w:tr>
      <w:tr>
        <w:trPr>
          <w:trHeight w:val="257"/>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Warshaw</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39,243</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1,598,760</w:t>
            </w:r>
          </w:p>
        </w:tc>
      </w:tr>
      <w:tr>
        <w:trPr>
          <w:trHeight w:val="270"/>
        </w:trPr>
        <w:tc>
          <w:tcPr>
            <w:tcW w:w="5440" w:type="dxa"/>
            <w:vAlign w:val="bottom"/>
            <w:gridSpan w:val="2"/>
          </w:tcPr>
          <w:p>
            <w:pPr>
              <w:spacing w:after="0"/>
              <w:rPr>
                <w:sz w:val="20"/>
                <w:szCs w:val="20"/>
                <w:color w:val="auto"/>
              </w:rPr>
            </w:pPr>
            <w:r>
              <w:rPr>
                <w:rFonts w:ascii="Arial" w:cs="Arial" w:eastAsia="Arial" w:hAnsi="Arial"/>
                <w:sz w:val="18"/>
                <w:szCs w:val="18"/>
                <w:color w:val="auto"/>
              </w:rPr>
              <w:t>Scott Zucker</w:t>
            </w:r>
          </w:p>
        </w:tc>
        <w:tc>
          <w:tcPr>
            <w:tcW w:w="1080" w:type="dxa"/>
            <w:vAlign w:val="bottom"/>
          </w:tcPr>
          <w:p>
            <w:pPr>
              <w:jc w:val="right"/>
              <w:ind w:right="136"/>
              <w:spacing w:after="0"/>
              <w:rPr>
                <w:sz w:val="20"/>
                <w:szCs w:val="20"/>
                <w:color w:val="auto"/>
              </w:rPr>
            </w:pPr>
            <w:r>
              <w:rPr>
                <w:rFonts w:ascii="Arial" w:cs="Arial" w:eastAsia="Arial" w:hAnsi="Arial"/>
                <w:sz w:val="18"/>
                <w:szCs w:val="18"/>
                <w:color w:val="auto"/>
              </w:rPr>
              <w:t>43,353</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1,766,201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-1259205</wp:posOffset>
            </wp:positionV>
            <wp:extent cx="137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-1259205</wp:posOffset>
            </wp:positionV>
            <wp:extent cx="1371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163195</wp:posOffset>
            </wp:positionV>
            <wp:extent cx="123444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Represents LLC Interests held by The Lee Olesky 2019 Family Trust.</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Blackstone</w:t>
      </w:r>
    </w:p>
    <w:p>
      <w:pPr>
        <w:spacing w:after="0" w:line="108"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We engaged Blackstone Advisory Partners L.P., an affiliate of Blackstone, to provide certain financial consulting services in connection with the October 2019 follow-on offering and the IPO for fees of $500,000 and $1.0 million, respectively. The underwriters reimbursed us for such fee in connection with the October 2019 follow-on offering. We have engaged Blackstone Advisory Partners L.P. to provide certain financial consulting services in connection with this offering. See “Underwriting (Conflicts of Interest) — Advisory Services.”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Transactions Entered Into in Connection With the IPO</w:t>
      </w:r>
    </w:p>
    <w:p>
      <w:pPr>
        <w:spacing w:after="0" w:line="108"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In connection with the Reorganization Transactions, we engaged in certain transactions with certain of our directors, executive officers and other persons and entities, including those which are holders of 5% or more of our voting securities. These transactions are described in “The IPO and Reorganization Transactions.”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TWM LLC Agreement</w:t>
      </w:r>
    </w:p>
    <w:p>
      <w:pPr>
        <w:spacing w:after="0" w:line="104"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We operate our business through TWM LLC and its subsidiaries. In connection with the IPO, we and the Original LLC Owners that received LLC Interests entered into TWM LLC’s fifth amended and restated limited liability company agreement, which we refer to as the “TWM LLC Agreement.” The operations of TWM LLC, and the rights and obligations of the holders of LLC Interests, are set forth in the TWM LLC Agreement.</w:t>
      </w:r>
    </w:p>
    <w:p>
      <w:pPr>
        <w:spacing w:after="0" w:line="80"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i w:val="1"/>
          <w:iCs w:val="1"/>
          <w:color w:val="auto"/>
        </w:rPr>
        <w:t xml:space="preserve">Appointment as Manager. </w:t>
      </w:r>
      <w:r>
        <w:rPr>
          <w:rFonts w:ascii="Arial" w:cs="Arial" w:eastAsia="Arial" w:hAnsi="Arial"/>
          <w:sz w:val="18"/>
          <w:szCs w:val="18"/>
          <w:color w:val="auto"/>
        </w:rPr>
        <w:t>Under the TWM LLC Agreement, we are a member and the sole manager of</w:t>
      </w:r>
      <w:r>
        <w:rPr>
          <w:rFonts w:ascii="Arial" w:cs="Arial" w:eastAsia="Arial" w:hAnsi="Arial"/>
          <w:sz w:val="18"/>
          <w:szCs w:val="18"/>
          <w:i w:val="1"/>
          <w:iCs w:val="1"/>
          <w:color w:val="auto"/>
        </w:rPr>
        <w:t xml:space="preserve"> </w:t>
      </w:r>
      <w:r>
        <w:rPr>
          <w:rFonts w:ascii="Arial" w:cs="Arial" w:eastAsia="Arial" w:hAnsi="Arial"/>
          <w:sz w:val="18"/>
          <w:szCs w:val="18"/>
          <w:color w:val="auto"/>
        </w:rPr>
        <w:t>TWM LLC. As the sole manager, we are able to control all of the day-to-day business affairs and decision-making of TWM LLC without the approval of any other member, unless otherwise stated in the TWM LLC Agreement. As such, we, through our officers and directors, are responsible for all operational and administrative decisions of TWM LLC and the day-to-day management of TWM LLC’s business. Pursuant to the terms of the TWM LLC Agreement, we cannot, under any circumstances, be removed as the sole manager of TWM LLC except by our election.</w:t>
      </w:r>
    </w:p>
    <w:p>
      <w:pPr>
        <w:spacing w:after="0" w:line="87" w:lineRule="exact"/>
        <w:rPr>
          <w:sz w:val="20"/>
          <w:szCs w:val="20"/>
          <w:color w:val="auto"/>
        </w:rPr>
      </w:pPr>
    </w:p>
    <w:p>
      <w:pPr>
        <w:ind w:left="1260" w:right="1079" w:firstLine="360"/>
        <w:spacing w:after="0" w:line="286" w:lineRule="auto"/>
        <w:rPr>
          <w:sz w:val="20"/>
          <w:szCs w:val="20"/>
          <w:color w:val="auto"/>
        </w:rPr>
      </w:pP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We are not entitled to compensation for our services as manager. We are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reimbursement by TWM LLC for fees and expenses incurred on behalf of TWM LLC, including all expenses associated with the IPO and maintaining our existence as a separate legal entity.</w:t>
      </w:r>
    </w:p>
    <w:p>
      <w:pPr>
        <w:spacing w:after="0" w:line="57"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i w:val="1"/>
          <w:iCs w:val="1"/>
          <w:color w:val="auto"/>
        </w:rPr>
        <w:t xml:space="preserve">Recapitalization. </w:t>
      </w:r>
      <w:r>
        <w:rPr>
          <w:rFonts w:ascii="Arial" w:cs="Arial" w:eastAsia="Arial" w:hAnsi="Arial"/>
          <w:sz w:val="18"/>
          <w:szCs w:val="18"/>
          <w:color w:val="auto"/>
        </w:rPr>
        <w:t>The TWM LLC Agreement recapitalized the units held by the members of TWM LLC</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the Reorganization Transactions into a single class of common membership units, which we refer to as the “LLC Interests.” The TWM LLC Agreement also reflects a split of LLC Interests such that one LLC Interest could be acquired with the net proceeds received in the IPO from the sale of one share of our Class A common stock. Each LLC Interest entitles the holder to a pro rata share of the net profits and net losses and distributions of TWM LLC.</w:t>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i w:val="1"/>
          <w:iCs w:val="1"/>
          <w:color w:val="auto"/>
        </w:rPr>
        <w:t xml:space="preserve">Distributions. </w:t>
      </w:r>
      <w:r>
        <w:rPr>
          <w:rFonts w:ascii="Arial" w:cs="Arial" w:eastAsia="Arial" w:hAnsi="Arial"/>
          <w:sz w:val="17"/>
          <w:szCs w:val="17"/>
          <w:color w:val="auto"/>
        </w:rPr>
        <w:t>In connection with any tax period, the TWM LLC Agreement requires TWM LLC to</w:t>
      </w:r>
      <w:r>
        <w:rPr>
          <w:rFonts w:ascii="Arial" w:cs="Arial" w:eastAsia="Arial" w:hAnsi="Arial"/>
          <w:sz w:val="17"/>
          <w:szCs w:val="17"/>
          <w:i w:val="1"/>
          <w:iCs w:val="1"/>
          <w:color w:val="auto"/>
        </w:rPr>
        <w:t xml:space="preserve"> </w:t>
      </w:r>
      <w:r>
        <w:rPr>
          <w:rFonts w:ascii="Arial" w:cs="Arial" w:eastAsia="Arial" w:hAnsi="Arial"/>
          <w:sz w:val="17"/>
          <w:szCs w:val="17"/>
          <w:color w:val="auto"/>
        </w:rPr>
        <w:t>make distributions to its members, on a pro rata basis in proportion to the number of LLC Interests held by each member, of cash until each member (other than us) has received an amount at least equal to its assumed tax liability and we have received an amount sufficient to enable us to timely satisfy all of our U.S. federal, state and local and non-U.S. tax liabilities. To the extent that any member would not receive</w:t>
      </w:r>
    </w:p>
    <w:p>
      <w:pPr>
        <w:spacing w:after="0" w:line="3" w:lineRule="exact"/>
        <w:rPr>
          <w:sz w:val="20"/>
          <w:szCs w:val="20"/>
          <w:color w:val="auto"/>
        </w:rPr>
      </w:pPr>
    </w:p>
    <w:p>
      <w:pPr>
        <w:ind w:left="1260" w:right="699"/>
        <w:spacing w:after="0" w:line="268" w:lineRule="auto"/>
        <w:rPr>
          <w:sz w:val="20"/>
          <w:szCs w:val="20"/>
          <w:color w:val="auto"/>
        </w:rPr>
      </w:pPr>
      <w:r>
        <w:rPr>
          <w:rFonts w:ascii="Arial" w:cs="Arial" w:eastAsia="Arial" w:hAnsi="Arial"/>
          <w:sz w:val="17"/>
          <w:szCs w:val="17"/>
          <w:color w:val="auto"/>
        </w:rPr>
        <w:t>its percentage interest of the aggregate tax distribution, the tax distribution for such member will be increased to ensure that all distributions are made pro rata in accordance with such member’s percentage interest. Tax distributions will also be made only to the extent all distributions from TWM LLC for the relevant period were otherwise insufficient to enable each member to cover its tax liabilities as calculated in the manner described above. The TWM LLC Agreement also allows for distributions to be made by TWM LLC to its members on a pro rata basis out of distributable cash. We expect TWM LLC may make distributions out of distributable cash periodically to the extent permitted by any agreements governing our indebtedness and necessary to enable us to cover our operating expenses and other obligations, including any payments under the Tax Receivable Agreement, as well as to make expected dividend payments, if any, to the holders of our Class A common stock and Class B common stock.</w:t>
      </w:r>
    </w:p>
    <w:p>
      <w:pPr>
        <w:spacing w:after="0" w:line="71"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i w:val="1"/>
          <w:iCs w:val="1"/>
          <w:color w:val="auto"/>
        </w:rPr>
        <w:t xml:space="preserve">LLC Interest Redemption Right. </w:t>
      </w:r>
      <w:r>
        <w:rPr>
          <w:rFonts w:ascii="Arial" w:cs="Arial" w:eastAsia="Arial" w:hAnsi="Arial"/>
          <w:sz w:val="17"/>
          <w:szCs w:val="17"/>
          <w:color w:val="auto"/>
        </w:rPr>
        <w:t>Subject to certain restrictions set forth therein, the TWM LLC</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provides a redemption right to the Continuing LLC Owners which entitles them to have their LLC Interests redeemed, at the election of each such person, for newly issued shares of our Class A common stock or Class B common stock, as applicable, on a one-for-one basis (subject to customary adjustments, including for stock splits, stock dividends and reclassifications) or, at our option, as determined by or at the direction of our board of directors, which will include directors who hold LLC Interests or are affiliated with holders of LLC Interests and may include such directors in the future, a cash payment equal to a volume weighted average market price of one share of Class A common stock for each LLC Interest redeemed or exchanged (subject to customary adjustments, including for stock splits, stock dividends and reclassifications). In the event we elect to make a cash payment, a Continuing LLC Owner has the option to rescind its redemption request within a specified time period. Upon the exercise of the redemption right, the redeeming member will surrender its LLC Interests to TWM LLC. The TWM LLC Agreement requires that we contribute cash or shares of our Class A common stock or Class B common stock to TWM LLC in exchange for an amount of newly issued LLC Interests in TWM LLC that will be issued to us equal to the number of LLC Interests redeemed (and thereafter cancelled) from the Continuing LLC Owner to the extent required so as to maintain a one-to-one ratio between the number of LLC Interests owned by us and the number of outstanding Class A common stock and Class B common stock. TWM LLC will then distribute the cash or shares of our Class A common stock or Class B common stock, as the case may be, to such Continuing LLC Owner to complete the redemption. In the event of such election by a Continuing LLC Owner we may, at our option, effect a direct exchange of cash or our Class A common stock or Class B common stock for such LLC Interests of the redeeming members in lieu of such redemption. Whether by redemption or exchange, we are obligated to ensure that at all times the number of LLC Interests that we own equals the aggregate number of shares of Class A common stock and Class B common stock issued by us (subject to certain exceptions for treasury shares and shares underlying certain convertible or exchangeable securities).</w:t>
      </w:r>
    </w:p>
    <w:p>
      <w:pPr>
        <w:spacing w:after="0" w:line="289"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i w:val="1"/>
          <w:iCs w:val="1"/>
          <w:color w:val="auto"/>
        </w:rPr>
        <w:t xml:space="preserve">Issuance of LLC Interests Upon Exercise of Options or Issuance of Other Equity Compensation. </w:t>
      </w:r>
      <w:r>
        <w:rPr>
          <w:rFonts w:ascii="Arial" w:cs="Arial" w:eastAsia="Arial" w:hAnsi="Arial"/>
          <w:sz w:val="17"/>
          <w:szCs w:val="17"/>
          <w:color w:val="auto"/>
        </w:rPr>
        <w:t>Upon</w:t>
      </w:r>
      <w:r>
        <w:rPr>
          <w:rFonts w:ascii="Arial" w:cs="Arial" w:eastAsia="Arial" w:hAnsi="Arial"/>
          <w:sz w:val="17"/>
          <w:szCs w:val="17"/>
          <w:i w:val="1"/>
          <w:iCs w:val="1"/>
          <w:color w:val="auto"/>
        </w:rPr>
        <w:t xml:space="preserve"> </w:t>
      </w:r>
      <w:r>
        <w:rPr>
          <w:rFonts w:ascii="Arial" w:cs="Arial" w:eastAsia="Arial" w:hAnsi="Arial"/>
          <w:sz w:val="17"/>
          <w:szCs w:val="17"/>
          <w:color w:val="auto"/>
        </w:rPr>
        <w:t>the exercise of options issued by us, or the issuance of other types of equity compensation by us (such as the issuance of restricted or non-restricted stock, payment of bonuses in stock or settlement of stock appreciation rights in stock), we will be required to acquire from TWM LLC a number of LLC Interests equal to the number of shares of Class A common stock being issued in connection with the exercise of such options or issuance of other types of equity compensation. When we issue shares of Class A common stock in settlement of stock options granted to persons that are not officers or employees of TWM LLC or its subsidiaries, we will make, or be deemed to make, a capital contribution to TWM LLC equal to the aggregate value of such shares of Class A common stock, and TWM LLC will issue to us a number of LLC Interests equal to the number of shares of Class A common stock we issued. When we issue shares of Class A common stock in settlement of stock options granted to persons that are officers or employees of TWM LLC or its subsidiaries, we will be deemed to have sold directly to the person exercising such award a portion of the value of each share of Class A common stock equal to the exercise price per share, and we will be deemed to have sold directly to TWM LLC (or the applicable subsidiary of TWM LLC) the</w:t>
      </w:r>
    </w:p>
    <w:p>
      <w:pPr>
        <w:spacing w:after="0" w:line="2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spacing w:after="0" w:line="254" w:lineRule="auto"/>
        <w:rPr>
          <w:sz w:val="20"/>
          <w:szCs w:val="20"/>
          <w:color w:val="auto"/>
        </w:rPr>
      </w:pPr>
      <w:r>
        <w:rPr>
          <w:rFonts w:ascii="Arial" w:cs="Arial" w:eastAsia="Arial" w:hAnsi="Arial"/>
          <w:sz w:val="18"/>
          <w:szCs w:val="18"/>
          <w:color w:val="auto"/>
        </w:rPr>
        <w:t>difference between the exercise price and market price per share for each such share of Class A common stock. In cases where we grant other types of equity compensation to employees of TWM LLC or its subsidiaries, on each applicable vesting date we will be deemed to have sold to TWM LLC (or such subsidiary) the number of vested shares at a price equal to the market price per share, TWM LLC (or such subsidiary) will deliver the shares to the applicable person, and we will be deemed to have made a capital contribution in TWM LLC equal to the purchase price for such shares in exchange for an equal number of LLC Interests.</w:t>
      </w:r>
    </w:p>
    <w:p>
      <w:pPr>
        <w:spacing w:after="0" w:line="87" w:lineRule="exact"/>
        <w:rPr>
          <w:sz w:val="20"/>
          <w:szCs w:val="20"/>
          <w:color w:val="auto"/>
        </w:rPr>
      </w:pPr>
    </w:p>
    <w:p>
      <w:pPr>
        <w:ind w:left="1260" w:right="899" w:firstLine="360"/>
        <w:spacing w:after="0" w:line="291" w:lineRule="auto"/>
        <w:rPr>
          <w:sz w:val="20"/>
          <w:szCs w:val="20"/>
          <w:color w:val="auto"/>
        </w:rPr>
      </w:pPr>
      <w:r>
        <w:rPr>
          <w:rFonts w:ascii="Arial" w:cs="Arial" w:eastAsia="Arial" w:hAnsi="Arial"/>
          <w:sz w:val="16"/>
          <w:szCs w:val="16"/>
          <w:i w:val="1"/>
          <w:iCs w:val="1"/>
          <w:color w:val="auto"/>
        </w:rPr>
        <w:t xml:space="preserve">Maintenance of one-to-one ratio of shares of Class A common stock, Class B common stock and LLC Interests owned by Tradeweb. </w:t>
      </w:r>
      <w:r>
        <w:rPr>
          <w:rFonts w:ascii="Arial" w:cs="Arial" w:eastAsia="Arial" w:hAnsi="Arial"/>
          <w:sz w:val="16"/>
          <w:szCs w:val="16"/>
          <w:color w:val="auto"/>
        </w:rPr>
        <w:t>The TWM LLC Agreement requires that TWM LLC at all times maintain</w:t>
      </w:r>
    </w:p>
    <w:p>
      <w:pPr>
        <w:jc w:val="both"/>
        <w:ind w:left="1260" w:right="839" w:firstLine="8"/>
        <w:spacing w:after="0" w:line="273" w:lineRule="auto"/>
        <w:tabs>
          <w:tab w:leader="none" w:pos="1529"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one-to-one ratio between the number of shares of Class A common stock and Class B common stock issued by us and the number of LLC Interests owned by us, and (y) a one-to-one ratio between the number of shares of Class C common stock and Class D common stock issued by us and the number of LLC Interests owned by the holders of such Class C common stock and Class D common stock.</w:t>
      </w:r>
    </w:p>
    <w:p>
      <w:pPr>
        <w:spacing w:after="0" w:line="68"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The TWM LLC Agreement generally does not permit transfers of LLC Interests</w:t>
      </w:r>
      <w:r>
        <w:rPr>
          <w:rFonts w:ascii="Arial" w:cs="Arial" w:eastAsia="Arial" w:hAnsi="Arial"/>
          <w:sz w:val="18"/>
          <w:szCs w:val="18"/>
          <w:i w:val="1"/>
          <w:iCs w:val="1"/>
          <w:color w:val="auto"/>
        </w:rPr>
        <w:t xml:space="preserve"> </w:t>
      </w:r>
      <w:r>
        <w:rPr>
          <w:rFonts w:ascii="Arial" w:cs="Arial" w:eastAsia="Arial" w:hAnsi="Arial"/>
          <w:sz w:val="18"/>
          <w:szCs w:val="18"/>
          <w:color w:val="auto"/>
        </w:rPr>
        <w:t>by members, subject to limited exceptions. Any transferee of LLC Interests must assume, by operation of law or written agreement, all of the obligations of a transferring member with respect to the transferred units, even if the transferee is not admitted as a member of TWM LLC.</w:t>
      </w:r>
    </w:p>
    <w:p>
      <w:pPr>
        <w:spacing w:after="0" w:line="79"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i w:val="1"/>
          <w:iCs w:val="1"/>
          <w:color w:val="auto"/>
        </w:rPr>
        <w:t xml:space="preserve">Dissolution. </w:t>
      </w:r>
      <w:r>
        <w:rPr>
          <w:rFonts w:ascii="Arial" w:cs="Arial" w:eastAsia="Arial" w:hAnsi="Arial"/>
          <w:sz w:val="17"/>
          <w:szCs w:val="17"/>
          <w:color w:val="auto"/>
        </w:rPr>
        <w:t>The TWM LLC Agreement provides that the decision of the manager (pursuant to a</w:t>
      </w:r>
      <w:r>
        <w:rPr>
          <w:rFonts w:ascii="Arial" w:cs="Arial" w:eastAsia="Arial" w:hAnsi="Arial"/>
          <w:sz w:val="17"/>
          <w:szCs w:val="17"/>
          <w:i w:val="1"/>
          <w:iCs w:val="1"/>
          <w:color w:val="auto"/>
        </w:rPr>
        <w:t xml:space="preserve"> </w:t>
      </w:r>
      <w:r>
        <w:rPr>
          <w:rFonts w:ascii="Arial" w:cs="Arial" w:eastAsia="Arial" w:hAnsi="Arial"/>
          <w:sz w:val="17"/>
          <w:szCs w:val="17"/>
          <w:color w:val="auto"/>
        </w:rPr>
        <w:t>unanimous decision of our board of directors) together with the Majority Members (as defined in the TWM LLC Agreement) will be required to voluntarily dissolve TWM LLC. In addition to a voluntary dissolution, TWM LLC will be dissolved upon the entry of a decree of judicial dissolution or other circumstances in accordance with Delaware law. Upon a dissolution event, the proceeds of a liquidation will be distributed to satisfy all of TWC LLC’s debts, liabilities and obligations (including all expenses incurred in liquidation) and the remaining assets of TWC LLC will be distributed to the members pro-rata in accordance with their respective percentage ownership interests in TWM LLC (as determined based on the number of LLC Interests held by a member relative to the aggregate number of all outstanding LLC Interests).</w:t>
      </w:r>
    </w:p>
    <w:p>
      <w:pPr>
        <w:spacing w:after="0" w:line="73"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i w:val="1"/>
          <w:iCs w:val="1"/>
          <w:color w:val="auto"/>
        </w:rPr>
        <w:t xml:space="preserve">Confidentiality. </w:t>
      </w:r>
      <w:r>
        <w:rPr>
          <w:rFonts w:ascii="Arial" w:cs="Arial" w:eastAsia="Arial" w:hAnsi="Arial"/>
          <w:sz w:val="18"/>
          <w:szCs w:val="18"/>
          <w:color w:val="auto"/>
        </w:rPr>
        <w:t>Each member agrees to maintain the confidentiality of TWM LLC’s confidential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This obligation excludes (i) information that is independently obtained or developed by the members, information that is in the public domain or otherwise disclosed to a member not in violation of a confidentiality obligation and (ii) disclosures required by law or judicial process or approved by our or TWM LLC’s chief executive officer, chief financial officer or general counsel.</w:t>
      </w:r>
    </w:p>
    <w:p>
      <w:pPr>
        <w:spacing w:after="0" w:line="80"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i w:val="1"/>
          <w:iCs w:val="1"/>
          <w:color w:val="auto"/>
        </w:rPr>
        <w:t xml:space="preserve">Indemnification and Exculpation. </w:t>
      </w:r>
      <w:r>
        <w:rPr>
          <w:rFonts w:ascii="Arial" w:cs="Arial" w:eastAsia="Arial" w:hAnsi="Arial"/>
          <w:sz w:val="18"/>
          <w:szCs w:val="18"/>
          <w:color w:val="auto"/>
        </w:rPr>
        <w:t>The TWM LLC Agreement provides for indemnification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and officers of TWM LLC and its subsidiaries. To the extent permitted by applicable law, TWM LLC will indemnify us, as its sole manager, and our authorized officers from and against any losses, liabilities, damages, expenses, fees or penalties incurred by any acts or omissions of these persons, provided that the acts or omissions of these indemnified persons are not the result of gross negligence, bad faith, willful misconduct or knowing violation of law, or for any present or future breaches of any representations, warranties, covenants or obligations in the TWM LLC Agreement or in the other agreements with TWM LLC.</w:t>
      </w:r>
    </w:p>
    <w:p>
      <w:pPr>
        <w:spacing w:after="0" w:line="84"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We, as the sole manager of TWM LLC, and our affiliates and our respective agents, will not be liable to TWM LLC or its members for damages incurred by any acts or omissions of these persons, provided that the acts or omissions of these exculpated persons are not the result of bad faith, willful misconduct or knowing violation of law, or for any present or future breaches of any representations, warranties, covenants or obligations in the TWM LLC Agreement in the other agreements with TWM LLC.</w:t>
      </w:r>
    </w:p>
    <w:p>
      <w:pPr>
        <w:spacing w:after="0" w:line="68"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i w:val="1"/>
          <w:iCs w:val="1"/>
          <w:color w:val="auto"/>
        </w:rPr>
        <w:t xml:space="preserve">Amendments. </w:t>
      </w:r>
      <w:r>
        <w:rPr>
          <w:rFonts w:ascii="Arial" w:cs="Arial" w:eastAsia="Arial" w:hAnsi="Arial"/>
          <w:sz w:val="17"/>
          <w:szCs w:val="17"/>
          <w:color w:val="auto"/>
        </w:rPr>
        <w:t>The TWM LLC Agreement may be amended with the consent of the holders of a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in voting power of the outstanding LLC Interests, including the sole manager, and in case of any amendment that materially and adversely modifies the LLC Interests (or the rights, preferences or privileges thereof) then held by any members in any materially disproportionate manner to those then held by any other members, the consent of a majority in interest of such disproportionately affected members. Notwithstanding the foregoing, no amendment to any of the provisions that expressly require the approval or action of certain members may be made without the consent of such members and no amendment to the</w:t>
      </w: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77" w:lineRule="auto"/>
        <w:rPr>
          <w:sz w:val="20"/>
          <w:szCs w:val="20"/>
          <w:color w:val="auto"/>
        </w:rPr>
      </w:pPr>
      <w:r>
        <w:rPr>
          <w:rFonts w:ascii="Arial" w:cs="Arial" w:eastAsia="Arial" w:hAnsi="Arial"/>
          <w:sz w:val="18"/>
          <w:szCs w:val="18"/>
          <w:color w:val="auto"/>
        </w:rPr>
        <w:t>provisions governing the authority and actions of the sole manager or the dissolution of TWM LLC may be amended without the consent of the sole manager.</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04"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We expect to obtain an increase in our share of the tax basis of the assets of TWM LLC (i) when a Continuing LLC Owner receives shares of our Class A common stock or Class B common stock, as applicable, or, at our election, cash in connection with an exercise of such Continuing LLC Owner’s right to have its LLC Interests redeemed by TWM LLC or, at our election, exchanged and (ii) in connection with the disposition by a Continuing LLC Owner of its LLC Interests for cash, including in connection with the IPO, the October 2019 follow-on offering and this offering (such basis increase, the “Basis Adjustments”). We intend to treat such acquisition of LLC Interests as our direct purchase of LLC Interests from a Continuing LLC Owner for U.S. federal income and other applicable tax purposes, regardless of whether such LLC Interests are redeemed by TWM LLC or sold to us. A Basis Adjustment may have the effect of reducing the amounts that we would otherwise pay in the future to various tax authorities. The Basis Adjustments may reduce our tax liability by increasing certain deductions (for example, our depreciation, depletion and amortization deductions) or decreasing gains (or increasing losses) on future dispositions of certain capital assets to the extent tax basis is allocated to those capital assets.</w:t>
      </w:r>
    </w:p>
    <w:p>
      <w:pPr>
        <w:spacing w:after="0" w:line="7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In connection with the IPO, we entered into the Tax Receivable Agreement (the “TRA”) with TWM LLC and the Continuing LLC Owners. The TRA provides for the payment by us to the Continuing LLC Owners who dispose of LLC Interests for cash in connection with any offering, including this offering, or receive shares of our Class A common stock or Class B common stock or cash, as applicable, in connection with an exchange or redemption of LLC Interests, of 50% of the amount of U.S. federal, state and local income or franchise tax savings, if any, that we actually realize, or in some circumstances are deemed to realize, as a result of the transactions with such Continuing LLC Owners, including increases in the tax basis of the assets of TWM LLC attributable to payments made under the TRA and deductions attributable to imputed interest and other payments of interest pursuant to the TRA. TWM LLC will have in effect an election under Section 754 of the Code effective for each taxable year in which a redemption or exchange of LLC Interests for shares of our Class A common stock or Class B common stock, as applicable, or cash occurs. These TRA payments are not conditioned upon any continued ownership interest in either TWM LLC or us by any Continuing LLC Owner. The rights of each Continuing LLC Owner under the TRA are assignable to transferees of its LLC Interests (other than us as transferee pursuant to subsequent redemptions (or exchanges) of the transferred LLC Interests). We expect to benefit from the remaining 50% of tax benefits, if any, that we may actually realize.</w:t>
      </w:r>
    </w:p>
    <w:p>
      <w:pPr>
        <w:spacing w:after="0" w:line="7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actual Basis Adjustments, as well as any amounts paid to the Continuing LLC Owners under the</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TRA, will vary depending on a number of factors, including:</w:t>
      </w:r>
    </w:p>
    <w:p>
      <w:pPr>
        <w:spacing w:after="0" w:line="103" w:lineRule="exact"/>
        <w:rPr>
          <w:sz w:val="20"/>
          <w:szCs w:val="20"/>
          <w:color w:val="auto"/>
        </w:rPr>
      </w:pPr>
    </w:p>
    <w:p>
      <w:pPr>
        <w:ind w:left="1980" w:right="1019" w:hanging="352"/>
        <w:spacing w:after="0" w:line="286" w:lineRule="auto"/>
        <w:tabs>
          <w:tab w:leader="none" w:pos="19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timing of any subsequent redemptions or exchanges — for instance, the increase in any tax deductions will vary depending on the fair value, which may fluctuate over time, of the depreciable or amortizable assets of TWM LLC at the time of each redemption or exchange;</w:t>
      </w:r>
    </w:p>
    <w:p>
      <w:pPr>
        <w:spacing w:after="0" w:line="57" w:lineRule="exact"/>
        <w:rPr>
          <w:rFonts w:ascii="Arial" w:cs="Arial" w:eastAsia="Arial" w:hAnsi="Arial"/>
          <w:sz w:val="17"/>
          <w:szCs w:val="17"/>
          <w:color w:val="auto"/>
        </w:rPr>
      </w:pPr>
    </w:p>
    <w:p>
      <w:pPr>
        <w:ind w:left="1980" w:right="819" w:hanging="352"/>
        <w:spacing w:after="0" w:line="286" w:lineRule="auto"/>
        <w:tabs>
          <w:tab w:leader="none" w:pos="19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price of shares of our Class A common stock at the time of redemptions or exchanges — the Basis Adjustments, as well as any related increase in any tax deductions, is directly related to the price of shares of our Class A common stock at the time of each redemption or exchange; and</w:t>
      </w:r>
    </w:p>
    <w:p>
      <w:pPr>
        <w:spacing w:after="0" w:line="57" w:lineRule="exact"/>
        <w:rPr>
          <w:rFonts w:ascii="Arial" w:cs="Arial" w:eastAsia="Arial" w:hAnsi="Arial"/>
          <w:sz w:val="17"/>
          <w:szCs w:val="17"/>
          <w:color w:val="auto"/>
        </w:rPr>
      </w:pPr>
    </w:p>
    <w:p>
      <w:pPr>
        <w:ind w:left="1980" w:right="719" w:hanging="352"/>
        <w:spacing w:after="0" w:line="254" w:lineRule="auto"/>
        <w:tabs>
          <w:tab w:leader="none" w:pos="1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amount and timing of our income — the TRA generally will require us to pay 50% of the tax benefits as and when those benefits are treated as realized under the terms of the TRA. If we do not have taxable income, we generally will not be required (absent a change of control or other circumstances requiring an early termination payment) to make payments under the TRA for that taxable year because no tax benefits will have been actually realized. However, any tax benefits that do not result in realized tax benefits in a given taxable year will likely generate tax attributes that may be utilized to generate tax benefits in future taxable years. The utilization of any such tax attributes will result in payments under the TRA.</w:t>
      </w:r>
    </w:p>
    <w:p>
      <w:pPr>
        <w:spacing w:after="0" w:line="84" w:lineRule="exact"/>
        <w:rPr>
          <w:sz w:val="20"/>
          <w:szCs w:val="20"/>
          <w:color w:val="auto"/>
        </w:rPr>
      </w:pPr>
    </w:p>
    <w:p>
      <w:pPr>
        <w:ind w:left="1260" w:right="719" w:firstLine="360"/>
        <w:spacing w:after="0" w:line="286" w:lineRule="auto"/>
        <w:rPr>
          <w:sz w:val="20"/>
          <w:szCs w:val="20"/>
          <w:color w:val="auto"/>
        </w:rPr>
      </w:pPr>
      <w:r>
        <w:rPr>
          <w:rFonts w:ascii="Arial" w:cs="Arial" w:eastAsia="Arial" w:hAnsi="Arial"/>
          <w:sz w:val="17"/>
          <w:szCs w:val="17"/>
          <w:color w:val="auto"/>
        </w:rPr>
        <w:t>For purposes of the TRA, cash savings in income and franchise tax will be computed by comparing our actual income and franchise tax liability to the amount of such taxes that we would have been required to pay (with an assumed tax rate for state and local tax purposes) had there been no Basis Adjustments and</w:t>
      </w:r>
    </w:p>
    <w:p>
      <w:pPr>
        <w:sectPr>
          <w:pgSz w:w="11900" w:h="16838" w:orient="portrait"/>
          <w:cols w:equalWidth="0" w:num="1">
            <w:col w:w="10139"/>
          </w:cols>
          <w:pgMar w:left="320" w:top="131" w:right="1440" w:bottom="1440" w:gutter="0" w:footer="0" w:header="0"/>
        </w:sectPr>
      </w:pP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8" w:name="page119"/>
    <w:bookmarkEnd w:id="11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55" w:lineRule="auto"/>
        <w:rPr>
          <w:sz w:val="20"/>
          <w:szCs w:val="20"/>
          <w:color w:val="auto"/>
        </w:rPr>
      </w:pPr>
      <w:r>
        <w:rPr>
          <w:rFonts w:ascii="Arial" w:cs="Arial" w:eastAsia="Arial" w:hAnsi="Arial"/>
          <w:sz w:val="18"/>
          <w:szCs w:val="18"/>
          <w:color w:val="auto"/>
        </w:rPr>
        <w:t>had the TRA not been entered into. The TRA will generally apply to each of our taxable years, beginning with the first taxable year ending after the IPO. There is no maximum term for the TRA; however, the TRA may be terminated by us pursuant to an early termination procedure that requires us to pay the Continuing LLC Owners an amount equal to the estimated present value of the remaining payments under the agreement (calculated based on certain assumptions, including regarding tax rates and utilization of the Basis Adjustments).</w:t>
      </w:r>
    </w:p>
    <w:p>
      <w:pPr>
        <w:spacing w:after="0" w:line="84" w:lineRule="exact"/>
        <w:rPr>
          <w:sz w:val="20"/>
          <w:szCs w:val="20"/>
          <w:color w:val="auto"/>
        </w:rPr>
      </w:pPr>
    </w:p>
    <w:p>
      <w:pPr>
        <w:ind w:left="1260" w:right="779" w:firstLine="360"/>
        <w:spacing w:after="0" w:line="253" w:lineRule="auto"/>
        <w:rPr>
          <w:sz w:val="20"/>
          <w:szCs w:val="20"/>
          <w:color w:val="auto"/>
        </w:rPr>
      </w:pPr>
      <w:r>
        <w:rPr>
          <w:rFonts w:ascii="Arial" w:cs="Arial" w:eastAsia="Arial" w:hAnsi="Arial"/>
          <w:sz w:val="18"/>
          <w:szCs w:val="18"/>
          <w:color w:val="auto"/>
        </w:rPr>
        <w:t>The payment obligations under the TRA are obligations of Tradeweb and not of TWM LLC. Although the actual timing and amount of any payments that may be made under the TRA will vary, we expect that the payments could be substantial. Any payments made by us to Continuing LLC Owners under the TRA will generally reduce the amount of overall cash flow that might have otherwise been available to us or to TWM LLC and, to the extent that we are unable to make payments under the TRA for any reason, the unpaid amounts generally will be deferred and will accrue interest until paid by us. For example, we recorded a liability of $240.8 million related to our projected obligations under the Tax Receivable Agreement with respect to LLC Interests that were purchased by Tradeweb Markets Inc. using the net proceeds from the IPO and the October 2019 follow-on offering and LLC Interests that were exchanged by Continuing LLC Owners during the year ended December 31, 2019. We expect to record an additional liability in connection with this offering.</w:t>
      </w:r>
    </w:p>
    <w:p>
      <w:pPr>
        <w:spacing w:after="0" w:line="84"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Decisions made by us in the course of running our business, such as with respect to mergers, asset sales, other forms of business combinations or other changes in control, may influence the timing and amount of payments that are received by a Continuing LLC Owner under the TRA. For example, the earlier disposition of assets following a transaction that results in a Basis Adjustment will generally accelerate payments under the TRA and increase the present value of such payments.</w:t>
      </w:r>
    </w:p>
    <w:p>
      <w:pPr>
        <w:spacing w:after="0" w:line="80"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The TRA provides that if (i) we materially breach any of our material obligations under the TRA (including by failing to make payments thereunder when we have available cash to do so), (ii) certain change of control transactions were to occur, or (iii) we elect an early termination of the TRA, our obligations, or our successor’s obligations, under the TRA accelerate and become due and payable, based on certain assumptions, including an assumption that we have sufficient taxable income to fully utilize all potential future tax benefits that are subject to the TRA.</w:t>
      </w:r>
    </w:p>
    <w:p>
      <w:pPr>
        <w:spacing w:after="0" w:line="84" w:lineRule="exact"/>
        <w:rPr>
          <w:sz w:val="20"/>
          <w:szCs w:val="20"/>
          <w:color w:val="auto"/>
        </w:rPr>
      </w:pPr>
    </w:p>
    <w:p>
      <w:pPr>
        <w:ind w:left="1260" w:right="859" w:firstLine="360"/>
        <w:spacing w:after="0" w:line="275" w:lineRule="auto"/>
        <w:rPr>
          <w:sz w:val="20"/>
          <w:szCs w:val="20"/>
          <w:color w:val="auto"/>
        </w:rPr>
      </w:pPr>
      <w:r>
        <w:rPr>
          <w:rFonts w:ascii="Arial" w:cs="Arial" w:eastAsia="Arial" w:hAnsi="Arial"/>
          <w:sz w:val="17"/>
          <w:szCs w:val="17"/>
          <w:color w:val="auto"/>
        </w:rPr>
        <w:t>As a result, (i) we could be required to make cash payments to the Continuing LLC Owners that are greater than the specified percentage of the actual benefits we ultimately realize in respect of the tax benefits that are subject to the TRA, and (ii) we would be required to make an immediate cash payment equal to the present value of the anticipated future tax benefits that are the subject of the TRA, which payment may be made significantly in advance of the actual realization, if any, of such future tax benefits.</w:t>
      </w:r>
    </w:p>
    <w:p>
      <w:pPr>
        <w:spacing w:after="0" w:line="68"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In these situations, our obligations under the TRA could have a material adverse effect on our liquidity and could have the effect of delaying, deferring or preventing certain change of control transactions. There can be no assurance that we will be able to finance our obligations under the TRA.</w:t>
      </w:r>
    </w:p>
    <w:p>
      <w:pPr>
        <w:spacing w:after="0" w:line="57"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Payments under the TRA will be based on the tax reporting positions that we determine. We will not be reimbursed for any cash payments previously made to any Continuing LLC Owner pursuant to the TRA if any tax benefits initially claimed by us are subsequently challenged by a taxing authority and ultimately disallowed. Instead, in such circumstances, any excess cash payments made by us to a Continuing LLC Owner will be netted against any future cash payments that we might otherwise be required to make under the terms of the TRA. However, we might not determine that we have effectively made an excess cash payment to the Continuing LLC Owners for a number of years following the initial time of such payment. As a result, it is possible that we could make cash payments under the TRA that are substantially greater than our actual cash tax savings.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04"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In connection with the IPO, we entered into the Stockholders Agreement with the Refinitiv Owners. This agreement requires us to nominate a number of individuals designated by the Refinitiv Owners for election as our directors at any meeting of our stockholders (each a “Refinitiv Director”) such that, upon the election of each such individual, and each other individual nominated by or at the direction of our board of directors or a duly-authorized committee of the board, as a director of our company, the number</w:t>
      </w:r>
    </w:p>
    <w:p>
      <w:pPr>
        <w:sectPr>
          <w:pgSz w:w="11900" w:h="16838" w:orient="portrait"/>
          <w:cols w:equalWidth="0" w:num="1">
            <w:col w:w="10139"/>
          </w:cols>
          <w:pgMar w:left="320" w:top="131" w:right="1440" w:bottom="1440" w:gutter="0" w:footer="0" w:header="0"/>
        </w:sectPr>
      </w:pPr>
    </w:p>
    <w:p>
      <w:pPr>
        <w:spacing w:after="0" w:line="244"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9" w:name="page120"/>
    <w:bookmarkEnd w:id="11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67" w:lineRule="auto"/>
        <w:rPr>
          <w:sz w:val="20"/>
          <w:szCs w:val="20"/>
          <w:color w:val="auto"/>
        </w:rPr>
      </w:pPr>
      <w:r>
        <w:rPr>
          <w:rFonts w:ascii="Arial" w:cs="Arial" w:eastAsia="Arial" w:hAnsi="Arial"/>
          <w:sz w:val="17"/>
          <w:szCs w:val="17"/>
          <w:color w:val="auto"/>
        </w:rPr>
        <w:t>of Refinitiv Directors serving as directors of our company will be equal to: (1) if the Refinitiv Owners and their affiliates together continue to hold at least 50% of the combined voting power of our outstanding common stock as of the record date for such meeting, the total number of directors comprising our entire board of directors; (2) if the Refinitiv Owners and their affiliates together continue to hold at least 40% (but less than 50%) of the combined voting power of our outstanding common stock as of the record date for such meeting, the lowest whole number that is greater than 40% of the total number of directors comprising our board of directors; (3) if the Refinitiv Owners and their affiliates together continue to beneficially own at least 30% (but less than 40%) of the combined voting power of our outstanding common stock as of the record date for such meeting, the lowest whole number that is greater than 30% of the total number of directors comprising our board of directors; (4) if the Refinitiv Owners and their affiliates together continue to hold at least 20% (but less than 30%) of the combined voting power of our outstanding common stock as of the record date for such meeting, the lowest whole number that is greater than 20% of the total number of directors comprising our board of directors; and (5) if the Refinitiv Owners and their affiliates together continue to hold at least 10% (but less than 20%) of the combined voting power of our outstanding common stock as of the record date for such meeting, the lowest whole number (such number always being equal to or greater than one) that is greater than 10% of the total number of directors comprising our board of directors. In the case of a vacancy on our board created by the removal, resignation or otherwise of a Refinitiv Director, the Stockholders Agreement, to the extent the Refinitiv Owners continue to be entitled to nominate such Refinitiv Director, requires us to nominate an individual designated by the Refinitiv Owners for election to fill the vacancy. For so long as the Stockholders Agreement remains in effect, Refinitiv Directors may be removed only with the consent of the Refinitiv Owners. As part of their board nomination rights under the Stockholders Agreement, the Refinitiv Owners intend to continue to appoint each of Lee Olesky, our Chief Executive Officer, and Billy Hult, our President, as members of our board of directors.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04"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In connection with the IPO, we entered into the Registration Rights Agreement with the Refinitiv Owners and the Bank Stockholders. Pursuant to the Registration Rights Agreement, we granted the Refinitiv Owners, the Bank Stockholders, their affiliates and certain of their transferees the right, under certain circumstances and subject to the terms of the lock-up agreement they have entered into with the representatives of the underwriters and certain other restrictions, to require us to register under the Securities Act their shares of Class A common stock, including shares of Class A common stock received upon redemption or exchange of LLC Interests or exchange of shares of Class B common stock, which we refer to as “registrable shares.” After registration pursuant to these rights, these shares of Class A common stock will become freely tradable without restriction under the Securities Act. The registration statement of which this prospectus forms a part was filed as a result of the exercise of demand registration rights under the Registration Rights Agreement.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Demand Rights</w:t>
      </w:r>
    </w:p>
    <w:p>
      <w:pPr>
        <w:spacing w:after="0" w:line="104"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From time to time, the Refinitiv Owners and the Bank Stockholders may request that we register all or a portion of their registrable shares for sale under the Securities Act, including, when we are eligible, pursuant to a shelf registration statement (provided, in all cases, the aggregate number of registrable shares that are requested to be included in any such registration equals at least $100.0 million). In addition, from time to time when a shelf registration statement is effective, the Refinitiv Owners and the Bank Stockholders may request that we facilitate a shelf takedown of all or a portion of their registrable shares (provided the aggregate number of registrable shares that are requested to be included in any such takedown equals at least $100.0 million). The foregoing demand rights are subject to a number of exceptions and limitations, and we will not be required to effect a demand (whether for a non-shelf registered offering, an underwritten shelf registration or an underwritten shelf takedown) on more than one occasion in any twelve-month period, provided, however, that (i) until the first anniversary of the pricing date of the IPO, we shall not be required to effect more than two demands (whether for a non-shelf registered offering, an underwritten shelf registration or an underwritten shelf takedown) and (ii) a shelf takedown demanded in connection with a demanded shelf registration shall constitute a single demand. This limitation on the number of demands will fall away at the earlier of (i) the third anniversary the pricing date of the IPO and</w:t>
      </w:r>
    </w:p>
    <w:p>
      <w:pPr>
        <w:spacing w:after="0" w:line="2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8"/>
        <w:spacing w:after="0" w:line="253" w:lineRule="auto"/>
        <w:tabs>
          <w:tab w:leader="none" w:pos="1543"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date the Bank Stockholders own a number of shares of our common stock, in the aggregate, that is less than 10% of the number of shares of our common stock then outstanding. In addition, from and after the time that the Bank Stockholders own a number of shares of our common stock, in the aggregate, that is less than 10% of the total number of shares of our common stock then outstanding, the Bank Stockholders will have no further demand rights. We will not be required to effect the registration as requested by any of the Refinitiv Owners or the Bank Stockholders, if in the good faith judgment of our board of directors, such registration would materially interfere with certain existing or potential material transactions or events involving the company and should be delayed or is reasonably likely to require premature disclosure of information that could have a material adverse effect on us. These demand rights will also be subject to cutbacks, priorities and other limitations.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04"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In addition, if at any time we register any shares of our Class A common stock (other than pursuant to registrations on Form S-4 or Form S-8), the holders of registrable shares are entitled to include, subject to certain exceptions and limitations, all or a portion of their registrable shares in the registration. The foregoing piggyback rights, with respect to the Bank Stockholders, will fall away when the Bank Stockholders own a number of shares of our common stock, in the aggregate, that is less than 10% of the total number of shares of our common stock then outstanding; provided, that, with respect to each Bank Stockholder, on an individual basis, in no event shall such Bank Stockholder, together with any other holder that is an affiliate of such Bank Stockholder, cease to be entitled to piggyback rights if such Bank Stockholder, together with any such affiliate, owns a number of shares of our common stock, in the aggregate, that is more than 2% of the total number of shares of common stock then outstanding.</w:t>
      </w:r>
    </w:p>
    <w:p>
      <w:pPr>
        <w:spacing w:after="0" w:line="77" w:lineRule="exact"/>
        <w:rPr>
          <w:sz w:val="20"/>
          <w:szCs w:val="20"/>
          <w:color w:val="auto"/>
        </w:rPr>
      </w:pPr>
    </w:p>
    <w:p>
      <w:pPr>
        <w:ind w:left="1260" w:right="879" w:firstLine="360"/>
        <w:spacing w:after="0" w:line="263" w:lineRule="auto"/>
        <w:rPr>
          <w:sz w:val="20"/>
          <w:szCs w:val="20"/>
          <w:color w:val="auto"/>
        </w:rPr>
      </w:pPr>
      <w:r>
        <w:rPr>
          <w:rFonts w:ascii="Arial" w:cs="Arial" w:eastAsia="Arial" w:hAnsi="Arial"/>
          <w:sz w:val="18"/>
          <w:szCs w:val="18"/>
          <w:color w:val="auto"/>
        </w:rPr>
        <w:t>In the event that any registration in which the holders of registrable shares participate pursuant to the Registration Rights Agreement is an underwritten public offering, the number of registrable shares to be included may, in specified circumstances, be limited.</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Provisions</w:t>
      </w:r>
    </w:p>
    <w:p>
      <w:pPr>
        <w:spacing w:after="0" w:line="104"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We will pay all registration and offering expenses, including, among other things, reasonable fees and disbursements of a single special counsel for the participating holders of registrable shares related to any demand or piggyback registration. The Registration Rights Agreement contains customary cross-indemnification provisions, pursuant to which we are obligated to indemnify any selling stockholders in the event of material misstatements or omissions in the registration statement attributable to us, and they are obligated to indemnify us for material misstatements or omissions in the registration statement attributable to them. The Registration Rights Agreement does not specify any cash penalties or other penalties associated with any delays in registering any shares.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 Agreements</w:t>
      </w:r>
    </w:p>
    <w:p>
      <w:pPr>
        <w:spacing w:after="0" w:line="108"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In connection with the IPO, we entered into indemnification agreements with our directors and executive officers. These agreements require us to indemnify these individuals to the fullest extent permitted by Delaware law against liabilities that may arise by reason of their service to us, and to advance expenses incurred as a result of any proceeding against them as to which they could be indemnified.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87"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08"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7"/>
          <w:szCs w:val="17"/>
          <w:color w:val="auto"/>
        </w:rPr>
        <w:t>In connection with the completion of the IPO, our board of directors adopted a policy providing that the audit committee will review and approve or ratify transactions in excess of $120,000 of value in which we participate and in which a related party (as defined below) has or will have a direct or indirect material interest. Under this policy, the audit committee is to obtain all information it believes to be relevant to a</w:t>
      </w:r>
    </w:p>
    <w:p>
      <w:pPr>
        <w:spacing w:after="0" w:line="2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1" w:name="page122"/>
    <w:bookmarkEnd w:id="12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68" w:lineRule="auto"/>
        <w:rPr>
          <w:sz w:val="20"/>
          <w:szCs w:val="20"/>
          <w:color w:val="auto"/>
        </w:rPr>
      </w:pPr>
      <w:r>
        <w:rPr>
          <w:rFonts w:ascii="Arial" w:cs="Arial" w:eastAsia="Arial" w:hAnsi="Arial"/>
          <w:sz w:val="17"/>
          <w:szCs w:val="17"/>
          <w:color w:val="auto"/>
        </w:rPr>
        <w:t>review and approval or ratification of these transactions. After consideration of the relevant information, the audit committee is to approve only those related party transactions that the audit committee determines are not inconsistent with the best interests of the Company. In particular, our policy with respect to related party transactions requires our audit committee to consider the relationship of the related party to the Company, the nature and extent of the related party’s interest in the transaction, the material terms of the transaction, the importance and fairness of the transaction both to the Company and to the related party, the business rationale for engaging in the transaction, whether the transaction would likely impair the judgment of a director or executive officer to act in the best interest of the Company and whether the value and the terms of the transaction are substantially similar as compared to those of similar transactions previously entered into by the Company with non-related parties, if any. In general, a “related party” is any person who is or was one of our executive officers, directors or director nominees or is a holder of more than 5% of our common stock, or an immediate family member of any of the foregoing persons. All of the pre-IPO transactions described above were entered into prior to the adoption of this policy.</w:t>
      </w:r>
    </w:p>
    <w:p>
      <w:pPr>
        <w:spacing w:after="0" w:line="7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prospectus forms a part, and are available electronically on the website of the SEC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DESCRIPTION OF CAPITAL STOCK</w:t>
      </w:r>
    </w:p>
    <w:p>
      <w:pPr>
        <w:spacing w:after="0" w:line="10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Unless otherwise stated, the following is a description of the material terms of, and is qualified in its entirety by, our amended and restated certificate of incorporation and amended and restated bylaws, each of which are filed as exhibits to the registration statement of which this prospectus forms a part. In this “Description of Capital Stock” section, “we,” “us,” “our” and “our company” refer to Tradeweb Markets Inc. and not to any of its subsidiaries.</w:t>
      </w:r>
    </w:p>
    <w:p>
      <w:pPr>
        <w:spacing w:after="0" w:line="80"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Our purpose is to engage in any lawful act or activity for which corporations may now or hereafter be organized under the DGCL.</w:t>
      </w:r>
    </w:p>
    <w:p>
      <w:pPr>
        <w:spacing w:after="0" w:line="62"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Our current authorized capital stock consists of 1,000,000,000 shares of Class A common stock, par value $0.00001 per share, 450,000,000 shares of Class B common stock, par value $0.00001 per share, 350,000,000 shares of Class C common stock, par value $0.00001 per share, 300,000,000 shares of Class D common stock, par value $0.00001 per share, and 250,000,000 shares of preferred stock, par value $0.00001 per share. Unless our board of directors determines otherwise, we have issued and we will continue to issue all shares of our capital stock in uncertificated form.</w:t>
      </w:r>
    </w:p>
    <w:p>
      <w:pPr>
        <w:spacing w:after="0" w:line="84"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As of March 31, 2020, we had 70,670,440 shares of Class A common stock outstanding, 96,933,192 shares of Class B common stock outstanding, 7,389,983 shares of Class C common stock outstanding and 49,871,231 shares of Class D common stock outstanding. As of March 31, 2020, we had one holder of record of our Class A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 As of March 31, 2020, we had one holder of record of our Class B common stock, two holders of record of our Class C common stock and 29 holders of record of our Class D common stock.</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08"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04"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Holders of shares of our Class A common stock are entitled to one vote for each share held of record on all matters on which stockholders are entitled to vote generally, including the election or removal of directors elected by our stockholders generally. The holders of our Class A common stock do not have cumulative voting rights in the election of directors.</w:t>
      </w:r>
    </w:p>
    <w:p>
      <w:pPr>
        <w:spacing w:after="0" w:line="79"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Holders of shares of our Class A common stock are entitled to receive dividends when, as and if declared by our board of directors out of funds legally available therefor, subject to any statutory or contractual restrictions on the payment of dividends and to any restrictions on the payment of dividends imposed by the terms of any outstanding preferred stock. Dividends may not be declared or paid in respect of Class A common stock unless they are declared or paid in the same amount in respect of Class B common stock, and vice versa. With respect to stock dividends, holders of Class A common stock must receive Class A common stock.</w:t>
      </w:r>
    </w:p>
    <w:p>
      <w:pPr>
        <w:spacing w:after="0" w:line="87"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shares of our common stock will be entitled to receive, pari passu, an amount per share equal to the par value thereof and thereafter the holders of shares of our Class A common stock and Class B common stock will be entitled to share ratably our remaining assets available for distribution.</w:t>
      </w:r>
    </w:p>
    <w:p>
      <w:pPr>
        <w:spacing w:after="0" w:line="80"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All outstanding shares of our Class A common stock are, and all shares of our Class A common stock that will be outstanding upon the completion of this offering will be, fully paid and non-assessable. The Class A common stock will not be subject to further calls or assessments by us. Holders of shares of our Class A common stock do not have preemptive, subscription, redemption or conversion rights. There are no</w:t>
      </w:r>
    </w:p>
    <w:p>
      <w:pPr>
        <w:spacing w:after="0" w:line="2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86" w:lineRule="auto"/>
        <w:rPr>
          <w:sz w:val="20"/>
          <w:szCs w:val="20"/>
          <w:color w:val="auto"/>
        </w:rPr>
      </w:pPr>
      <w:r>
        <w:rPr>
          <w:rFonts w:ascii="Arial" w:cs="Arial" w:eastAsia="Arial" w:hAnsi="Arial"/>
          <w:sz w:val="17"/>
          <w:szCs w:val="17"/>
          <w:color w:val="auto"/>
        </w:rPr>
        <w:t>redemption or sinking fund provisions applicable to the Class A common stock. The rights, powers, preferences and privileges of our Class A common stock will be subject to those of the holders of any shares of our preferred stock or any other series or class of stock we may authorize and issue in the future.</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04"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Holders of shares of our Class B common stock are entitled to ten votes for each share held of record on all matters on which stockholders are entitled to vote generally, including the election or removal of directors elected by our stockholders generally. The holders of our Class B common stock do not have cumulative voting rights in the election of directors.</w:t>
      </w:r>
    </w:p>
    <w:p>
      <w:pPr>
        <w:spacing w:after="0" w:line="79"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Holders of shares of our Class B common stock are entitled to receive dividends when, as and if declared by our board of directors out of funds legally available therefor, subject to any statutory or contractual restrictions on the payment of dividends and to any restrictions on the payment of dividends imposed by the terms of any outstanding preferred stock. Dividends may not be declared or paid in respect of Class B common stock unless they are declared or paid in the same amount in respect of Class A common stock, and vice versa. With respect to stock dividends, holders of Class B common stock must receive Class B common stock.</w:t>
      </w:r>
    </w:p>
    <w:p>
      <w:pPr>
        <w:spacing w:after="0" w:line="87"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shares of our Class B common stock and Class A common stock will be entitled to share ratably our remaining assets available for distribution.</w:t>
      </w:r>
    </w:p>
    <w:p>
      <w:pPr>
        <w:spacing w:after="0" w:line="79"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All outstanding shares of our Class B common stock are fully paid and non-assessable. The Class B common stock will not be subject to further calls or assessments by us. Holders of shares of our Class B common stock do not have preemptive, subscription, redemption or conversion rights. There are no redemption or sinking fund provisions applicable to the Class B common stock. The rights, powers, preferences and privileges of our Class B common stock will be subject to those of the holders of any shares of our preferred stock or any other series or class of stock we may authorize and issue in the future.</w:t>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Refinitiv Direct Owner owns 100% of our outstanding Class B common stock.</w:t>
      </w:r>
    </w:p>
    <w:p>
      <w:pPr>
        <w:spacing w:after="0" w:line="117"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Shares of Class B common stock may be exchanged at any time, at the option of the holder, for newly issued shares of Class A common stock, on a one-for-one basis (in which case their shares of Class B common stock will be cancelled on a one-for-one basis upon any such issuance).</w:t>
      </w:r>
    </w:p>
    <w:p>
      <w:pPr>
        <w:spacing w:after="0" w:line="76"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Each share of Class B common stock will automatically convert into one share of Class A common stock (i) immediately prior to any sale or other transfer of such share by a holder or its permitted transferees to a non-permitted transferee or (ii) once the Refinitiv Owners and their affiliates together no longer beneficially own a number of shares of our common stock and LLC Interests that together entitle them to at least 10% of TWM LLC’s economic interests.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C Common Stock</w:t>
      </w:r>
    </w:p>
    <w:p>
      <w:pPr>
        <w:spacing w:after="0" w:line="104"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Holders of shares of our Class C common stock are entitled to one vote for each share held of record on all matters on which stockholders are entitled to vote generally, including the election or removal of directors elected by our stockholders generally, with the number of shares of Class C common stock held by each holder being equivalent to the number of LLC Interests held by such holder. The holders of our Class C common stock do not have cumulative voting rights in the election of directors.</w:t>
      </w:r>
    </w:p>
    <w:p>
      <w:pPr>
        <w:spacing w:after="0" w:line="68" w:lineRule="exact"/>
        <w:rPr>
          <w:sz w:val="20"/>
          <w:szCs w:val="20"/>
          <w:color w:val="auto"/>
        </w:rPr>
      </w:pPr>
    </w:p>
    <w:p>
      <w:pPr>
        <w:ind w:left="1260" w:right="859" w:firstLine="360"/>
        <w:spacing w:after="0" w:line="263" w:lineRule="auto"/>
        <w:rPr>
          <w:sz w:val="20"/>
          <w:szCs w:val="20"/>
          <w:color w:val="auto"/>
        </w:rPr>
      </w:pPr>
      <w:r>
        <w:rPr>
          <w:rFonts w:ascii="Arial" w:cs="Arial" w:eastAsia="Arial" w:hAnsi="Arial"/>
          <w:sz w:val="18"/>
          <w:szCs w:val="18"/>
          <w:color w:val="auto"/>
        </w:rPr>
        <w:t>Holders of shares of our Class C common stock are not entitled to receive dividends. Other than their par value, holders of our Class C common stock are not entitled to receive a distribution upon our liquidation, dissolution or winding up.</w:t>
      </w:r>
    </w:p>
    <w:p>
      <w:pPr>
        <w:spacing w:after="0" w:line="76" w:lineRule="exact"/>
        <w:rPr>
          <w:sz w:val="20"/>
          <w:szCs w:val="20"/>
          <w:color w:val="auto"/>
        </w:rPr>
      </w:pPr>
    </w:p>
    <w:p>
      <w:pPr>
        <w:jc w:val="both"/>
        <w:ind w:left="1260" w:right="979" w:firstLine="360"/>
        <w:spacing w:after="0" w:line="286" w:lineRule="auto"/>
        <w:rPr>
          <w:sz w:val="20"/>
          <w:szCs w:val="20"/>
          <w:color w:val="auto"/>
        </w:rPr>
      </w:pPr>
      <w:r>
        <w:rPr>
          <w:rFonts w:ascii="Arial" w:cs="Arial" w:eastAsia="Arial" w:hAnsi="Arial"/>
          <w:sz w:val="17"/>
          <w:szCs w:val="17"/>
          <w:color w:val="auto"/>
        </w:rPr>
        <w:t>All outstanding shares of our Class C common stock are fully paid and non-assessable. The Class C common stock will not be subject to further calls or assessments by us. Holders of shares of our Class C common stock do not have preemptive, subscription, redemption or conversion rights. There are no</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4" w:name="page125"/>
    <w:bookmarkEnd w:id="12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79"/>
        <w:spacing w:after="0" w:line="259" w:lineRule="auto"/>
        <w:rPr>
          <w:sz w:val="20"/>
          <w:szCs w:val="20"/>
          <w:color w:val="auto"/>
        </w:rPr>
      </w:pPr>
      <w:r>
        <w:rPr>
          <w:rFonts w:ascii="Arial" w:cs="Arial" w:eastAsia="Arial" w:hAnsi="Arial"/>
          <w:sz w:val="18"/>
          <w:szCs w:val="18"/>
          <w:color w:val="auto"/>
        </w:rPr>
        <w:t>mandatory redemption or sinking fund provisions applicable to the Class C common stock. The rights powers, preferences and privileges of our Class C common stock will be subject to those of the holders of any shares of our preferred stock or any other series or class of stock we may authorize and issue in the future.</w:t>
      </w:r>
    </w:p>
    <w:p>
      <w:pPr>
        <w:spacing w:after="0" w:line="79"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Additional shares of Class C common stock will only be issued in the future to the extent (i) necessary to avoid the combined voting power held by any Bank Stockholder to exceed 4.9%, (ii) Continuing LLC Owners that hold shares of Class D common stock from time to time exchange all or a portion of their shares of our Class D common stock for newly issued shares of Class C common stock on a one-for-one basis (in which case their shares of Class D common stock will be cancelled on a one-for-one basis upon such issuance), or (iii) necessary to maintain a one-to-one ratio between the number of shares of Class C common stock issued to the Continuing LLC Owners and the number of related LLC interests held by the Continuing LLC Owners. Shares of Class C common stock will be cancelled on a one-for-one basis if we, at the election of a Continuing LLC Owner, redeem or exchange the related LLC Interests held by such Continuing LLC Owner and issue Class A common stock to the Continuing LLC Owner in connection therewith pursuant to the terms of the TWM LLC Agreement. Our Class C common stock is non-transferable, other than in connection with a transfer of the related LLC Interests to a permitted transferee under the TWM LLC Agreement, in which case a like number of shares of Class C common stock must be transferred to the permitted transferee.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D Common Stock</w:t>
      </w:r>
    </w:p>
    <w:p>
      <w:pPr>
        <w:spacing w:after="0" w:line="104"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Holders of shares of our Class D common stock are entitled to ten votes for each share held of record on all matters on which stockholders are entitled to vote generally, including the election or removal of directors elected by our stockholders generally, with the number of shares of Class D common stock held by each holder being equivalent to the number of LLC Interests held by such holder. The holders of our Class D common stock do not have cumulative voting rights in the election of directors.</w:t>
      </w:r>
    </w:p>
    <w:p>
      <w:pPr>
        <w:spacing w:after="0" w:line="68" w:lineRule="exact"/>
        <w:rPr>
          <w:sz w:val="20"/>
          <w:szCs w:val="20"/>
          <w:color w:val="auto"/>
        </w:rPr>
      </w:pPr>
    </w:p>
    <w:p>
      <w:pPr>
        <w:ind w:left="1260" w:right="859" w:firstLine="360"/>
        <w:spacing w:after="0" w:line="263" w:lineRule="auto"/>
        <w:rPr>
          <w:sz w:val="20"/>
          <w:szCs w:val="20"/>
          <w:color w:val="auto"/>
        </w:rPr>
      </w:pPr>
      <w:r>
        <w:rPr>
          <w:rFonts w:ascii="Arial" w:cs="Arial" w:eastAsia="Arial" w:hAnsi="Arial"/>
          <w:sz w:val="18"/>
          <w:szCs w:val="18"/>
          <w:color w:val="auto"/>
        </w:rPr>
        <w:t>Holders of shares of our Class D common stock are not entitled to receive dividends. Other than their par value, holders of our Class D common stock are not entitled to receive a distribution upon our liquidation, dissolution or winding up.</w:t>
      </w:r>
    </w:p>
    <w:p>
      <w:pPr>
        <w:spacing w:after="0" w:line="76" w:lineRule="exact"/>
        <w:rPr>
          <w:sz w:val="20"/>
          <w:szCs w:val="20"/>
          <w:color w:val="auto"/>
        </w:rPr>
      </w:pPr>
    </w:p>
    <w:p>
      <w:pPr>
        <w:ind w:left="1260" w:right="879" w:firstLine="360"/>
        <w:spacing w:after="0" w:line="254" w:lineRule="auto"/>
        <w:rPr>
          <w:sz w:val="20"/>
          <w:szCs w:val="20"/>
          <w:color w:val="auto"/>
        </w:rPr>
      </w:pPr>
      <w:r>
        <w:rPr>
          <w:rFonts w:ascii="Arial" w:cs="Arial" w:eastAsia="Arial" w:hAnsi="Arial"/>
          <w:sz w:val="18"/>
          <w:szCs w:val="18"/>
          <w:color w:val="auto"/>
        </w:rPr>
        <w:t>All outstanding shares of our Class D common stock are fully paid and non-assessable. The Class D common stock will not be subject to further calls or assessments by us. Holders of shares of our Class D common stock do not have preemptive, subscription, redemption or conversion rights. There are no mandatory redemption or sinking fund provisions applicable to the Class D common stock. The rights, powers, preferences and privileges of our Class D common stock will be subject to those of the holders of any shares of our preferred stock or any other series or class of stock we may authorize and issue in the future.</w:t>
      </w:r>
    </w:p>
    <w:p>
      <w:pPr>
        <w:spacing w:after="0" w:line="87"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Shares of Class D common stock will only be issued in the future to the extent necessary to maintain a one-to-one ratio between the number of shares of Class D common stock issued to the Continuing LLC Owners and the number of related LLC Interests held by the Continuing LLC Owners. Shares of Class D common stock will be cancelled on a one-for-one basis if we, at the election of a Continuing LLC Owner, redeem or exchange the related LLC Interests held by such Continuing LLC Owner and issue Class A common stock or, at the election of the Continuing LLC Owner, Class B common stock, to such Continuing LLC Owner in connection therewith, pursuant to the terms of the TWM LLC Agreement. Furthermore, the Continuing LLC Owners that hold shares of Class D common stock may from time to time exchange all or a portion of their shares of our Class D common stock for newly issued shares of Class C common stock on a one-for-one basis (in which case their shares of Class D common stock will be cancelled on a one-for-one basis upon such issuance). Our Class D common stock is non-transferable, other than in connection with a transfer of the related LLC Interests to a permitted transferee under the TWM LLC Agreement, in which case a like number of shares of Class D common stock must be transferred to the permitted transferee.</w:t>
      </w:r>
    </w:p>
    <w:p>
      <w:pPr>
        <w:spacing w:after="0" w:line="78" w:lineRule="exact"/>
        <w:rPr>
          <w:sz w:val="20"/>
          <w:szCs w:val="20"/>
          <w:color w:val="auto"/>
        </w:rPr>
      </w:pPr>
    </w:p>
    <w:p>
      <w:pPr>
        <w:ind w:left="1260" w:right="719" w:firstLine="360"/>
        <w:spacing w:after="0" w:line="286" w:lineRule="auto"/>
        <w:rPr>
          <w:sz w:val="20"/>
          <w:szCs w:val="20"/>
          <w:color w:val="auto"/>
        </w:rPr>
      </w:pPr>
      <w:r>
        <w:rPr>
          <w:rFonts w:ascii="Arial" w:cs="Arial" w:eastAsia="Arial" w:hAnsi="Arial"/>
          <w:sz w:val="17"/>
          <w:szCs w:val="17"/>
          <w:color w:val="auto"/>
        </w:rPr>
        <w:t>Each share of Class D common stock will automatically convert into one share of Class C common stock (i) immediately prior to any sale or other transfer of such share by a Continuing LLC Owner or any of its affiliates or permitted transferees to a non-permitted transferee, or (ii) once the Refinitiv Owners and</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99"/>
        <w:spacing w:after="0" w:line="254" w:lineRule="auto"/>
        <w:rPr>
          <w:sz w:val="20"/>
          <w:szCs w:val="20"/>
          <w:color w:val="auto"/>
        </w:rPr>
      </w:pPr>
      <w:r>
        <w:rPr>
          <w:rFonts w:ascii="Arial" w:cs="Arial" w:eastAsia="Arial" w:hAnsi="Arial"/>
          <w:sz w:val="18"/>
          <w:szCs w:val="18"/>
          <w:color w:val="auto"/>
        </w:rPr>
        <w:t>their affiliates together no longer beneficially own a number of shares of our common stock and LLC Interests that together entitle them to at least 10% of TWM LLC’s economic interests. In addition, with respect to each Bank Stockholder that holds shares of Class D common stock, immediately prior to the occurrence of any event that would cause the combined voting power held by such Bank Stockholder to exceed 4.9%, the minimum number of shares of Class D common stock of such Bank Stockholder that would need to convert into shares of Class C common stock such that the combined voting power held by such Bank Stockholder would not exceed 4.9% will automatically convert into shares of Class C common stock.</w:t>
      </w:r>
    </w:p>
    <w:p>
      <w:pPr>
        <w:spacing w:after="0" w:line="84"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Continuing LLC Owners own 100% of our outstanding Class C common stock and Class D common stock, with the number of shares of Class C common stock and/or Class D common stock held by any such Continuing LLC Owner being equivalent to the number of LLC Interests held by such Continuing LLC Owner, as the case may be.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08"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No shares of preferred stock will be issued or outstanding immediately after the offering contemplated by this prospectus. Our amended and restated certificate of incorporation authorizes our board of directors to establish one or more series of preferred stock (including convertible preferred stock). Unless required by law or any stock exchange, the authorized shares of preferred stock will be available for issuance without further action by the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111" w:lineRule="exact"/>
        <w:rPr>
          <w:sz w:val="20"/>
          <w:szCs w:val="20"/>
          <w:color w:val="auto"/>
        </w:rPr>
      </w:pPr>
    </w:p>
    <w:p>
      <w:pPr>
        <w:ind w:left="1980" w:hanging="352"/>
        <w:spacing w:after="0"/>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44" w:lineRule="exact"/>
        <w:rPr>
          <w:rFonts w:ascii="Arial" w:cs="Arial" w:eastAsia="Arial" w:hAnsi="Arial"/>
          <w:sz w:val="18"/>
          <w:szCs w:val="18"/>
          <w:color w:val="auto"/>
        </w:rPr>
      </w:pPr>
    </w:p>
    <w:p>
      <w:pPr>
        <w:ind w:left="1980" w:right="719" w:hanging="352"/>
        <w:spacing w:after="0" w:line="286" w:lineRule="auto"/>
        <w:tabs>
          <w:tab w:leader="none" w:pos="19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70" w:lineRule="exact"/>
        <w:rPr>
          <w:rFonts w:ascii="Arial" w:cs="Arial" w:eastAsia="Arial" w:hAnsi="Arial"/>
          <w:sz w:val="17"/>
          <w:szCs w:val="17"/>
          <w:color w:val="auto"/>
        </w:rPr>
      </w:pPr>
    </w:p>
    <w:p>
      <w:pPr>
        <w:ind w:left="1980" w:right="1199" w:hanging="352"/>
        <w:spacing w:after="0" w:line="277" w:lineRule="auto"/>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dividend rate of the series;</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redemption or repurchase rights and price or prices, if any, for shares of the series;</w:t>
      </w:r>
    </w:p>
    <w:p>
      <w:pPr>
        <w:spacing w:after="0" w:line="144" w:lineRule="exact"/>
        <w:rPr>
          <w:rFonts w:ascii="Arial" w:cs="Arial" w:eastAsia="Arial" w:hAnsi="Arial"/>
          <w:sz w:val="18"/>
          <w:szCs w:val="18"/>
          <w:color w:val="auto"/>
        </w:rPr>
      </w:pPr>
    </w:p>
    <w:p>
      <w:pPr>
        <w:ind w:left="1980" w:right="919" w:hanging="352"/>
        <w:spacing w:after="0" w:line="277" w:lineRule="auto"/>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75" w:lineRule="exact"/>
        <w:rPr>
          <w:rFonts w:ascii="Arial" w:cs="Arial" w:eastAsia="Arial" w:hAnsi="Arial"/>
          <w:sz w:val="18"/>
          <w:szCs w:val="18"/>
          <w:color w:val="auto"/>
        </w:rPr>
      </w:pPr>
    </w:p>
    <w:p>
      <w:pPr>
        <w:ind w:left="1980" w:right="1539" w:hanging="352"/>
        <w:spacing w:after="0" w:line="277" w:lineRule="auto"/>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our affairs;</w:t>
      </w:r>
    </w:p>
    <w:p>
      <w:pPr>
        <w:spacing w:after="0" w:line="89" w:lineRule="exact"/>
        <w:rPr>
          <w:rFonts w:ascii="Arial" w:cs="Arial" w:eastAsia="Arial" w:hAnsi="Arial"/>
          <w:sz w:val="18"/>
          <w:szCs w:val="18"/>
          <w:color w:val="auto"/>
        </w:rPr>
      </w:pPr>
    </w:p>
    <w:p>
      <w:pPr>
        <w:ind w:left="1980" w:right="659" w:hanging="352"/>
        <w:spacing w:after="0" w:line="257" w:lineRule="auto"/>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06" w:lineRule="exact"/>
        <w:rPr>
          <w:rFonts w:ascii="Arial" w:cs="Arial" w:eastAsia="Arial" w:hAnsi="Arial"/>
          <w:sz w:val="18"/>
          <w:szCs w:val="18"/>
          <w:color w:val="auto"/>
        </w:rPr>
      </w:pPr>
    </w:p>
    <w:p>
      <w:pPr>
        <w:ind w:left="1980" w:hanging="352"/>
        <w:spacing w:after="0"/>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117"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over the market price of the shares of our common stock. Additionally, the issuance of preferred stock may adversely affect the rights of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Class A common stock.</w:t>
      </w:r>
    </w:p>
    <w:p>
      <w:pPr>
        <w:sectPr>
          <w:pgSz w:w="11900" w:h="16838" w:orient="portrait"/>
          <w:cols w:equalWidth="0" w:num="1">
            <w:col w:w="10139"/>
          </w:cols>
          <w:pgMar w:left="320" w:top="131" w:right="1440" w:bottom="1440" w:gutter="0" w:footer="0" w:header="0"/>
        </w:sectPr>
      </w:pP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6" w:name="page127"/>
    <w:bookmarkEnd w:id="12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will be subject to the discretion of our board of directors.</w:t>
      </w:r>
    </w:p>
    <w:p>
      <w:pPr>
        <w:spacing w:after="0" w:line="86"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We have paid, and intend to continue to pay, dividends on our Class A common stock and Class B common stock. Any decision to declare and pay dividends in the future will be made at the sole discretion of our board of directors and will depend on, among other things, our and our subsidiaries’ results of operations, capital requirements, financial condition, business prospects, contractual restrictions and other factors that our board of directors may deem relevant. Because we are a holding company and have no direct operations, we expect to pay dividends, if any, from funds we receive from our subsidiaries. In addition, our ability to pay dividends may be limited by the terms of the Revolving Credit Facility or any future credit agreement or any future debt or preferred equity securities of Tradeweb or its subsidiaries. See “Dividend Policy.”</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Annual Stockholder Meetings</w:t>
      </w:r>
    </w:p>
    <w:p>
      <w:pPr>
        <w:spacing w:after="0" w:line="108" w:lineRule="exact"/>
        <w:rPr>
          <w:sz w:val="20"/>
          <w:szCs w:val="20"/>
          <w:color w:val="auto"/>
        </w:rPr>
      </w:pPr>
    </w:p>
    <w:p>
      <w:pPr>
        <w:jc w:val="both"/>
        <w:ind w:left="1260" w:right="739" w:firstLine="360"/>
        <w:spacing w:after="0" w:line="263" w:lineRule="auto"/>
        <w:rPr>
          <w:sz w:val="20"/>
          <w:szCs w:val="20"/>
          <w:color w:val="auto"/>
        </w:rPr>
      </w:pPr>
      <w:r>
        <w:rPr>
          <w:rFonts w:ascii="Arial" w:cs="Arial" w:eastAsia="Arial" w:hAnsi="Arial"/>
          <w:sz w:val="18"/>
          <w:szCs w:val="18"/>
          <w:color w:val="auto"/>
        </w:rPr>
        <w:t>Our amended and restated bylaws provide that annual stockholder meetings will be held at a date, time and place, if any, as exclusively selected by our board of directors. To the extent permitted under applicable law, we may conduct meetings by remote communications, including by webcast.</w:t>
      </w:r>
    </w:p>
    <w:p>
      <w:pPr>
        <w:spacing w:after="0" w:line="166" w:lineRule="exact"/>
        <w:rPr>
          <w:sz w:val="20"/>
          <w:szCs w:val="20"/>
          <w:color w:val="auto"/>
        </w:rPr>
      </w:pPr>
    </w:p>
    <w:p>
      <w:pPr>
        <w:ind w:left="1260" w:right="819"/>
        <w:spacing w:after="0" w:line="250"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Bylaws and Certain Provisions of Delaware Law</w:t>
      </w:r>
    </w:p>
    <w:p>
      <w:pPr>
        <w:spacing w:after="0" w:line="104"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Our amended and restated certificate of incorporation, amended and restated bylaws and the DGCL contain provisions, which are summarized in the following paragraphs,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Class A common stock held by stockholders.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04"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Delaware law does not require stockholder approval for any issuance of shares that are authorized and available for issuance. However, the listing requirements of Nasdaq, which would apply so long as our Class A common stock remains listed on Nasdaq, require stockholder approval of certain issuances equal to or exceeding 20% of the then outstanding voting power of our capital stock or then outstanding number of shares of Class A common stock. These additional shares may be used for a variety of corporate purposes, including future public offerings, to raise additional capital or to facilitate acquisitions.</w:t>
      </w:r>
    </w:p>
    <w:p>
      <w:pPr>
        <w:spacing w:after="0" w:line="70"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Our board of directors may generally issue shares of one or more series of preferred stock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ectPr>
          <w:pgSz w:w="11900" w:h="16838" w:orient="portrait"/>
          <w:cols w:equalWidth="0" w:num="1">
            <w:col w:w="10139"/>
          </w:cols>
          <w:pgMar w:left="320" w:top="131" w:right="1440" w:bottom="1440" w:gutter="0" w:footer="0" w:header="0"/>
        </w:sectPr>
      </w:pPr>
    </w:p>
    <w:p>
      <w:pPr>
        <w:spacing w:after="0" w:line="260"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7" w:name="page128"/>
    <w:bookmarkEnd w:id="12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One of the effects of the existence of authorized and unissued and unreserved shares of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04"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Our amended and restated certificate of incorporation provides that our board of directors will be divided into three classes of directors, with the classes to be as nearly equal in number as possible, and with the directors serving three-year terms. As a result, approximately one-third of our board of directors will be elected each year. The classification of directors will have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04" w:lineRule="exact"/>
        <w:rPr>
          <w:sz w:val="20"/>
          <w:szCs w:val="20"/>
          <w:color w:val="auto"/>
        </w:rPr>
      </w:pPr>
    </w:p>
    <w:p>
      <w:pPr>
        <w:ind w:left="1260" w:right="1139" w:firstLine="360"/>
        <w:spacing w:after="0" w:line="259" w:lineRule="auto"/>
        <w:rPr>
          <w:sz w:val="20"/>
          <w:szCs w:val="20"/>
          <w:color w:val="auto"/>
        </w:rPr>
      </w:pPr>
      <w:r>
        <w:rPr>
          <w:rFonts w:ascii="Arial" w:cs="Arial" w:eastAsia="Arial" w:hAnsi="Arial"/>
          <w:sz w:val="18"/>
          <w:szCs w:val="18"/>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92" w:lineRule="exact"/>
        <w:rPr>
          <w:sz w:val="20"/>
          <w:szCs w:val="20"/>
          <w:color w:val="auto"/>
        </w:rPr>
      </w:pPr>
    </w:p>
    <w:p>
      <w:pPr>
        <w:ind w:left="1980" w:right="1419" w:hanging="352"/>
        <w:spacing w:after="0" w:line="308" w:lineRule="auto"/>
        <w:tabs>
          <w:tab w:leader="none" w:pos="19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prior to such time, our board of directors approved either the business combination or the transaction which resulted in the stockholder becoming an interested stockholder;</w:t>
      </w:r>
    </w:p>
    <w:p>
      <w:pPr>
        <w:spacing w:after="0" w:line="51" w:lineRule="exact"/>
        <w:rPr>
          <w:rFonts w:ascii="Arial" w:cs="Arial" w:eastAsia="Arial" w:hAnsi="Arial"/>
          <w:sz w:val="17"/>
          <w:szCs w:val="17"/>
          <w:color w:val="auto"/>
        </w:rPr>
      </w:pPr>
    </w:p>
    <w:p>
      <w:pPr>
        <w:ind w:left="1980" w:right="859" w:hanging="352"/>
        <w:spacing w:after="0" w:line="263" w:lineRule="auto"/>
        <w:tabs>
          <w:tab w:leader="none" w:pos="1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89" w:lineRule="exact"/>
        <w:rPr>
          <w:rFonts w:ascii="Arial" w:cs="Arial" w:eastAsia="Arial" w:hAnsi="Arial"/>
          <w:sz w:val="18"/>
          <w:szCs w:val="18"/>
          <w:color w:val="auto"/>
        </w:rPr>
      </w:pPr>
    </w:p>
    <w:p>
      <w:pPr>
        <w:ind w:left="1980" w:right="839" w:hanging="352"/>
        <w:spacing w:after="0" w:line="231" w:lineRule="auto"/>
        <w:tabs>
          <w:tab w:leader="none" w:pos="1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outstanding voting stock that is not owned by the interested stockholder.</w:t>
      </w:r>
    </w:p>
    <w:p>
      <w:pPr>
        <w:spacing w:after="0" w:line="94" w:lineRule="exact"/>
        <w:rPr>
          <w:sz w:val="20"/>
          <w:szCs w:val="20"/>
          <w:color w:val="auto"/>
        </w:rPr>
      </w:pPr>
    </w:p>
    <w:p>
      <w:pPr>
        <w:jc w:val="both"/>
        <w:ind w:left="1260" w:right="699" w:firstLine="360"/>
        <w:spacing w:after="0" w:line="271"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w:t>
      </w:r>
    </w:p>
    <w:p>
      <w:pPr>
        <w:ind w:left="1260" w:right="799"/>
        <w:spacing w:after="0" w:line="260" w:lineRule="auto"/>
        <w:rPr>
          <w:sz w:val="20"/>
          <w:szCs w:val="20"/>
          <w:color w:val="auto"/>
        </w:rPr>
      </w:pPr>
      <w:r>
        <w:rPr>
          <w:rFonts w:ascii="Arial" w:cs="Arial" w:eastAsia="Arial" w:hAnsi="Arial"/>
          <w:sz w:val="18"/>
          <w:szCs w:val="18"/>
          <w:color w:val="auto"/>
        </w:rPr>
        <w:t>three years owned, 15% or more of our outstanding voting stock. For purposes of this section only, “voting stock” has the meaning given to it in Section 203 of the DGCL.</w:t>
      </w:r>
    </w:p>
    <w:p>
      <w:pPr>
        <w:spacing w:after="0" w:line="77"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84" w:lineRule="exact"/>
        <w:rPr>
          <w:sz w:val="20"/>
          <w:szCs w:val="20"/>
          <w:color w:val="auto"/>
        </w:rPr>
      </w:pPr>
    </w:p>
    <w:p>
      <w:pPr>
        <w:ind w:left="1260" w:right="879" w:firstLine="360"/>
        <w:spacing w:after="0" w:line="263" w:lineRule="auto"/>
        <w:rPr>
          <w:sz w:val="20"/>
          <w:szCs w:val="20"/>
          <w:color w:val="auto"/>
        </w:rPr>
      </w:pPr>
      <w:r>
        <w:rPr>
          <w:rFonts w:ascii="Arial" w:cs="Arial" w:eastAsia="Arial" w:hAnsi="Arial"/>
          <w:sz w:val="18"/>
          <w:szCs w:val="18"/>
          <w:color w:val="auto"/>
        </w:rPr>
        <w:t>Our amended and restated certificate of incorporation provides that the Refinitiv Owners and their affiliates, and any of their respective direct or indirect transferees and any group as to which such persons are a party, do not constitute “interested stockholders” for purposes of this provision.</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Removal of Directors; Vacancies and Newly Created Directorships</w:t>
      </w:r>
    </w:p>
    <w:p>
      <w:pPr>
        <w:spacing w:after="0" w:line="104"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7"/>
          <w:szCs w:val="17"/>
          <w:color w:val="auto"/>
        </w:rPr>
        <w:t>Under the DGCL, unless otherwise provided in our amended and restated certificate of incorporation, directors serving on a classified board may be removed by the stockholders only for cause. Our amended and restated certificate of incorporation provides that directors may be removed with or without cause</w:t>
      </w:r>
    </w:p>
    <w:p>
      <w:pPr>
        <w:sectPr>
          <w:pgSz w:w="11900" w:h="16838" w:orient="portrait"/>
          <w:cols w:equalWidth="0" w:num="1">
            <w:col w:w="10139"/>
          </w:cols>
          <w:pgMar w:left="320" w:top="131" w:right="1440" w:bottom="1440" w:gutter="0" w:footer="0" w:header="0"/>
        </w:sectPr>
      </w:pP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8" w:name="page129"/>
    <w:bookmarkEnd w:id="12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69" w:lineRule="auto"/>
        <w:rPr>
          <w:sz w:val="20"/>
          <w:szCs w:val="20"/>
          <w:color w:val="auto"/>
        </w:rPr>
      </w:pPr>
      <w:r>
        <w:rPr>
          <w:rFonts w:ascii="Arial" w:cs="Arial" w:eastAsia="Arial" w:hAnsi="Arial"/>
          <w:sz w:val="17"/>
          <w:szCs w:val="17"/>
          <w:color w:val="auto"/>
        </w:rPr>
        <w:t>upon the affirmative vote of a majority in voting power of all outstanding shares of stock entitled to vote generally in the election of directors, voting together as a single class; provided, however, at any time when the Refinitiv Owners and their affiliates beneficially own in the aggregate, less than 50% of the voting power of all outstanding shares of stock entitled to vote generally in the election of directors, directors may only be removed for cause, and only upon the affirmative vote of holders of at least 66</w:t>
      </w:r>
      <w:r>
        <w:rPr>
          <w:rFonts w:ascii="Arial" w:cs="Arial" w:eastAsia="Arial" w:hAnsi="Arial"/>
          <w:sz w:val="11"/>
          <w:szCs w:val="11"/>
          <w:color w:val="auto"/>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the voting power of all outstanding shares of stock entitled to vote generally in the election of directors, voting together as a single class. In addition, our amended and restated certificate of incorporation also provides that, subject to the rights granted to one or more series of preferred stock then outstanding or the rights granted under the Stockholders Agreement, any vacancies on our board of directors, and any newly created directorships, will be filled only by the affirmative vote of a majority of the directors then in office, even if less than a quorum, by a sole remaining director or by the stockholders; provided, however, at any time when the Refinitiv Owners and their affiliates beneficially own, in the aggregate, less than 50% of the voting power of all outstanding shares of our stock entitled to vote generally in the election of directors, any newly-created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04"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our directors.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04"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Our amended and restated certificate of incorporation provides that special meetings of our stockholders may be called at any time only by or at the direction of the board of directors or the chairman of the board of directors; provided, however, at any time when the Refinitiv Owners and their affiliates beneficially own, in the aggregate, at least 50% in voting power of all outstanding shares of stock entitled to vote generally in the election of directors, special meetings of our stockholders shall also be called by the board of directors or the chairman of the board of directors at the request of the Refinitiv Owners and their affiliates.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Director Nominations and Stockholder Proposals</w:t>
      </w:r>
    </w:p>
    <w:p>
      <w:pPr>
        <w:spacing w:after="0" w:line="104"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will not apply to the Refinitiv Owners and their affiliates so long as the Stockholders Agreement remains in effect. Our amended and restated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2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04"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outstanding shares of stock entitled to vote thereon were present and voted, unless our amended and restated certificate of incorporation provides otherwise. Our amended and restated certificate of incorporation precludes stockholder action by written consent at any time when the Refinitiv Owners and their affiliates own, in the aggregate, less than 50% in voting power of all outstanding shares of stock entitled to vote generally in the election of directors.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04"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board of directors is expressly authorized to make, alter, amend, change, add to, rescind or repeal, in whole or in part, our bylaws without a stockholder vote in any matter not inconsistent with the laws of the State of Delaware or our amended and restated certificate of incorporation. For as long as the Refinitiv Owners and their affiliates beneficially own, in the aggregate, at least 50% in voting power of all outstanding shares of stock entitled to vote generally in the election of directors, any amendment, alteration, change, addition, rescission or repeal of our bylaws by our stockholders requires the affirmative vote of a majority in voting power of all outstanding shares of stock present in person or represented by proxy at the meeting and entitled to vote on such amendment, alteration, change, addition, rescission or repeal. At any time when the Refinitiv Owners and their affiliates beneficially own, in the aggregate, less than 50% in voting power of all outstanding shares of stock entitled to vote generally in the election of directors, any amendment, alteration, change, addition, rescission or repeal of our bylaws by our stockholders requires the affirmative vote of the holders of at least 66</w:t>
      </w:r>
      <w:r>
        <w:rPr>
          <w:rFonts w:ascii="Arial" w:cs="Arial" w:eastAsia="Arial" w:hAnsi="Arial"/>
          <w:sz w:val="11"/>
          <w:szCs w:val="11"/>
          <w:color w:val="auto"/>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in voting power of all outstanding shares of stock entitled to vote thereon, voting together as a single class.</w:t>
      </w:r>
    </w:p>
    <w:p>
      <w:pPr>
        <w:spacing w:after="0" w:line="78"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The DGCL provides generally that the affirmative vote of a majority of all outstanding shares entitled to vote thereon, voting together as a single class, is required to amend a corporation’s certificate of incorporation, unless the certificate of incorporation requires a greater percentage.</w:t>
      </w:r>
    </w:p>
    <w:p>
      <w:pPr>
        <w:spacing w:after="0" w:line="76"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Our amended and restated certificate of incorporation provides that at any time when the Refinitiv Owners and their affiliates beneficially own, in the aggregate, less than 50% in voting power of our stock entitled to vote generally in the election of directors, the following provisions in our amended and restated certificate of incorporation may be amended, altered, repealed or rescinded only by the affirmative vote of the holders of at least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in voting power of all outstanding shares of stock entitled to vote thereon, voting together as a single class:</w:t>
      </w:r>
    </w:p>
    <w:p>
      <w:pPr>
        <w:spacing w:after="0" w:line="131" w:lineRule="exact"/>
        <w:rPr>
          <w:sz w:val="20"/>
          <w:szCs w:val="20"/>
          <w:color w:val="auto"/>
        </w:rPr>
      </w:pPr>
    </w:p>
    <w:p>
      <w:pPr>
        <w:ind w:left="1980" w:right="919" w:hanging="352"/>
        <w:spacing w:after="0" w:line="223" w:lineRule="auto"/>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provision requiring a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supermajority vote for stockholders to amend our amended and restated bylaws;</w:t>
      </w:r>
    </w:p>
    <w:p>
      <w:pPr>
        <w:spacing w:after="0" w:line="134" w:lineRule="exact"/>
        <w:rPr>
          <w:rFonts w:ascii="Arial" w:cs="Arial" w:eastAsia="Arial" w:hAnsi="Arial"/>
          <w:sz w:val="18"/>
          <w:szCs w:val="18"/>
          <w:color w:val="auto"/>
        </w:rPr>
      </w:pPr>
    </w:p>
    <w:p>
      <w:pPr>
        <w:ind w:left="1980" w:hanging="352"/>
        <w:spacing w:after="0"/>
        <w:tabs>
          <w:tab w:leader="none" w:pos="19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provisions providing for a classified board of directors (the election and term of our directors);</w:t>
      </w:r>
    </w:p>
    <w:p>
      <w:pPr>
        <w:spacing w:after="0" w:line="182" w:lineRule="exact"/>
        <w:rPr>
          <w:rFonts w:ascii="Arial" w:cs="Arial" w:eastAsia="Arial" w:hAnsi="Arial"/>
          <w:sz w:val="17"/>
          <w:szCs w:val="17"/>
          <w:color w:val="auto"/>
        </w:rPr>
      </w:pPr>
    </w:p>
    <w:p>
      <w:pPr>
        <w:ind w:left="1980" w:hanging="352"/>
        <w:spacing w:after="0"/>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71" w:lineRule="exact"/>
        <w:rPr>
          <w:rFonts w:ascii="Arial" w:cs="Arial" w:eastAsia="Arial" w:hAnsi="Arial"/>
          <w:sz w:val="18"/>
          <w:szCs w:val="18"/>
          <w:color w:val="auto"/>
        </w:rPr>
      </w:pPr>
    </w:p>
    <w:p>
      <w:pPr>
        <w:ind w:left="1980" w:right="1659" w:hanging="352"/>
        <w:spacing w:after="0" w:line="277" w:lineRule="auto"/>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of directors and newly-created directorships;</w:t>
      </w:r>
    </w:p>
    <w:p>
      <w:pPr>
        <w:spacing w:after="0" w:line="102" w:lineRule="exact"/>
        <w:rPr>
          <w:rFonts w:ascii="Arial" w:cs="Arial" w:eastAsia="Arial" w:hAnsi="Arial"/>
          <w:sz w:val="18"/>
          <w:szCs w:val="18"/>
          <w:color w:val="auto"/>
        </w:rPr>
      </w:pPr>
    </w:p>
    <w:p>
      <w:pPr>
        <w:ind w:left="1980" w:hanging="352"/>
        <w:spacing w:after="0"/>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29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1159" w:hanging="352"/>
        <w:spacing w:after="0" w:line="293" w:lineRule="auto"/>
        <w:tabs>
          <w:tab w:leader="none" w:pos="1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supermajority vote.</w:t>
      </w:r>
    </w:p>
    <w:p>
      <w:pPr>
        <w:spacing w:after="0" w:line="48" w:lineRule="exact"/>
        <w:rPr>
          <w:sz w:val="20"/>
          <w:szCs w:val="20"/>
          <w:color w:val="auto"/>
        </w:rPr>
      </w:pPr>
    </w:p>
    <w:p>
      <w:pPr>
        <w:ind w:left="1260" w:right="899" w:firstLine="360"/>
        <w:spacing w:after="0" w:line="275" w:lineRule="auto"/>
        <w:rPr>
          <w:sz w:val="20"/>
          <w:szCs w:val="20"/>
          <w:color w:val="auto"/>
        </w:rPr>
      </w:pPr>
      <w:r>
        <w:rPr>
          <w:rFonts w:ascii="Arial" w:cs="Arial" w:eastAsia="Arial" w:hAnsi="Arial"/>
          <w:sz w:val="17"/>
          <w:szCs w:val="17"/>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68"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These provisions may have the effect of deterring hostile takeovers or delaying or preventing changes in control of us or our management,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our company.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08" w:lineRule="exact"/>
        <w:rPr>
          <w:sz w:val="20"/>
          <w:szCs w:val="20"/>
          <w:color w:val="auto"/>
        </w:rPr>
      </w:pPr>
    </w:p>
    <w:p>
      <w:pPr>
        <w:ind w:left="1260" w:right="859" w:firstLine="360"/>
        <w:spacing w:after="0" w:line="279" w:lineRule="auto"/>
        <w:rPr>
          <w:sz w:val="20"/>
          <w:szCs w:val="20"/>
          <w:color w:val="auto"/>
        </w:rPr>
      </w:pPr>
      <w:r>
        <w:rPr>
          <w:rFonts w:ascii="Arial" w:cs="Arial" w:eastAsia="Arial" w:hAnsi="Arial"/>
          <w:sz w:val="17"/>
          <w:szCs w:val="17"/>
          <w:color w:val="auto"/>
        </w:rPr>
        <w:t>Under the DGCL, with certain exceptions, our stockholders will have appraisal rights in connection with a merger or consolidation of our company.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Stockholders’ Derivative Actions</w:t>
      </w:r>
    </w:p>
    <w:p>
      <w:pPr>
        <w:spacing w:after="0" w:line="108"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Exclusive Forum</w:t>
      </w:r>
    </w:p>
    <w:p>
      <w:pPr>
        <w:spacing w:after="0" w:line="108" w:lineRule="exact"/>
        <w:rPr>
          <w:sz w:val="20"/>
          <w:szCs w:val="20"/>
          <w:color w:val="auto"/>
        </w:rPr>
      </w:pPr>
    </w:p>
    <w:p>
      <w:pPr>
        <w:ind w:left="1260" w:right="839" w:firstLine="360"/>
        <w:spacing w:after="0" w:line="274" w:lineRule="auto"/>
        <w:rPr>
          <w:sz w:val="20"/>
          <w:szCs w:val="20"/>
          <w:color w:val="auto"/>
        </w:rPr>
      </w:pPr>
      <w:r>
        <w:rPr>
          <w:rFonts w:ascii="Arial" w:cs="Arial" w:eastAsia="Arial" w:hAnsi="Arial"/>
          <w:sz w:val="17"/>
          <w:szCs w:val="17"/>
          <w:color w:val="auto"/>
        </w:rPr>
        <w:t>Our amended and restated certificate of incorporation provides that unless we consent to the selection of an alternative forum, any (i) derivative action or proceeding brought on behalf of our Company,</w:t>
      </w:r>
    </w:p>
    <w:p>
      <w:pPr>
        <w:ind w:left="1260" w:right="679" w:firstLine="8"/>
        <w:spacing w:after="0" w:line="266" w:lineRule="auto"/>
        <w:tabs>
          <w:tab w:leader="none" w:pos="1543" w:val="left"/>
        </w:tabs>
        <w:numPr>
          <w:ilvl w:val="0"/>
          <w:numId w:val="99"/>
        </w:numPr>
        <w:rPr>
          <w:rFonts w:ascii="Arial" w:cs="Arial" w:eastAsia="Arial" w:hAnsi="Arial"/>
          <w:sz w:val="17"/>
          <w:szCs w:val="17"/>
          <w:color w:val="auto"/>
        </w:rPr>
      </w:pPr>
      <w:r>
        <w:rPr>
          <w:rFonts w:ascii="Arial" w:cs="Arial" w:eastAsia="Arial" w:hAnsi="Arial"/>
          <w:sz w:val="17"/>
          <w:szCs w:val="17"/>
          <w:color w:val="auto"/>
        </w:rPr>
        <w:t>action asserting a claim of breach of a fiduciary duty owed by any director, officer or other employee of our Company to our Company or our Company’s stockholders, (iii) action asserting a claim against us or any director or officer arising pursuant to any provision of the DGCL or our amended and restated certificate of incorporation or our amended and restated bylaws, or (iv) action asserting a claim against us or any director or officer of our Company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Notwithstanding the foregoing, the exclusive forum provision will not apply to suits brought to enforce any liability or duty created by the Exchange Act, the Securities Act or any other claim for which the federal courts have exclusive jurisdiction. Any person or entity purchasing or otherwise acquiring any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w:t>
      </w:r>
    </w:p>
    <w:p>
      <w:pPr>
        <w:spacing w:after="0" w:line="2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w:t>
      </w:r>
    </w:p>
    <w:p>
      <w:pPr>
        <w:spacing w:after="0" w:line="108" w:lineRule="exact"/>
        <w:rPr>
          <w:sz w:val="20"/>
          <w:szCs w:val="20"/>
          <w:color w:val="auto"/>
        </w:rPr>
      </w:pPr>
    </w:p>
    <w:p>
      <w:pPr>
        <w:ind w:left="1260" w:right="699" w:firstLine="360"/>
        <w:spacing w:after="0" w:line="266" w:lineRule="auto"/>
        <w:rPr>
          <w:sz w:val="20"/>
          <w:szCs w:val="20"/>
          <w:color w:val="auto"/>
        </w:rPr>
      </w:pPr>
      <w:r>
        <w:rPr>
          <w:rFonts w:ascii="Arial" w:cs="Arial" w:eastAsia="Arial" w:hAnsi="Arial"/>
          <w:sz w:val="17"/>
          <w:szCs w:val="17"/>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the Refinitiv Owners or any of their affiliates or any director who is not employed by us (including any non-employee director who serves as one of our officers in both his director and officer capacities) or his or her affiliates will have any duty to refrain from</w:t>
      </w:r>
    </w:p>
    <w:p>
      <w:pPr>
        <w:spacing w:after="0" w:line="8" w:lineRule="exact"/>
        <w:rPr>
          <w:sz w:val="20"/>
          <w:szCs w:val="20"/>
          <w:color w:val="auto"/>
        </w:rPr>
      </w:pPr>
    </w:p>
    <w:p>
      <w:pPr>
        <w:ind w:left="1260" w:right="679" w:firstLine="8"/>
        <w:spacing w:after="0" w:line="267" w:lineRule="auto"/>
        <w:tabs>
          <w:tab w:leader="none" w:pos="1489"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engaging in a corporate opportunity in the same or similar lines of business in which we or our affiliates now engage or propose to engage or (ii) otherwise competing with us or our affiliates. In addition, to the fullest extent permitted by law, in the event that the Refinitiv Owners or any non-employee director acquires knowledge of a potential transaction or other business opportunity which may be a corporate opportunity for itself, himself or herself or its, his or her affiliates and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08" w:lineRule="exact"/>
        <w:rPr>
          <w:sz w:val="20"/>
          <w:szCs w:val="20"/>
          <w:color w:val="auto"/>
        </w:rPr>
      </w:pPr>
    </w:p>
    <w:p>
      <w:pPr>
        <w:ind w:left="1260" w:right="659" w:firstLine="360"/>
        <w:spacing w:after="0" w:line="269"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to the corporation or its stockholders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breaches of the director’s duty of loyalty, any acts or omissions not in good faith or that involve intentional misconduct or knowing violation of law, any authorization of dividends or stock redemptions or repurchases paid or made in violation of the DGCL, or for any transaction from which the director derived an improper personal benefit.</w:t>
      </w:r>
    </w:p>
    <w:p>
      <w:pPr>
        <w:spacing w:after="0" w:line="71" w:lineRule="exact"/>
        <w:rPr>
          <w:sz w:val="20"/>
          <w:szCs w:val="20"/>
          <w:color w:val="auto"/>
        </w:rPr>
      </w:pPr>
    </w:p>
    <w:p>
      <w:pPr>
        <w:ind w:left="1260" w:right="779" w:firstLine="360"/>
        <w:spacing w:after="0" w:line="275" w:lineRule="auto"/>
        <w:rPr>
          <w:sz w:val="20"/>
          <w:szCs w:val="20"/>
          <w:color w:val="auto"/>
        </w:rPr>
      </w:pPr>
      <w:r>
        <w:rPr>
          <w:rFonts w:ascii="Arial" w:cs="Arial" w:eastAsia="Arial" w:hAnsi="Arial"/>
          <w:sz w:val="17"/>
          <w:szCs w:val="17"/>
          <w:color w:val="auto"/>
        </w:rPr>
        <w:t>Our amended and restated bylaws generally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68"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2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 Agreements</w:t>
      </w:r>
    </w:p>
    <w:p>
      <w:pPr>
        <w:spacing w:after="0" w:line="108"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In connection with the IPO, we entered into an indemnification agreement with each of our directors and executive officers as described in “Certain Relationships and Related Party Transactions — Related Party Transactions Entered Into in Connection With the IPO — Indemnification Agreements.”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and Registrar</w:t>
      </w:r>
    </w:p>
    <w:p>
      <w:pPr>
        <w:spacing w:after="0" w:line="108" w:lineRule="exact"/>
        <w:rPr>
          <w:sz w:val="20"/>
          <w:szCs w:val="20"/>
          <w:color w:val="auto"/>
        </w:rPr>
      </w:pPr>
    </w:p>
    <w:p>
      <w:pPr>
        <w:ind w:left="1260" w:right="1039" w:firstLine="360"/>
        <w:spacing w:after="0" w:line="308" w:lineRule="auto"/>
        <w:rPr>
          <w:sz w:val="20"/>
          <w:szCs w:val="20"/>
          <w:color w:val="auto"/>
        </w:rPr>
      </w:pPr>
      <w:r>
        <w:rPr>
          <w:rFonts w:ascii="Arial" w:cs="Arial" w:eastAsia="Arial" w:hAnsi="Arial"/>
          <w:sz w:val="17"/>
          <w:szCs w:val="17"/>
          <w:color w:val="auto"/>
        </w:rPr>
        <w:t>The transfer agent and registrar for shares of our Class A common stock, Class B common stock, Class C common stock and Class D common stock is American Stock Transfer &amp; Trust Company, LLC.</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Class A common stock is listed on Nasdaq under the symbol “TW.”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3" w:name="page134"/>
    <w:bookmarkEnd w:id="13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SHARES ELIGIBLE FOR FUTURE SALE</w:t>
      </w:r>
    </w:p>
    <w:p>
      <w:pPr>
        <w:spacing w:after="0" w:line="108"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The share and related information presented below is based on shares of common stock outstanding as of March 31, 2020, after giving effect to the Net Exercise and the completion of this offering and the application of the net proceeds therefrom. See “Prospectus Summary — The Offering” for additional information. Our Class A common stock has only been listed for public trading since April 4, 2019. Future sales of substantial amounts of our Class A common stock in the public market (including securities convertible into or redeemable, exchangeable or exercisable for shares of Class A common stock), or the perception that such sales may occur, could adversely affect the prevailing market price of our Class A common stock. Following the completion of this offering, approximately 63.7% of our outstanding Class A common stock (including securities convertible into or redeemable, exchangeable or exercisable for shares of our Class A common stock) will be subject to the contractual and legal restrictions on resale described below, the sale of a substantial amount of Class A common stock in the public market after these restrictions lapse could materially adversely affect the prevailing market price of our Class A common stock and our ability to raise equity capital in the future.</w:t>
      </w:r>
    </w:p>
    <w:p>
      <w:pPr>
        <w:spacing w:after="0" w:line="91" w:lineRule="exact"/>
        <w:rPr>
          <w:sz w:val="20"/>
          <w:szCs w:val="20"/>
          <w:color w:val="auto"/>
        </w:rPr>
      </w:pPr>
    </w:p>
    <w:p>
      <w:pPr>
        <w:ind w:left="1260" w:right="819" w:firstLine="360"/>
        <w:spacing w:after="0" w:line="269" w:lineRule="auto"/>
        <w:rPr>
          <w:sz w:val="20"/>
          <w:szCs w:val="20"/>
          <w:color w:val="auto"/>
        </w:rPr>
      </w:pPr>
      <w:r>
        <w:rPr>
          <w:rFonts w:ascii="Arial" w:cs="Arial" w:eastAsia="Arial" w:hAnsi="Arial"/>
          <w:sz w:val="17"/>
          <w:szCs w:val="17"/>
          <w:color w:val="auto"/>
        </w:rPr>
        <w:t>Upon completion of this offering, we expect to have outstanding an aggregate of 81,662,221 shares of our Class A common stock, assuming that the underwriters have not exercised their option to purchase additional shares of Class A common stock. All of the 76,831,059 shares of Class A common stock sold in the IPO, in the October 2019 follow-on offering and in this offering will be freely transferable without restriction or further registration under the Securities Act by persons other than “affiliates,” as that term is defined in Rule 144 under the Securities Act. Generally, the balance of our outstanding shares of Class A common stock (including securities convertible into or redeemable, exchangeable or exercisable for shares of our Class A common stock) are “restricted securities” within the meaning of Rule 144 under the Securities Act, subject to the limitations and restrictions that are described below. Class A common stock purchased by our affiliates will be “restricted securities” under Rule 144. Restricted securities may be sold in the public market only if registered or if they qualify for an exemption from registration under Rule 144 or Rule 701 under the Securities Act. These rules are summarized below.</w:t>
      </w:r>
    </w:p>
    <w:p>
      <w:pPr>
        <w:spacing w:after="0" w:line="71"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In addition, upon completion of this offering, (i) the Other LLC Owners will own an aggregate of 23,639,282 LLC Interests and an aggregate of 23,639,282 shares of Class C common stock and Class D common stock (or 22,044,240 LLC Interests and an aggregate of 22,044,240 shares of Class C common stock and Class D common stock, if the underwriters exercise in full their option to purchase additional shares of Class A common stock), (ii) the Refinitiv LLC Owner will continue to own an aggregate of 22,988,329 LLC Interests and 22,988,329 shares of Class D common stock and (iii) the Refinitiv Direct Owner will continue to own an aggregate of 96,933,192 shares of Class B common stock. Pursuant to the TWM LLC Agreement and, subject to certain restrictions set forth therein and as described elsewhere in this prospectus, the Continuing LLC Owners have the right to have their LLC Interests redeemed, at their election, for shares of our Class A common stock or Class B common stock, in each case, on a one-for-one basis (and such holders’ shares of Class C common stock or Class D common stock, as the case may be, will be cancelled on a one-for-one basis upon such issuance). Shares of Class B common stock may be exchanged at any time, at the option of the Refinitiv Direct Owner or any other future holder of Class B common stock, for shares of our Class A common stock on a one-for-one basis (and such holders’ shares of Class B common stock will be cancelled on a one-for-one basis upon any such issuance). The Continuing LLC Owners that hold shares of Class D common stock may from time to time exchange all or a portion of their shares of our Class D common stock for newly issued shares of Class C common stock on a one-for-one basis (in which case their shares of Class D common stock will be cancelled on a one-for-one basis upon such issuance). Shares of our Class B common stock and Class D common stock will automatically convert into shares of Class A common stock and Class C common stock, respectively, under certain circumstances. See “Description of Capital Stock.” Shares of our Class A common stock issuable upon redemption, exchange or conversion, would be considered “restricted securities” under Rule 144, although it is anticipated that the holders will be able to “tack” the holding period of their Class A common stock to the ownership of the redeemed, exchanged or converted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Upon the expiration of the lock-up arrangements described below, 60 days after the pricing date of this offering, and subject to the provisions of Rule 144, an additional 143,576,572 shares of Class A common stock (including securities convertible into or redeemable, exchangeable or exercisable for shares of Class A common stock) will be available for sale in the public market. The sale of these restricted securities is subject, in the case of shares held by affiliates, to the volume restrictions contained in those rules.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Agreements</w:t>
      </w:r>
    </w:p>
    <w:p>
      <w:pPr>
        <w:spacing w:after="0" w:line="10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In connection with this offering, we and each of our directors and executive officers, the Refinitiv Owners and the Bank Stockholders that continue to own LLC Interests or shares of Class A common stock will agree with the underwriters to enter into lock-up agreements described in “Underwriting (Conflicts of Interest),” pursuant to which shares of our Class A common stock (including securities convertible into or redeemable, exchangeable or exercisable for shares of our Class A common stock) will be restricted from immediate resale in accordance with the terms of such lock-up agreements without the prior written consent of the representatives. Under these agreements, subject to limited exceptions, neither we nor any of our directors or executive officers or these stockholders may dispose of, hedge or otherwise transfer the economic consequences of ownership of any shares of our Class A common stock or securities convertible into or redeemable, exchangeable or exercisable for shares of our Class A common stock. These restrictions will be in effect for a period of 60 days after the date of this prospectus. Certain transfers or dispositions can be made sooner, provided the transferee becomes bound to the terms of the lock-up.</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144</w:t>
      </w:r>
    </w:p>
    <w:p>
      <w:pPr>
        <w:spacing w:after="0" w:line="108"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In general, under Rule 144 as in effect on the date of this prospectus a person (or persons whose common stock is required to be aggregated) who is an affiliate and who has beneficially owned our common stock for at least six months is entitled to sell in any three-month period a number of shares that does not exceed the greater of:</w:t>
      </w:r>
    </w:p>
    <w:p>
      <w:pPr>
        <w:spacing w:after="0" w:line="160" w:lineRule="exact"/>
        <w:rPr>
          <w:sz w:val="20"/>
          <w:szCs w:val="20"/>
          <w:color w:val="auto"/>
        </w:rPr>
      </w:pPr>
    </w:p>
    <w:p>
      <w:pPr>
        <w:ind w:left="1980" w:hanging="352"/>
        <w:spacing w:after="0"/>
        <w:tabs>
          <w:tab w:leader="none" w:pos="1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or</w:t>
      </w:r>
    </w:p>
    <w:p>
      <w:pPr>
        <w:spacing w:after="0" w:line="184" w:lineRule="exact"/>
        <w:rPr>
          <w:rFonts w:ascii="Arial" w:cs="Arial" w:eastAsia="Arial" w:hAnsi="Arial"/>
          <w:sz w:val="18"/>
          <w:szCs w:val="18"/>
          <w:color w:val="auto"/>
        </w:rPr>
      </w:pPr>
    </w:p>
    <w:p>
      <w:pPr>
        <w:ind w:left="1980" w:right="1219" w:hanging="352"/>
        <w:spacing w:after="0" w:line="308" w:lineRule="auto"/>
        <w:tabs>
          <w:tab w:leader="none" w:pos="19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average weekly trading volume in our Class A common stock on Nasdaq during the four calendar weeks preceding the filing of a notice on Form 144 with respect to such a sale.</w:t>
      </w:r>
    </w:p>
    <w:p>
      <w:pPr>
        <w:spacing w:after="0" w:line="38"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Sales by our affiliates under Rule 144 are also subject to manner of sale provisions and notice requirements and to the availability of current public information about us. An “affiliate” is a person that directly, or indirectly through one or more intermediaries, controls or is controlled by, or is under common control with, an issuer.</w:t>
      </w:r>
    </w:p>
    <w:p>
      <w:pPr>
        <w:spacing w:after="0" w:line="79" w:lineRule="exact"/>
        <w:rPr>
          <w:sz w:val="20"/>
          <w:szCs w:val="20"/>
          <w:color w:val="auto"/>
        </w:rPr>
      </w:pPr>
    </w:p>
    <w:p>
      <w:pPr>
        <w:ind w:left="1260" w:right="739" w:firstLine="360"/>
        <w:spacing w:after="0" w:line="290" w:lineRule="auto"/>
        <w:rPr>
          <w:sz w:val="20"/>
          <w:szCs w:val="20"/>
          <w:color w:val="auto"/>
        </w:rPr>
      </w:pPr>
      <w:r>
        <w:rPr>
          <w:rFonts w:ascii="Arial" w:cs="Arial" w:eastAsia="Arial" w:hAnsi="Arial"/>
          <w:sz w:val="16"/>
          <w:szCs w:val="16"/>
          <w:color w:val="auto"/>
        </w:rPr>
        <w:t>Under Rule 144, a person (or persons whose shares are aggregated) who is not deemed to have been an affiliate of ours at any time during the 90 days preceding a sale, and who has beneficially owned the shares proposed to be sold for at least six months (including the holding period of any prior owner other than an affiliate), would be entitled to sell those shares subject only to availability of current public information about us, and after beneficially owning such shares for at least twelve months, would be entitled to sell an unlimited number of shares without restriction. To the extent that our affiliates sell their shares of Class A common stock, other than pursuant to Rule 144 or a registration statement, the purchaser’s holding period for the purpose of effecting a sale under Rule 144 commences on the date of transfer from the affiliate.</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701</w:t>
      </w:r>
    </w:p>
    <w:p>
      <w:pPr>
        <w:spacing w:after="0" w:line="10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In general, under Rule 701 as in effect on the date of this prospectus, any of our employees, directors, officers, consultants or advisors who purchased shares from us in reliance on Rule 701 in connection with a compensatory stock or option plan or other written agreement before the pricing date of the IPO, or who purchased shares from us after that date upon the exercise of options granted before that date, are eligible to resell such shares in reliance upon Rule 144. If such person is not an affiliate, such sale may be made subject only to current public information provisions of Rule 144. If such a person is an affiliate, such sale may be made under Rule 144 without compliance with the holding period requirement, but subject to the other Rule 144 restrictions described above.</w:t>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5" w:name="page136"/>
    <w:bookmarkEnd w:id="13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Plans</w:t>
      </w:r>
    </w:p>
    <w:p>
      <w:pPr>
        <w:spacing w:after="0" w:line="108"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We have filed a registration statement on Form S-8 under the Securities Act to register 31,819,860 shares of our Class A common stock issued or issuable under our equity incentive plans, and may file one or more additional registration statements on Form S-8 in the future. Any such Form S-8 registration statements will automatically become effective upon filing. Accordingly, shares of Class A common stock registered under such registration statements will be eligible for resale in the public market without restriction, subject to Rule 144 limitations applicable to affiliates and the lock-up agreements described above.</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08"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In connection with the IPO, we entered into the Registration Rights Agreement with the Refinitiv Owners and the Bank Stockholders. Pursuant to the Registration Rights Agreement, we granted the Refinitiv Owners, the Bank Stockholders, their affiliates and certain of their transferees the right, under certain circumstances and subject to certain restrictions, to require us to register under the Securities Act shares of Class A common stock. See “Certain Relationships and Related Party Transactions — Related Party Transactions Entered Into in Connection With the IPO —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MATERIAL U.S. FEDERAL TAX CONSIDERATIONS FOR</w:t>
      </w:r>
    </w:p>
    <w:p>
      <w:pPr>
        <w:spacing w:after="0" w:line="2"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NON-U.S. HOLDERS OF OUR COMMON STOCK</w:t>
      </w:r>
    </w:p>
    <w:p>
      <w:pPr>
        <w:spacing w:after="0" w:line="88"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The following is a summary of the material U.S. federal income and estate tax consequences of the ownership and disposition of our Class A common stock that is being issued pursuant to this offering. This summary is limited to Non-U.S. Holders (as defined below) that hold our Class A common stock as a capital asset (generally, property held for investment) for U.S. federal income tax purposes. This summary does not discuss all of the aspects of U.S. federal income and estate taxation that may be relevant to a Non-U.S. Holder in light of the Non-U.S. Holder’s particular investment or other circumstances. Accordingly, all prospective Non-U.S. Holders should consult their own tax advisors with respect to the U.S. federal, state, local and non-U.S. tax consequences of the ownership and disposition of our Class A common stock.</w:t>
      </w:r>
    </w:p>
    <w:p>
      <w:pPr>
        <w:spacing w:after="0" w:line="70"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This summary is based on provisions of the U.S. Internal Revenue Code of 1986, as amended (which we refer to as the “Code”), applicable U.S. Treasury regulations and administrative and judicial interpretations, all as in effect or in existence on the date of this prospectus. Subsequent developments in U.S. federal income or estate tax law, including changes in law or differing interpretations, which may be applied retroactively, could alter the U.S. federal income and estate tax consequences of owning and disposing of our Class A common stock as described in this summary. There can be no assurance that the IRS will not take a contrary position with respect to one or more of the tax consequences described herein and we have not obtained, nor do we intend to obtain, a ruling from the IRS with respect to the U.S. federal income or estate tax consequences of the ownership or disposition of our Class A common stock.</w:t>
      </w:r>
    </w:p>
    <w:p>
      <w:pPr>
        <w:spacing w:after="0" w:line="73" w:lineRule="exact"/>
        <w:rPr>
          <w:sz w:val="20"/>
          <w:szCs w:val="20"/>
          <w:color w:val="auto"/>
        </w:rPr>
      </w:pPr>
    </w:p>
    <w:p>
      <w:pPr>
        <w:ind w:left="1260" w:right="1339" w:firstLine="360"/>
        <w:spacing w:after="0" w:line="277" w:lineRule="auto"/>
        <w:rPr>
          <w:sz w:val="20"/>
          <w:szCs w:val="20"/>
          <w:color w:val="auto"/>
        </w:rPr>
      </w:pPr>
      <w:r>
        <w:rPr>
          <w:rFonts w:ascii="Arial" w:cs="Arial" w:eastAsia="Arial" w:hAnsi="Arial"/>
          <w:sz w:val="18"/>
          <w:szCs w:val="18"/>
          <w:color w:val="auto"/>
        </w:rPr>
        <w:t>As used in this summary, the term “Non-U.S. Holder” means a beneficial owner of our Class A common stock that is not, for U.S. federal income tax purposes:</w:t>
      </w:r>
    </w:p>
    <w:p>
      <w:pPr>
        <w:spacing w:after="0" w:line="62" w:lineRule="exact"/>
        <w:rPr>
          <w:sz w:val="20"/>
          <w:szCs w:val="20"/>
          <w:color w:val="auto"/>
        </w:rPr>
      </w:pPr>
    </w:p>
    <w:p>
      <w:pPr>
        <w:ind w:left="1980" w:hanging="352"/>
        <w:spacing w:after="0"/>
        <w:tabs>
          <w:tab w:leader="none" w:pos="1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980" w:right="679" w:hanging="352"/>
        <w:spacing w:after="0" w:line="263" w:lineRule="auto"/>
        <w:tabs>
          <w:tab w:leader="none" w:pos="1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entity or arrangement treated as a partnership;</w:t>
      </w:r>
    </w:p>
    <w:p>
      <w:pPr>
        <w:spacing w:after="0" w:line="117" w:lineRule="exact"/>
        <w:rPr>
          <w:rFonts w:ascii="Arial" w:cs="Arial" w:eastAsia="Arial" w:hAnsi="Arial"/>
          <w:sz w:val="18"/>
          <w:szCs w:val="18"/>
          <w:color w:val="auto"/>
        </w:rPr>
      </w:pPr>
    </w:p>
    <w:p>
      <w:pPr>
        <w:ind w:left="1980" w:right="1319" w:hanging="352"/>
        <w:spacing w:after="0" w:line="277" w:lineRule="auto"/>
        <w:tabs>
          <w:tab w:leader="none" w:pos="1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62" w:lineRule="exact"/>
        <w:rPr>
          <w:rFonts w:ascii="Arial" w:cs="Arial" w:eastAsia="Arial" w:hAnsi="Arial"/>
          <w:sz w:val="18"/>
          <w:szCs w:val="18"/>
          <w:color w:val="auto"/>
        </w:rPr>
      </w:pPr>
    </w:p>
    <w:p>
      <w:pPr>
        <w:ind w:left="1980" w:right="939" w:hanging="352"/>
        <w:spacing w:after="0" w:line="279" w:lineRule="auto"/>
        <w:tabs>
          <w:tab w:leader="none" w:pos="19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 trust, if (1) a U.S. court is able to exercise primary supervision over the trust’s administration and one or more “United States persons” (within the meaning of the Code) has the authority to control all of the trust’s substantial decisions, or (2) the trust has a valid election in effect under applicable U.S. Treasury regulations to be treated as a United States person.</w:t>
      </w:r>
    </w:p>
    <w:p>
      <w:pPr>
        <w:spacing w:after="0" w:line="63"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Class A common stock, the tax treatment of a partner in such a partnership generally will depend upon the status of the partner, the activities of the partnership and certain determinations made at the partner level. Partnerships, and partners in partnerships, that hold our Class A common stock should consult their own tax advisors as to the particular U.S. federal income and estate tax consequences of owning and disposing of our Class A common stock that are applicable to them.</w:t>
      </w:r>
    </w:p>
    <w:p>
      <w:pPr>
        <w:spacing w:after="0" w:line="84"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8"/>
          <w:szCs w:val="18"/>
          <w:color w:val="auto"/>
        </w:rPr>
        <w:t>This summary does not address all U.S. federal income or estate tax consequences relevant to a Non-U.S. Holder’s particular circumstances, including the impact of the Medicare contribution tax on net investment income. In addition, this summary does not consider any specific facts or circumstances that may apply to a Non-U.S. Holder and does not address any special tax rules that may apply to particular Non-U.S. Holders, such as:</w:t>
      </w:r>
    </w:p>
    <w:p>
      <w:pPr>
        <w:spacing w:after="0" w:line="93" w:lineRule="exact"/>
        <w:rPr>
          <w:sz w:val="20"/>
          <w:szCs w:val="20"/>
          <w:color w:val="auto"/>
        </w:rPr>
      </w:pPr>
    </w:p>
    <w:p>
      <w:pPr>
        <w:ind w:left="1980" w:right="679" w:hanging="352"/>
        <w:spacing w:after="0" w:line="255" w:lineRule="auto"/>
        <w:tabs>
          <w:tab w:leader="none" w:pos="1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Non-U.S. Holder that is a financial institution, insurance company, tax-exempt organization, pension plan, broker, dealer or trader in stocks, securities or currencies, U.S. expatriate, accrual method taxpayer for U.S. federal income tax purposes required to accelerate the recognition of any item of gross income with respect to our Class A common stock as a result of such income being recognized on an applicable financial statement, controlled foreign corporation or passive foreign investment company;</w:t>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859" w:hanging="352"/>
        <w:spacing w:after="0" w:line="277" w:lineRule="auto"/>
        <w:tabs>
          <w:tab w:leader="none" w:pos="19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Non-U.S. Holder holding our Class A common stock as part of a conversion, constructive sale, wash sale or other integrated transaction or a hedge, straddle or synthetic security;</w:t>
      </w:r>
    </w:p>
    <w:p>
      <w:pPr>
        <w:spacing w:after="0" w:line="143" w:lineRule="exact"/>
        <w:rPr>
          <w:rFonts w:ascii="Arial" w:cs="Arial" w:eastAsia="Arial" w:hAnsi="Arial"/>
          <w:sz w:val="18"/>
          <w:szCs w:val="18"/>
          <w:color w:val="auto"/>
        </w:rPr>
      </w:pPr>
    </w:p>
    <w:p>
      <w:pPr>
        <w:ind w:left="1980" w:right="959" w:hanging="352"/>
        <w:spacing w:after="0" w:line="277" w:lineRule="auto"/>
        <w:tabs>
          <w:tab w:leader="none" w:pos="19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Non-U.S. Holder that holds or receives our Class A common stock pursuant to the exercise of any employee stock option or otherwise as compensation; or</w:t>
      </w:r>
    </w:p>
    <w:p>
      <w:pPr>
        <w:spacing w:after="0" w:line="129" w:lineRule="exact"/>
        <w:rPr>
          <w:rFonts w:ascii="Arial" w:cs="Arial" w:eastAsia="Arial" w:hAnsi="Arial"/>
          <w:sz w:val="18"/>
          <w:szCs w:val="18"/>
          <w:color w:val="auto"/>
        </w:rPr>
      </w:pPr>
    </w:p>
    <w:p>
      <w:pPr>
        <w:ind w:left="1980" w:right="779" w:hanging="352"/>
        <w:spacing w:after="0" w:line="277" w:lineRule="auto"/>
        <w:tabs>
          <w:tab w:leader="none" w:pos="19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Non-U.S. Holder that at any time owns, directly, indirectly or constructively, 5% or more of our outstanding Class A common stock.</w:t>
      </w:r>
    </w:p>
    <w:p>
      <w:pPr>
        <w:spacing w:after="0" w:line="62"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In addition, this summary does not address any U.S. state or local, or non-U.S. or other tax consequences, or any U.S. federal income or estate tax consequences for beneficial owners of a Non-U.S. Holder, including shareholders of a controlled foreign corporation or passive foreign investment company that holds our Class A common stock.</w:t>
      </w:r>
    </w:p>
    <w:p>
      <w:pPr>
        <w:spacing w:after="0" w:line="169" w:lineRule="exact"/>
        <w:rPr>
          <w:sz w:val="20"/>
          <w:szCs w:val="20"/>
          <w:color w:val="auto"/>
        </w:rPr>
      </w:pPr>
    </w:p>
    <w:p>
      <w:pPr>
        <w:ind w:left="1260" w:right="879"/>
        <w:spacing w:after="0" w:line="250" w:lineRule="auto"/>
        <w:rPr>
          <w:sz w:val="20"/>
          <w:szCs w:val="20"/>
          <w:color w:val="auto"/>
        </w:rPr>
      </w:pPr>
      <w:r>
        <w:rPr>
          <w:rFonts w:ascii="Arial" w:cs="Arial" w:eastAsia="Arial" w:hAnsi="Arial"/>
          <w:sz w:val="18"/>
          <w:szCs w:val="18"/>
          <w:b w:val="1"/>
          <w:bCs w:val="1"/>
          <w:color w:val="auto"/>
        </w:rPr>
        <w:t>Each Non-U.S. Holder should consult its own tax advisor regarding the U.S. federal, state, local and non-U.S. tax consequences of owning and disposing of our Class A common stock.</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Distributions on Our Class A Common Stock</w:t>
      </w:r>
    </w:p>
    <w:p>
      <w:pPr>
        <w:spacing w:after="0" w:line="104" w:lineRule="exact"/>
        <w:rPr>
          <w:sz w:val="20"/>
          <w:szCs w:val="20"/>
          <w:color w:val="auto"/>
        </w:rPr>
      </w:pPr>
    </w:p>
    <w:p>
      <w:pPr>
        <w:ind w:left="1260" w:right="659" w:firstLine="360"/>
        <w:spacing w:after="0" w:line="253" w:lineRule="auto"/>
        <w:rPr>
          <w:sz w:val="20"/>
          <w:szCs w:val="20"/>
          <w:color w:val="auto"/>
        </w:rPr>
      </w:pPr>
      <w:r>
        <w:rPr>
          <w:rFonts w:ascii="Arial" w:cs="Arial" w:eastAsia="Arial" w:hAnsi="Arial"/>
          <w:sz w:val="18"/>
          <w:szCs w:val="18"/>
          <w:color w:val="auto"/>
        </w:rPr>
        <w:t>As discussed under “Dividend Policy” above, following this offering, we intend to pay quarterly cash dividends on our Class A common stock. Distributions of cash or property (other than certain pro rata distributions of our stock) with respect to our Class A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nontaxable return of capital to the extent of the Non-U.S. Holder’s adjusted tax basis in its Class A common stock and will reduce (but not below zero) such Non-U.S. Holder’s adjusted tax basis in its Class A common stock. Any remaining excess will be treated as gain from a disposition of our Class A common stock subject to the tax treatment described below in “Sales or Other Dispositions of Our Class A Common Stock”.</w:t>
      </w:r>
    </w:p>
    <w:p>
      <w:pPr>
        <w:spacing w:after="0" w:line="86"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Distributions on our Class A common stock that are treated as dividends, and that are not effectively connected with a Non-U.S. Holder’s conduct of a trade or business in the United States, generally will be subject to withholding of U.S. federal income tax at a rate of 30%. A Non-U.S. Holder may be eligible for a lower rate under an applicable income tax treaty between the United States and its jurisdiction of tax residence. In order to claim the benefit of an applicable income tax treaty, a Non-U.S. Holder will be required to provide to the applicable withholding agent a properly executed IRS Form W-8BEN or W-8BEN-E (or other applicable form) in accordance with the applicable certification and disclosure requirements. Special rules apply to partnerships and other pass-through entities and these certification and disclosure requirements also may apply to beneficial owners of partnerships and other pass-through entities that hold our Class A common stock.</w:t>
      </w:r>
    </w:p>
    <w:p>
      <w:pPr>
        <w:spacing w:after="0" w:line="86"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Distributions on our Class A common stock that are treated as dividends, and that are effectively connected with a Non-U.S. Holder’s conduct of a trade or business in the United States will be taxed on a net income basis at the regular graduated rates and in the manner applicable to United States persons (unless the Non-U.S. Holder is eligible for and properly claims the benefit of an applicable income tax treaty and the dividends are not attributable to a permanent establishment or fixed base maintained by the Non-U.S. Holder in the United States, in which case the Non-U.S. Holder may be eligible for a lower rate under an applicable income tax treaty between the United States and its jurisdiction of tax residence). Dividends that are effectively connected with a Non-U.S. Holder’s conduct of a trade or business in the United States will not be subject to the withholding of U.S. federal income tax discussed above if the Non-U.S. Holder provides to the applicable withholding agent a properly executed IRS Form W-8ECI (or other applicable form) in accordance with the applicable certification and disclosure requirements. A Non-U.S. Holder that is treated as a corporation for U.S. federal income tax purposes may also be subject to a “branch profits” tax at a 30% rate (or a lower rate if the Non-U.S. Holder is eligible for a lower rate under an applicable income tax treaty) on the Non-U.S. Holder’s earnings and profits (attributable to dividends on our Class A common stock or otherwise) that are effectively connected with the Non-U.S. Holder’s conduct of a trade or business within the United States, subject to certain adjustments.</w:t>
      </w:r>
    </w:p>
    <w:p>
      <w:pPr>
        <w:spacing w:after="0" w:line="23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8" w:name="page139"/>
    <w:bookmarkEnd w:id="13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The certifications described above must be provided to the applicable withholding agent prior to the payment of dividends and must be updated periodically. A Non-U.S. Holder may obtain a refund or credit of any excess amounts withheld by timely filing an appropriate claim for a refund with the IRS. Non-U.S. Holders should consult their own tax advisors regarding their eligibility for benefits under a relevant income tax treaty and the manner of claiming such benefits.</w:t>
      </w:r>
    </w:p>
    <w:p>
      <w:pPr>
        <w:spacing w:after="0" w:line="80" w:lineRule="exact"/>
        <w:rPr>
          <w:sz w:val="20"/>
          <w:szCs w:val="20"/>
          <w:color w:val="auto"/>
        </w:rPr>
      </w:pPr>
    </w:p>
    <w:p>
      <w:pPr>
        <w:ind w:left="1260" w:right="1539" w:firstLine="360"/>
        <w:spacing w:after="0" w:line="277" w:lineRule="auto"/>
        <w:rPr>
          <w:sz w:val="20"/>
          <w:szCs w:val="20"/>
          <w:color w:val="auto"/>
        </w:rPr>
      </w:pPr>
      <w:r>
        <w:rPr>
          <w:rFonts w:ascii="Arial" w:cs="Arial" w:eastAsia="Arial" w:hAnsi="Arial"/>
          <w:sz w:val="18"/>
          <w:szCs w:val="18"/>
          <w:color w:val="auto"/>
        </w:rPr>
        <w:t>The foregoing discussion is subject to the discussion below under “Backup Withholding and Information Reporting” and “FATCA Withholding.”</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Sales or Other Dispositions of Our Class A Common Stock</w:t>
      </w:r>
    </w:p>
    <w:p>
      <w:pPr>
        <w:spacing w:after="0" w:line="108" w:lineRule="exact"/>
        <w:rPr>
          <w:sz w:val="20"/>
          <w:szCs w:val="20"/>
          <w:color w:val="auto"/>
        </w:rPr>
      </w:pPr>
    </w:p>
    <w:p>
      <w:pPr>
        <w:jc w:val="both"/>
        <w:ind w:left="1260" w:right="1039" w:firstLine="360"/>
        <w:spacing w:after="0" w:line="308" w:lineRule="auto"/>
        <w:rPr>
          <w:sz w:val="20"/>
          <w:szCs w:val="20"/>
          <w:color w:val="auto"/>
        </w:rPr>
      </w:pPr>
      <w:r>
        <w:rPr>
          <w:rFonts w:ascii="Arial" w:cs="Arial" w:eastAsia="Arial" w:hAnsi="Arial"/>
          <w:sz w:val="17"/>
          <w:szCs w:val="17"/>
          <w:color w:val="auto"/>
        </w:rPr>
        <w:t>A Non-U.S. Holder generally will not be subject to U.S. federal income tax (including withholding thereof) on any gain recognized on any sales or other dispositions of our Class A common stock unless:</w:t>
      </w:r>
    </w:p>
    <w:p>
      <w:pPr>
        <w:spacing w:after="0" w:line="79" w:lineRule="exact"/>
        <w:rPr>
          <w:sz w:val="20"/>
          <w:szCs w:val="20"/>
          <w:color w:val="auto"/>
        </w:rPr>
      </w:pPr>
    </w:p>
    <w:p>
      <w:pPr>
        <w:ind w:left="1980" w:right="699" w:hanging="352"/>
        <w:spacing w:after="0" w:line="272" w:lineRule="auto"/>
        <w:tabs>
          <w:tab w:leader="none" w:pos="19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 in this case, the gain will be subject to U.S. federal income tax on a net income basis at the regular graduated rates and in the manner applicable to United States persons (unless an applicable income tax treaty provides otherwise) and, if the Non-U.S. Holder is treated as a corporation for U.S. federal income tax purposes, the “branch profits tax” described above may also apply;</w:t>
      </w:r>
    </w:p>
    <w:p>
      <w:pPr>
        <w:spacing w:after="0" w:line="109" w:lineRule="exact"/>
        <w:rPr>
          <w:rFonts w:ascii="Arial" w:cs="Arial" w:eastAsia="Arial" w:hAnsi="Arial"/>
          <w:sz w:val="17"/>
          <w:szCs w:val="17"/>
          <w:color w:val="auto"/>
        </w:rPr>
      </w:pPr>
    </w:p>
    <w:p>
      <w:pPr>
        <w:ind w:left="1980" w:right="699" w:hanging="352"/>
        <w:spacing w:after="0" w:line="275" w:lineRule="auto"/>
        <w:tabs>
          <w:tab w:leader="none" w:pos="19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United States for more than 182 days in the taxable year of the disposition and meets certain other requirements; in this case, except as otherwise provided by an applicable income tax treaty, the gain, which may be offset by certain U.S. source capital losses, generally will be subject to a flat 30% U.S. federal income tax, even though the Non-U.S. Holder is not considered a resident of the United States under the Code; or</w:t>
      </w:r>
    </w:p>
    <w:p>
      <w:pPr>
        <w:spacing w:after="0" w:line="122" w:lineRule="exact"/>
        <w:rPr>
          <w:rFonts w:ascii="Arial" w:cs="Arial" w:eastAsia="Arial" w:hAnsi="Arial"/>
          <w:sz w:val="17"/>
          <w:szCs w:val="17"/>
          <w:color w:val="auto"/>
        </w:rPr>
      </w:pPr>
    </w:p>
    <w:p>
      <w:pPr>
        <w:ind w:left="1980" w:right="899" w:hanging="352"/>
        <w:spacing w:after="0" w:line="286" w:lineRule="auto"/>
        <w:tabs>
          <w:tab w:leader="none" w:pos="19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(i) the five-year period ending on the date of disposition and (ii) the period that the Non-U.S. Holder held our Class A common stock.</w:t>
      </w:r>
    </w:p>
    <w:p>
      <w:pPr>
        <w:spacing w:after="0" w:line="57"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Generally, a corporation is a “United States real property holding corporation” if the fair market value of its “United States real property interests” equals or exceeds 50% of the sum of the fair market value of its worldwide real property interests plus its other assets used or held for use in a trade or business. We believe that we are not currently, and we do not anticipate becoming in the future, a United States real property holding corporation. However, because the determination of whether we are a United States real property holding corporation is made from time to time and depends on the relative fair market values of our assets, there can be no assurance in this regard. If we were a United States real property holding corporation, the tax relating to disposition of stock in a United States real property holding corporation generally will not apply to a Non-U.S. Holder whose holdings, direct, indirect and constructive, constituted 5% or less of our Class A common stock at all times during the applicable period, provided that our Class A common stock is “regularly traded on an established securities market” (as provided in applicable U.S. Treasury regulations) at any time during the calendar year in which the disposition occurs. However, no assurance can be provided that our Class A common stock will be regularly traded on an established securities market for purposes of the rules described above. Non-U.S. Holders should consult their own tax advisors regarding the possible adverse U.S. federal income tax consequences to them if we are, or were to become, a United States real property holding corporation.</w:t>
      </w:r>
    </w:p>
    <w:p>
      <w:pPr>
        <w:spacing w:after="0" w:line="72" w:lineRule="exact"/>
        <w:rPr>
          <w:sz w:val="20"/>
          <w:szCs w:val="20"/>
          <w:color w:val="auto"/>
        </w:rPr>
      </w:pPr>
    </w:p>
    <w:p>
      <w:pPr>
        <w:ind w:left="1260" w:right="1539" w:firstLine="360"/>
        <w:spacing w:after="0" w:line="277" w:lineRule="auto"/>
        <w:rPr>
          <w:sz w:val="20"/>
          <w:szCs w:val="20"/>
          <w:color w:val="auto"/>
        </w:rPr>
      </w:pPr>
      <w:r>
        <w:rPr>
          <w:rFonts w:ascii="Arial" w:cs="Arial" w:eastAsia="Arial" w:hAnsi="Arial"/>
          <w:sz w:val="18"/>
          <w:szCs w:val="18"/>
          <w:color w:val="auto"/>
        </w:rPr>
        <w:t>The foregoing discussion is subject to the discussion below under “Backup Withholding and Information Reporting” and “FATCA Withholding.”</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Federal Estate Tax</w:t>
      </w:r>
    </w:p>
    <w:p>
      <w:pPr>
        <w:spacing w:after="0" w:line="108"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Our Class A Class A common stock that is owned (or treated as owned) by an individual who is not a U.S. citizen or resident of the United States (as specially defined for U.S. federal estate tax purposes) at the time of death will be included in the individual’s gross estate for U.S. federal estate tax purposes, unless an applicable estate tax or other treaty provides otherwise and, therefore, may be subject to U.S. federal estate tax.</w:t>
      </w:r>
    </w:p>
    <w:p>
      <w:pPr>
        <w:sectPr>
          <w:pgSz w:w="11900" w:h="16838" w:orient="portrait"/>
          <w:cols w:equalWidth="0" w:num="1">
            <w:col w:w="10139"/>
          </w:cols>
          <w:pgMar w:left="320" w:top="131" w:right="1440" w:bottom="1440" w:gutter="0" w:footer="0" w:header="0"/>
        </w:sectPr>
      </w:pPr>
    </w:p>
    <w:p>
      <w:pPr>
        <w:spacing w:after="0" w:line="242"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39" w:name="page140"/>
    <w:bookmarkEnd w:id="13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08"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Backup withholding (currently at a rate of 24%) will not apply to payments of dividends on our Class A common stock to a Non-U.S. Holder if the Non-U.S. Holder provides to the applicable withholding agent a properly executed IRS Form W-8BEN or W-8BEN-E (or other applicable form) certifying under penalties of perjury that the Non-U.S. Holder is not a United States person, or otherwise qualifies for an exemption. However, the applicable withholding agent generally will be required to report to the IRS and to such Non-U.S. Holder payments of dividends on our Class A common stock and the amount of U.S. federal income tax, if any, withheld with respect to those payments. Copies of the information returns reporting such dividends and any withholding may also be made available to the tax authorities in the country in which the Non-U.S. Holder resides under the provisions of a treaty or agreement.</w:t>
      </w:r>
    </w:p>
    <w:p>
      <w:pPr>
        <w:spacing w:after="0" w:line="73"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The gross proceeds from sales or other dispositions of our Class A common stock may be subject, in certain circumstances discussed below, to U.S. backup withholding and information reporting. If a Non-U.S. Holder sells or otherwise disposes of our Class A common stock outside the United States through a non-U.S. office of a non-U.S. broker and the disposition proceeds are paid to the Non-U.S. Holder outside the United States, then the U.S. backup withholding and information reporting requirements generally will not apply to that payment. However, U.S. information reporting, but not U.S. backup withholding, will apply to a payment of disposition proceeds, even if that payment is made outside the United States, if a Non-U.S. Holder sells our Class A common stock through a non-U.S. office of a broker that is a United States person or has certain enumerated connections with the United States, unless the broker has documentary evidence in its files that the Non-U.S. Holder is not a United States person and certain other conditions are met or the Non-U.S. Holder otherwise qualifies for an exemption.</w:t>
      </w:r>
    </w:p>
    <w:p>
      <w:pPr>
        <w:spacing w:after="0" w:line="74" w:lineRule="exact"/>
        <w:rPr>
          <w:sz w:val="20"/>
          <w:szCs w:val="20"/>
          <w:color w:val="auto"/>
        </w:rPr>
      </w:pPr>
    </w:p>
    <w:p>
      <w:pPr>
        <w:ind w:left="1260" w:right="779" w:firstLine="360"/>
        <w:spacing w:after="0" w:line="275" w:lineRule="auto"/>
        <w:rPr>
          <w:sz w:val="20"/>
          <w:szCs w:val="20"/>
          <w:color w:val="auto"/>
        </w:rPr>
      </w:pPr>
      <w:r>
        <w:rPr>
          <w:rFonts w:ascii="Arial" w:cs="Arial" w:eastAsia="Arial" w:hAnsi="Arial"/>
          <w:sz w:val="17"/>
          <w:szCs w:val="17"/>
          <w:color w:val="auto"/>
        </w:rPr>
        <w:t>If a Non-U.S. Holder receives payments of the proceeds of a disposition of our Class A common stock to or through a U.S. office of a broker, the payment will be subject to both U.S. backup withholding and information reporting unless the Non-U.S. Holder provides to the broker a properly executed IRS Form W-8BEN or W-8BEN-E (or other applicable form) certifying under penalties of perjury that the Non-U.S. Holder is not a United States person, or the Non-U.S. Holder otherwise qualifies for an exemption.</w:t>
      </w:r>
    </w:p>
    <w:p>
      <w:pPr>
        <w:spacing w:after="0" w:line="68"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credited against the Non-U.S. Holder’s U.S. federal income tax liability (which may result in the Non-U.S. Holder being entitled to a refund), provided that the required information is timely furnished to the IRS.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FATCA Withholding</w:t>
      </w:r>
    </w:p>
    <w:p>
      <w:pPr>
        <w:spacing w:after="0" w:line="108"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The Foreign Account Tax Compliance Act and related Treasury guidance (commonly referred to as “FATCA”) impose U.S. federal withholding tax at a rate of 30% on payments to certain foreign entities of U.S.-source dividends (including dividends paid on our Class A common stock). Under recently proposed Treasury regulations that may be relied upon pending finalization, FATCA withholding on gross proceeds is not currently expected to apply. This withholding tax applies to a foreign entity, whether acting as a beneficial owner or an intermediary, unless such foreign entity complies with (i) certain information reporting requirements regarding its U.S. account holders and its U.S. owners and (ii) certain withholding obligations regarding certain payments to its account holders and certain other persons. Accordingly, the entity through which a Non-U.S. Holder holds its Class A common stock will affect the determination of whether such withholding is required. Non-U.S. Holders are encouraged to consult their tax advisors regarding FATCA.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UNDERWRITING (CONFLICTS OF INTEREST)</w:t>
      </w:r>
    </w:p>
    <w:p>
      <w:pPr>
        <w:spacing w:after="0" w:line="108"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We are offering shares of our Class A common stock described in this prospectus through a number of underwriters. J.P. Morgan Securities LLC, Barclays Capital Inc., Citigroup Global Markets Inc., Goldman Sachs &amp; Co. LLC and Morgan Stanley &amp; Co. LLC are acting as representatives on behalf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pacing w:after="0" w:line="11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r>
      <w:tr>
        <w:trPr>
          <w:trHeight w:val="186"/>
        </w:trPr>
        <w:tc>
          <w:tcPr>
            <w:tcW w:w="6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r>
      <w:tr>
        <w:trPr>
          <w:trHeight w:val="26"/>
        </w:trPr>
        <w:tc>
          <w:tcPr>
            <w:tcW w:w="6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800" w:type="dxa"/>
            <w:vAlign w:val="bottom"/>
            <w:shd w:val="clear" w:color="auto" w:fill="CCEEFF"/>
          </w:tcPr>
          <w:p>
            <w:pPr>
              <w:spacing w:after="0"/>
              <w:rPr>
                <w:sz w:val="21"/>
                <w:szCs w:val="21"/>
                <w:color w:val="auto"/>
              </w:rPr>
            </w:pPr>
          </w:p>
        </w:tc>
      </w:tr>
      <w:tr>
        <w:trPr>
          <w:trHeight w:val="257"/>
        </w:trPr>
        <w:tc>
          <w:tcPr>
            <w:tcW w:w="6680" w:type="dxa"/>
            <w:vAlign w:val="bottom"/>
            <w:gridSpan w:val="3"/>
          </w:tcPr>
          <w:p>
            <w:pPr>
              <w:spacing w:after="0"/>
              <w:rPr>
                <w:sz w:val="20"/>
                <w:szCs w:val="20"/>
                <w:color w:val="auto"/>
              </w:rPr>
            </w:pPr>
            <w:r>
              <w:rPr>
                <w:rFonts w:ascii="Arial" w:cs="Arial" w:eastAsia="Arial" w:hAnsi="Arial"/>
                <w:sz w:val="18"/>
                <w:szCs w:val="18"/>
                <w:color w:val="auto"/>
              </w:rPr>
              <w:t>Barclays Capital Inc.</w:t>
            </w:r>
          </w:p>
        </w:tc>
        <w:tc>
          <w:tcPr>
            <w:tcW w:w="800" w:type="dxa"/>
            <w:vAlign w:val="bottom"/>
          </w:tcPr>
          <w:p>
            <w:pPr>
              <w:spacing w:after="0"/>
              <w:rPr>
                <w:sz w:val="22"/>
                <w:szCs w:val="22"/>
                <w:color w:val="auto"/>
              </w:rPr>
            </w:pPr>
          </w:p>
        </w:tc>
      </w:tr>
      <w:tr>
        <w:trPr>
          <w:trHeight w:val="256"/>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800" w:type="dxa"/>
            <w:vAlign w:val="bottom"/>
            <w:shd w:val="clear" w:color="auto" w:fill="CCEEFF"/>
          </w:tcPr>
          <w:p>
            <w:pPr>
              <w:spacing w:after="0"/>
              <w:rPr>
                <w:sz w:val="22"/>
                <w:szCs w:val="22"/>
                <w:color w:val="auto"/>
              </w:rPr>
            </w:pPr>
          </w:p>
        </w:tc>
      </w:tr>
      <w:tr>
        <w:trPr>
          <w:trHeight w:val="257"/>
        </w:trPr>
        <w:tc>
          <w:tcPr>
            <w:tcW w:w="6680" w:type="dxa"/>
            <w:vAlign w:val="bottom"/>
            <w:gridSpan w:val="3"/>
          </w:tcPr>
          <w:p>
            <w:pPr>
              <w:spacing w:after="0"/>
              <w:rPr>
                <w:sz w:val="20"/>
                <w:szCs w:val="20"/>
                <w:color w:val="auto"/>
              </w:rPr>
            </w:pPr>
            <w:r>
              <w:rPr>
                <w:rFonts w:ascii="Arial" w:cs="Arial" w:eastAsia="Arial" w:hAnsi="Arial"/>
                <w:sz w:val="18"/>
                <w:szCs w:val="18"/>
                <w:color w:val="auto"/>
              </w:rPr>
              <w:t>Goldman Sachs &amp; Co. LLC</w:t>
            </w:r>
          </w:p>
        </w:tc>
        <w:tc>
          <w:tcPr>
            <w:tcW w:w="800" w:type="dxa"/>
            <w:vAlign w:val="bottom"/>
          </w:tcPr>
          <w:p>
            <w:pPr>
              <w:spacing w:after="0"/>
              <w:rPr>
                <w:sz w:val="22"/>
                <w:szCs w:val="22"/>
                <w:color w:val="auto"/>
              </w:rPr>
            </w:pPr>
          </w:p>
        </w:tc>
      </w:tr>
      <w:tr>
        <w:trPr>
          <w:trHeight w:val="263"/>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r>
      <w:tr>
        <w:trPr>
          <w:trHeight w:val="264"/>
        </w:trPr>
        <w:tc>
          <w:tcPr>
            <w:tcW w:w="6680" w:type="dxa"/>
            <w:vAlign w:val="bottom"/>
            <w:gridSpan w:val="3"/>
          </w:tcPr>
          <w:p>
            <w:pPr>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10,950,000</w:t>
            </w:r>
          </w:p>
        </w:tc>
      </w:tr>
      <w:tr>
        <w:trPr>
          <w:trHeight w:val="20"/>
        </w:trPr>
        <w:tc>
          <w:tcPr>
            <w:tcW w:w="6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-1036320</wp:posOffset>
            </wp:positionV>
            <wp:extent cx="1371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2"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The underwriters are committed to purchase all the shares of Class A common offered by us if they purchase any shares. The underwriting agreement also provides that if an underwriter defaults, the purchase commitments of non-defaulting underwriters may also be increased or the offering may be terminated. The offering of the shares by the underwriters is subject to receipt and acceptance and subject to the underwriters’ right to reject any order in whole or in part.</w:t>
      </w:r>
    </w:p>
    <w:p>
      <w:pPr>
        <w:spacing w:after="0" w:line="80" w:lineRule="exact"/>
        <w:rPr>
          <w:sz w:val="20"/>
          <w:szCs w:val="20"/>
          <w:color w:val="auto"/>
        </w:rPr>
      </w:pPr>
    </w:p>
    <w:p>
      <w:pPr>
        <w:ind w:left="1260" w:right="819" w:firstLine="360"/>
        <w:spacing w:after="0" w:line="274" w:lineRule="auto"/>
        <w:rPr>
          <w:sz w:val="20"/>
          <w:szCs w:val="20"/>
          <w:color w:val="auto"/>
        </w:rPr>
      </w:pPr>
      <w:r>
        <w:rPr>
          <w:rFonts w:ascii="Arial" w:cs="Arial" w:eastAsia="Arial" w:hAnsi="Arial"/>
          <w:sz w:val="17"/>
          <w:szCs w:val="17"/>
          <w:color w:val="auto"/>
        </w:rPr>
        <w:t>The underwriters propose to offer the shares directly to the public at the public offering price set forth on the cover page of this prospectus and to certain dealers at that price less a concession not in excess of</w:t>
      </w:r>
    </w:p>
    <w:p>
      <w:pPr>
        <w:ind w:left="1260" w:right="719" w:firstLine="8"/>
        <w:spacing w:after="0" w:line="255" w:lineRule="auto"/>
        <w:tabs>
          <w:tab w:leader="none" w:pos="191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 share. After the initial offering of the shares to the public, the offering price and the other selling terms may be changed by the underwriters. Sales of shares made outside of the United States may be made by affiliates of the underwriters.</w:t>
      </w:r>
    </w:p>
    <w:p>
      <w:pPr>
        <w:spacing w:after="0" w:line="82"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The underwriters have an option to buy up to 1,642,500 additional shares of Class A common stock from us. The underwriters have 30 days from the date of this prospectus to exercise this option to purchase additional shares. If any shares are purchased with this option to purchase additional shares of Class A common stock, the underwriters will severally purchase shares in approximately the same proportion as shown in the table above. If any additional shares of Class A common stock are purchased, the underwriters will offer the additional shares on the same terms as those on which the shares are being offered.</w:t>
      </w:r>
    </w:p>
    <w:p>
      <w:pPr>
        <w:spacing w:after="0" w:line="70"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The underwriting fee is equal to the public offering price per share of Class A common stock less the amount paid by the underwriters to us per share of Class A common stock. The following table shows the per share and total underwriting discounts and commissions to be paid to the underwriters assuming both no exercise and full exercise of the underwriters’ option to purchase additional shares of Class A common stock.</w:t>
      </w:r>
    </w:p>
    <w:p>
      <w:pPr>
        <w:spacing w:after="0" w:line="98" w:lineRule="exact"/>
        <w:rPr>
          <w:sz w:val="20"/>
          <w:szCs w:val="20"/>
          <w:color w:val="auto"/>
        </w:rPr>
      </w:pPr>
    </w:p>
    <w:p>
      <w:pPr>
        <w:ind w:left="7840"/>
        <w:spacing w:after="0"/>
        <w:tabs>
          <w:tab w:leader="none" w:pos="862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Full</w:t>
      </w:r>
    </w:p>
    <w:p>
      <w:pPr>
        <w:spacing w:after="0" w:line="17" w:lineRule="exact"/>
        <w:rPr>
          <w:sz w:val="20"/>
          <w:szCs w:val="20"/>
          <w:color w:val="auto"/>
        </w:rPr>
      </w:pPr>
    </w:p>
    <w:p>
      <w:pPr>
        <w:ind w:left="7700"/>
        <w:spacing w:after="0"/>
        <w:tabs>
          <w:tab w:leader="none" w:pos="8520" w:val="left"/>
        </w:tabs>
        <w:rPr>
          <w:sz w:val="20"/>
          <w:szCs w:val="20"/>
          <w:color w:val="auto"/>
        </w:rPr>
      </w:pPr>
      <w:r>
        <w:rPr>
          <w:rFonts w:ascii="Arial" w:cs="Arial" w:eastAsia="Arial" w:hAnsi="Arial"/>
          <w:sz w:val="14"/>
          <w:szCs w:val="14"/>
          <w:b w:val="1"/>
          <w:bCs w:val="1"/>
          <w:color w:val="auto"/>
        </w:rPr>
        <w:t>exercise</w:t>
      </w:r>
      <w:r>
        <w:rPr>
          <w:sz w:val="20"/>
          <w:szCs w:val="20"/>
          <w:color w:val="auto"/>
        </w:rPr>
        <w:tab/>
      </w:r>
      <w:r>
        <w:rPr>
          <w:rFonts w:ascii="Arial" w:cs="Arial" w:eastAsia="Arial" w:hAnsi="Arial"/>
          <w:sz w:val="14"/>
          <w:szCs w:val="14"/>
          <w:b w:val="1"/>
          <w:bCs w:val="1"/>
          <w:color w:val="auto"/>
        </w:rPr>
        <w:t>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22225</wp:posOffset>
            </wp:positionV>
            <wp:extent cx="4749165" cy="1714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54" w:lineRule="exact"/>
        <w:rPr>
          <w:sz w:val="20"/>
          <w:szCs w:val="20"/>
          <w:color w:val="auto"/>
        </w:rPr>
      </w:pPr>
    </w:p>
    <w:p>
      <w:pPr>
        <w:ind w:left="1620"/>
        <w:spacing w:after="0"/>
        <w:tabs>
          <w:tab w:leader="none" w:pos="7640" w:val="left"/>
          <w:tab w:leader="none" w:pos="8480" w:val="left"/>
        </w:tabs>
        <w:rPr>
          <w:sz w:val="20"/>
          <w:szCs w:val="20"/>
          <w:color w:val="auto"/>
        </w:rPr>
      </w:pPr>
      <w:r>
        <w:rPr>
          <w:rFonts w:ascii="Arial" w:cs="Arial" w:eastAsia="Arial" w:hAnsi="Arial"/>
          <w:sz w:val="18"/>
          <w:szCs w:val="18"/>
          <w:color w:val="auto"/>
        </w:rPr>
        <w:t>Per Share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Total</w:t>
      </w:r>
    </w:p>
    <w:p>
      <w:pPr>
        <w:spacing w:after="0" w:line="171"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We estimate that the total expenses of this offering, including registration, filing fees, printing fees and legal and accounting expenses, but excluding the underwriting discounts and commissions, will be approximately $3.1 million.</w:t>
      </w:r>
    </w:p>
    <w:p>
      <w:pPr>
        <w:spacing w:after="0" w:line="2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1" w:name="page142"/>
    <w:bookmarkEnd w:id="14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firstLine="360"/>
        <w:spacing w:after="0" w:line="275" w:lineRule="auto"/>
        <w:rPr>
          <w:sz w:val="20"/>
          <w:szCs w:val="20"/>
          <w:color w:val="auto"/>
        </w:rPr>
      </w:pPr>
      <w:r>
        <w:rPr>
          <w:rFonts w:ascii="Arial" w:cs="Arial" w:eastAsia="Arial" w:hAnsi="Arial"/>
          <w:sz w:val="17"/>
          <w:szCs w:val="17"/>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68" w:lineRule="exact"/>
        <w:rPr>
          <w:sz w:val="20"/>
          <w:szCs w:val="20"/>
          <w:color w:val="auto"/>
        </w:rPr>
      </w:pPr>
    </w:p>
    <w:p>
      <w:pPr>
        <w:ind w:left="1260" w:right="659" w:firstLine="360"/>
        <w:spacing w:after="0" w:line="252" w:lineRule="auto"/>
        <w:rPr>
          <w:sz w:val="20"/>
          <w:szCs w:val="20"/>
          <w:color w:val="auto"/>
        </w:rPr>
      </w:pPr>
      <w:r>
        <w:rPr>
          <w:rFonts w:ascii="Arial" w:cs="Arial" w:eastAsia="Arial" w:hAnsi="Arial"/>
          <w:sz w:val="18"/>
          <w:szCs w:val="18"/>
          <w:color w:val="auto"/>
        </w:rPr>
        <w:t>We have agreed that for a period of 60 days after the date of this prospectus, subject to certain exceptions, we will not (i) offer, pledge, announce the intention to sell, sell, contract to sell, sell any option or contract to purchase, purchase any option or contract to sell, grant any option, right or warrant to purchase or otherwise dispose of, directly or indirectly, or publicly file with the SEC a registration statement under the Securities Act relating to, any shares of our Class A common stock or securities convertible into or redeemable, exchangeable or exercisable for any shares of our Class A common stock (including, without limitation, the LLC Interests), or publicly disclose the intention to make any offer, sale, pledge, disposition or filing, or (ii) enter into any swap or other arrangement that transfers all or a portion of the economic consequences associated with the ownership of any shares of Class A common stock or any such other securities (regardless of whether any of these transactions are to be settled by the delivery of shares of Class A common stock or such other securities, in cash or otherwise), in each case without the prior written consent of the representatives, other than the shares of our Class A common stock to be sold hereunder and any shares of our Class A common stock issued upon the exercise of options granted under our existing management incentive plans.</w:t>
      </w:r>
    </w:p>
    <w:p>
      <w:pPr>
        <w:spacing w:after="0" w:line="89"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Our directors and executive officers, the Refinitiv Owners and the Bank Stockholders that continue to hold LLC Interests or shares of Class A common stock have entered into lock-up agreements with the underwriters prior to the commencement of this offering pursuant to which each of these persons or entities, subject to certain exceptions, for a period of 60 days after the date of this prospectus, may not, without the prior written consent of the representatives, (i) offer, pledge, announce the intention to sell, sell, contract to sell, sell any option or contract to purchase, purchase any option or contract to sell, grant any option, right or warrant to purchase, or otherwise transfer or dispose of, directly or indirectly, any shares of our Class A common stock or any securities convertible into or redeemable, exercisable or exchangeable for our Class A common stock (including, without limitation, the LLC Interests and Class A common stock or such other securities which may be deemed to be beneficially owned by such directors, executive officers or other stockholders in accordance with the rules and regulations of the SEC and securities which may be issued upon exercise of a stock option) or (ii) enter into any swap or other agreement that transfers, in whole or in part, any of the economic consequences of ownership of the Class A common stock or such other securities, whether any such transaction described in clause (i) or (ii) above is to be settled by delivery of Class A common stock or such other securities, in cash or otherwise.</w:t>
      </w:r>
    </w:p>
    <w:p>
      <w:pPr>
        <w:spacing w:after="0" w:line="74"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Class A common stock is listed on Nasdaq under the symbol “TW.”</w:t>
      </w:r>
    </w:p>
    <w:p>
      <w:pPr>
        <w:spacing w:after="0" w:line="117"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the Class A common stock, which involves the sale by the underwriters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w:t>
      </w:r>
    </w:p>
    <w:p>
      <w:pPr>
        <w:spacing w:after="0" w:line="2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spacing w:after="0" w:line="259" w:lineRule="auto"/>
        <w:rPr>
          <w:sz w:val="20"/>
          <w:szCs w:val="20"/>
          <w:color w:val="auto"/>
        </w:rPr>
      </w:pPr>
      <w:r>
        <w:rPr>
          <w:rFonts w:ascii="Arial" w:cs="Arial" w:eastAsia="Arial" w:hAnsi="Arial"/>
          <w:sz w:val="18"/>
          <w:szCs w:val="18"/>
          <w:color w:val="auto"/>
        </w:rPr>
        <w:t>are concerned that there may be downward pressure on the price of the Class A common stock in the open market that could adversely affect investors who purchase in this offering. To the extent that the underwriters create a naked short position, they will purchase shares in the open market to cover the position.</w:t>
      </w:r>
    </w:p>
    <w:p>
      <w:pPr>
        <w:spacing w:after="0" w:line="52"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as part of this offering to repay the underwriting discounts and commissions received by them.</w:t>
      </w:r>
    </w:p>
    <w:p>
      <w:pPr>
        <w:spacing w:after="0" w:line="44"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7"/>
          <w:szCs w:val="17"/>
          <w:color w:val="auto"/>
        </w:rPr>
        <w:t>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underwriters commence these activities, they may discontinue them at any time. The underwriters may carry out these transactions on Nasdaq, in the over-the-counter market or otherwise.</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Advisory Services</w:t>
      </w:r>
    </w:p>
    <w:p>
      <w:pPr>
        <w:spacing w:after="0" w:line="108" w:lineRule="exact"/>
        <w:rPr>
          <w:sz w:val="20"/>
          <w:szCs w:val="20"/>
          <w:color w:val="auto"/>
        </w:rPr>
      </w:pPr>
    </w:p>
    <w:p>
      <w:pPr>
        <w:ind w:left="1260" w:right="859" w:firstLine="360"/>
        <w:spacing w:after="0" w:line="286" w:lineRule="auto"/>
        <w:rPr>
          <w:sz w:val="20"/>
          <w:szCs w:val="20"/>
          <w:color w:val="auto"/>
        </w:rPr>
      </w:pPr>
      <w:r>
        <w:rPr>
          <w:rFonts w:ascii="Arial" w:cs="Arial" w:eastAsia="Arial" w:hAnsi="Arial"/>
          <w:sz w:val="17"/>
          <w:szCs w:val="17"/>
          <w:color w:val="auto"/>
        </w:rPr>
        <w:t>We have engaged Blackstone Advisory Partners L.P., an affiliate of Blackstone, to provide certain financial consulting services in connection with this offering. We have agreed to pay Blackstone Advisory Partners L.P., only upon successful completion of this offering, a fee of approximately $500,000.</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 Other Relationships</w:t>
      </w:r>
    </w:p>
    <w:p>
      <w:pPr>
        <w:spacing w:after="0" w:line="67"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color w:val="auto"/>
        </w:rPr>
        <w:t>Because affiliates of Barclays Capital Inc., Citigroup Global Markets Inc., Goldman Sachs &amp; Co. LLC and Morgan Stanley &amp; Co. LLC will each receive more than 5.0% of the net proceeds from this offering, Barclays Capital Inc., Citigroup Global Markets Inc., Goldman Sachs &amp; Co. LLC and Morgan Stanley</w:t>
      </w:r>
    </w:p>
    <w:p>
      <w:pPr>
        <w:ind w:left="1260" w:right="759" w:firstLine="8"/>
        <w:spacing w:after="0" w:line="253" w:lineRule="auto"/>
        <w:tabs>
          <w:tab w:leader="none" w:pos="145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 LLC are deemed to have a “conflict of interest” pursuant to FINRA Rule 5121(f)(5)(C)(ii). See “Use of Proceeds.” Accordingly, this offering will be made in compliance with the applicable provisions of Rule 5121. As such, any underwriter that has a conflict of interest pursuant to Rule 5121 will not confirm sales to accounts in which it exercises discretionary authority without the prior written consent of the customer.</w:t>
      </w:r>
    </w:p>
    <w:p>
      <w:pPr>
        <w:spacing w:after="0" w:line="56"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In addition, in the ordinary course of their business activities, 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Affiliates of Citigroup Global Markets Inc., Goldman Sachs &amp; Co. LLC, J.P. Morgan Securities LLC and Morgan Stanley &amp; Co. LLC participated as arrangers and are agents and lenders under the Revolving Credit Facility and affiliates of Barclays Capital Inc. and certain of the other underwriters are also lenders thereto. In addition, certain of the underwriters in this offering served as an underwriter in the IPO and the October 2019 follow-on offering, for which services they received customary underwriting discounts and commissions.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Restrictions</w:t>
      </w:r>
    </w:p>
    <w:p>
      <w:pPr>
        <w:spacing w:after="0" w:line="67"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w:t>
      </w: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3" w:name="page144"/>
    <w:bookmarkEnd w:id="14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77"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shares of Class A common stock have been offered or will be offered pursuant to the offering to the public in that Relevant State prior to the publication of a prospectus in relation to the shares of Class A common stock which has been approved by the competent authority in that Relevant State or, where appropriate, approved in another Relevant State and notified to the competent authority in that Relevant State, all in accordance with the Prospectus Regulation, except that it may make an offer to the public in that Relevant State of any shares of Class A common stock at any time under the following exemptions under the Prospectus Regulation:</w:t>
      </w:r>
    </w:p>
    <w:p>
      <w:pPr>
        <w:spacing w:after="0" w:line="70" w:lineRule="exact"/>
        <w:rPr>
          <w:sz w:val="20"/>
          <w:szCs w:val="20"/>
          <w:color w:val="auto"/>
        </w:rPr>
      </w:pPr>
    </w:p>
    <w:p>
      <w:pPr>
        <w:ind w:left="1980" w:hanging="352"/>
        <w:spacing w:after="0"/>
        <w:tabs>
          <w:tab w:leader="none" w:pos="1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03" w:lineRule="exact"/>
        <w:rPr>
          <w:rFonts w:ascii="Arial" w:cs="Arial" w:eastAsia="Arial" w:hAnsi="Arial"/>
          <w:sz w:val="18"/>
          <w:szCs w:val="18"/>
          <w:color w:val="auto"/>
        </w:rPr>
      </w:pPr>
    </w:p>
    <w:p>
      <w:pPr>
        <w:jc w:val="both"/>
        <w:ind w:left="1980" w:right="1119" w:hanging="352"/>
        <w:spacing w:after="0" w:line="263" w:lineRule="auto"/>
        <w:tabs>
          <w:tab w:leader="none" w:pos="1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representatives for any such offer; or</w:t>
      </w:r>
    </w:p>
    <w:p>
      <w:pPr>
        <w:spacing w:after="0" w:line="48" w:lineRule="exact"/>
        <w:rPr>
          <w:rFonts w:ascii="Arial" w:cs="Arial" w:eastAsia="Arial" w:hAnsi="Arial"/>
          <w:sz w:val="18"/>
          <w:szCs w:val="18"/>
          <w:color w:val="auto"/>
        </w:rPr>
      </w:pPr>
    </w:p>
    <w:p>
      <w:pPr>
        <w:ind w:left="1980" w:right="779" w:hanging="352"/>
        <w:spacing w:after="0" w:line="259" w:lineRule="auto"/>
        <w:tabs>
          <w:tab w:leader="none" w:pos="1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 provided that no such offer of shares of Class A common stock shall require the Company or any representative to publish a prospectus pursuant to Article 3 of the Prospectus Regulation or supplement a prospectus pursuant to Article 23 of the Prospectus Regulation.</w:t>
      </w:r>
    </w:p>
    <w:p>
      <w:pPr>
        <w:spacing w:after="0" w:line="79"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of Class A common stock in any Relevant State means the communication in any form and by any means of sufficient information on the terms of the offer and any shares of Class A common stock to be offered so as to enable an investor to decide to purchase or subscribe for any shares of Class A common stock, and the expression “Prospectus Regulation” means Regulation (EU) 2017/1129.</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04"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w:t>
      </w:r>
    </w:p>
    <w:p>
      <w:pPr>
        <w:spacing w:after="0" w:line="87"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04"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shares of common stock must be made in accordance with an exemption from, or in a transaction not subject to, the prospectus requirements of applicable securities laws.</w:t>
      </w:r>
    </w:p>
    <w:p>
      <w:pPr>
        <w:spacing w:after="0" w:line="70" w:lineRule="exact"/>
        <w:rPr>
          <w:sz w:val="20"/>
          <w:szCs w:val="20"/>
          <w:color w:val="auto"/>
        </w:rPr>
      </w:pPr>
    </w:p>
    <w:p>
      <w:pPr>
        <w:ind w:left="1260" w:right="1119" w:firstLine="360"/>
        <w:spacing w:after="0" w:line="31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w:t>
      </w:r>
    </w:p>
    <w:p>
      <w:pPr>
        <w:sectPr>
          <w:pgSz w:w="11900" w:h="16838" w:orient="portrait"/>
          <w:cols w:equalWidth="0" w:num="1">
            <w:col w:w="10139"/>
          </w:cols>
          <w:pgMar w:left="320" w:top="131" w:right="1440" w:bottom="1440" w:gutter="0" w:footer="0" w:header="0"/>
        </w:sectPr>
      </w:pPr>
    </w:p>
    <w:p>
      <w:pPr>
        <w:spacing w:after="0" w:line="216"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4" w:name="page145"/>
    <w:bookmarkEnd w:id="14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63" w:lineRule="auto"/>
        <w:rPr>
          <w:sz w:val="20"/>
          <w:szCs w:val="20"/>
          <w:color w:val="auto"/>
        </w:rPr>
      </w:pPr>
      <w:r>
        <w:rPr>
          <w:rFonts w:ascii="Arial" w:cs="Arial" w:eastAsia="Arial" w:hAnsi="Arial"/>
          <w:sz w:val="18"/>
          <w:szCs w:val="18"/>
          <w:color w:val="auto"/>
        </w:rPr>
        <w:t>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6" w:lineRule="exact"/>
        <w:rPr>
          <w:sz w:val="20"/>
          <w:szCs w:val="20"/>
          <w:color w:val="auto"/>
        </w:rPr>
      </w:pPr>
    </w:p>
    <w:p>
      <w:pPr>
        <w:ind w:left="1260" w:right="1059" w:firstLine="360"/>
        <w:spacing w:after="0" w:line="263"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04"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7"/>
          <w:szCs w:val="17"/>
          <w:color w:val="auto"/>
        </w:rPr>
        <w:t>The shares of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70"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of common stock have been or will be filed with or approved by any Swiss regulatory authority. In particular, this document will not be filed with, and the offer of shares of common stock will not be supervised by, the Swiss Financial Market Supervisory Authority,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04"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The shares of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1980" w:right="759" w:hanging="352"/>
        <w:spacing w:after="0" w:line="277" w:lineRule="auto"/>
        <w:tabs>
          <w:tab w:leader="none" w:pos="1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does not constitute a disclosure document under Chapter 6D.2 of the Corporations Act 2001 (Cth) (the “Corporations Act”);</w:t>
      </w:r>
    </w:p>
    <w:p>
      <w:pPr>
        <w:spacing w:after="0" w:line="75" w:lineRule="exact"/>
        <w:rPr>
          <w:rFonts w:ascii="Arial" w:cs="Arial" w:eastAsia="Arial" w:hAnsi="Arial"/>
          <w:sz w:val="18"/>
          <w:szCs w:val="18"/>
          <w:color w:val="auto"/>
        </w:rPr>
      </w:pPr>
    </w:p>
    <w:p>
      <w:pPr>
        <w:ind w:left="1980" w:right="739" w:hanging="352"/>
        <w:spacing w:after="0" w:line="259" w:lineRule="auto"/>
        <w:tabs>
          <w:tab w:leader="none" w:pos="1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 and</w:t>
      </w:r>
    </w:p>
    <w:p>
      <w:pPr>
        <w:spacing w:after="0" w:line="92" w:lineRule="exact"/>
        <w:rPr>
          <w:rFonts w:ascii="Arial" w:cs="Arial" w:eastAsia="Arial" w:hAnsi="Arial"/>
          <w:sz w:val="18"/>
          <w:szCs w:val="18"/>
          <w:color w:val="auto"/>
        </w:rPr>
      </w:pPr>
    </w:p>
    <w:p>
      <w:pPr>
        <w:ind w:left="1980" w:right="679" w:hanging="352"/>
        <w:spacing w:after="0" w:line="263" w:lineRule="auto"/>
        <w:tabs>
          <w:tab w:leader="none" w:pos="1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76"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color w:val="auto"/>
        </w:rPr>
        <w:t>The shares of common stock may not be directly or indirectly offered for subscription or purchased or sold, and no invitations to subscribe for or buy the shares of common stock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5" w:name="page146"/>
    <w:bookmarkEnd w:id="14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As any offer of shares of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04"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The shares of common stock have not been and will not be registered under the Financial Instruments and Exchange Act. Accordingly, the shares of common stock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04" w:lineRule="exact"/>
        <w:rPr>
          <w:sz w:val="20"/>
          <w:szCs w:val="20"/>
          <w:color w:val="auto"/>
        </w:rPr>
      </w:pPr>
    </w:p>
    <w:p>
      <w:pPr>
        <w:ind w:left="1260" w:right="739" w:firstLine="360"/>
        <w:spacing w:after="0" w:line="252" w:lineRule="auto"/>
        <w:rPr>
          <w:sz w:val="20"/>
          <w:szCs w:val="20"/>
          <w:color w:val="auto"/>
        </w:rPr>
      </w:pPr>
      <w:r>
        <w:rPr>
          <w:rFonts w:ascii="Arial" w:cs="Arial" w:eastAsia="Arial" w:hAnsi="Arial"/>
          <w:sz w:val="18"/>
          <w:szCs w:val="18"/>
          <w:color w:val="auto"/>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92"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04"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88" w:lineRule="exact"/>
        <w:rPr>
          <w:sz w:val="20"/>
          <w:szCs w:val="20"/>
          <w:color w:val="auto"/>
        </w:rPr>
      </w:pPr>
    </w:p>
    <w:p>
      <w:pPr>
        <w:ind w:left="1260" w:right="1079" w:firstLine="360"/>
        <w:spacing w:after="0" w:line="277" w:lineRule="auto"/>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89" w:lineRule="exact"/>
        <w:rPr>
          <w:sz w:val="20"/>
          <w:szCs w:val="20"/>
          <w:color w:val="auto"/>
        </w:rPr>
      </w:pPr>
    </w:p>
    <w:p>
      <w:pPr>
        <w:jc w:val="both"/>
        <w:ind w:left="1980" w:right="819" w:hanging="352"/>
        <w:spacing w:after="0" w:line="263" w:lineRule="auto"/>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w:t>
      </w:r>
    </w:p>
    <w:p>
      <w:pPr>
        <w:sectPr>
          <w:pgSz w:w="11900" w:h="16838" w:orient="portrait"/>
          <w:cols w:equalWidth="0" w:num="1">
            <w:col w:w="10139"/>
          </w:cols>
          <w:pgMar w:left="320" w:top="131" w:right="1440" w:bottom="1440" w:gutter="0" w:footer="0" w:header="0"/>
        </w:sectPr>
      </w:pPr>
    </w:p>
    <w:p>
      <w:pPr>
        <w:spacing w:after="0" w:line="291"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6" w:name="page147"/>
    <w:bookmarkEnd w:id="14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699"/>
        <w:spacing w:after="0" w:line="257" w:lineRule="auto"/>
        <w:rPr>
          <w:sz w:val="20"/>
          <w:szCs w:val="20"/>
          <w:color w:val="auto"/>
        </w:rPr>
      </w:pPr>
      <w:r>
        <w:rPr>
          <w:rFonts w:ascii="Arial" w:cs="Arial" w:eastAsia="Arial" w:hAnsi="Arial"/>
          <w:sz w:val="18"/>
          <w:szCs w:val="18"/>
          <w:color w:val="auto"/>
        </w:rPr>
        <w:t>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61" w:lineRule="exact"/>
        <w:rPr>
          <w:sz w:val="20"/>
          <w:szCs w:val="20"/>
          <w:color w:val="auto"/>
        </w:rPr>
      </w:pPr>
    </w:p>
    <w:p>
      <w:pPr>
        <w:ind w:left="1980" w:right="819" w:hanging="352"/>
        <w:spacing w:after="0" w:line="308" w:lineRule="auto"/>
        <w:tabs>
          <w:tab w:leader="none" w:pos="19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105" w:lineRule="exact"/>
        <w:rPr>
          <w:rFonts w:ascii="Arial" w:cs="Arial" w:eastAsia="Arial" w:hAnsi="Arial"/>
          <w:sz w:val="17"/>
          <w:szCs w:val="17"/>
          <w:color w:val="auto"/>
        </w:rPr>
      </w:pPr>
    </w:p>
    <w:p>
      <w:pPr>
        <w:ind w:left="1980" w:hanging="352"/>
        <w:spacing w:after="0"/>
        <w:tabs>
          <w:tab w:leader="none" w:pos="1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84" w:lineRule="exact"/>
        <w:rPr>
          <w:rFonts w:ascii="Arial" w:cs="Arial" w:eastAsia="Arial" w:hAnsi="Arial"/>
          <w:sz w:val="18"/>
          <w:szCs w:val="18"/>
          <w:color w:val="auto"/>
        </w:rPr>
      </w:pPr>
    </w:p>
    <w:p>
      <w:pPr>
        <w:ind w:left="1980" w:right="999" w:hanging="352"/>
        <w:spacing w:after="0" w:line="277" w:lineRule="auto"/>
        <w:tabs>
          <w:tab w:leader="none" w:pos="1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62"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Singapore Securities and Futures Act Product Classification — Solely for the purposes of its obligations pursuant to Sections 309B(1)(a) and 309B(1)(c) of the SFA, the Company has determined, and hereby notifies all relevant persons (as defined in Section 309A of the SFA)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LEGAL MATTERS</w:t>
      </w:r>
    </w:p>
    <w:p>
      <w:pPr>
        <w:spacing w:after="0" w:line="108"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7"/>
          <w:szCs w:val="17"/>
          <w:color w:val="auto"/>
        </w:rPr>
        <w:t>The validity of the shares of Class A common stock offered hereby will be passed upon for us by Fried, Frank, Harris, Shriver &amp; Jacobson LLP, New York, New York. Legal matters in connection with this offering will be passed upon for the underwriters by Davis Polk &amp; Wardwell LLP, New York, New York.</w:t>
      </w:r>
    </w:p>
    <w:p>
      <w:pPr>
        <w:spacing w:after="0" w:line="148"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CHANGE IN INDEPENDENT REGISTERED PUBLIC ACCOUNTING FIRM</w:t>
      </w:r>
    </w:p>
    <w:p>
      <w:pPr>
        <w:spacing w:after="0" w:line="108"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As a result of the Refinitiv Transaction, PricewaterhouseCoopers LLP, Tradeweb Markets LLC’s independent registered public accounting firm, ceased to be independent with respect to Tradeweb Markets LLC on October 1, 2018. Accordingly, PricewaterhouseCoopers LLP was dismissed as Tradeweb Markets LLC’s independent registered public accounting firm for financial statement periods beginning subsequent to September 30, 2018. The dismissal of PricewaterhouseCoopers LLP became effective upon issuance by PricewaterhouseCoopers LLP of its report on the consolidated financial statements for the nine months ended September 30, 2018 incorporated by reference in this prospectus.</w:t>
      </w:r>
    </w:p>
    <w:p>
      <w:pPr>
        <w:spacing w:after="0" w:line="69" w:lineRule="exact"/>
        <w:rPr>
          <w:sz w:val="20"/>
          <w:szCs w:val="20"/>
          <w:color w:val="auto"/>
        </w:rPr>
      </w:pPr>
    </w:p>
    <w:p>
      <w:pPr>
        <w:ind w:left="1260" w:right="879" w:firstLine="360"/>
        <w:spacing w:after="0" w:line="272" w:lineRule="auto"/>
        <w:rPr>
          <w:sz w:val="20"/>
          <w:szCs w:val="20"/>
          <w:color w:val="auto"/>
        </w:rPr>
      </w:pPr>
      <w:r>
        <w:rPr>
          <w:rFonts w:ascii="Arial" w:cs="Arial" w:eastAsia="Arial" w:hAnsi="Arial"/>
          <w:sz w:val="17"/>
          <w:szCs w:val="17"/>
          <w:color w:val="auto"/>
        </w:rPr>
        <w:t>During the year ended December 31, 2017, and the subsequent interim period through September 30, 2018, (i) there were no “disagreements” between us and PricewaterhouseCoopers LLP (as that term is defined in Item 304(a)(1)(iv) of Regulation S-K) on any matter of accounting principles or practices, financial statement disclosure, or auditing scope or procedure, which disagreements, if not resolved to the satisfaction of PricewaterhouseCoopers LLP, would have caused them to make reference to the subject matter of the disagreements in connection with their reports on the financial statements for such periods, and (ii) there were no “reportable events” as such term is defined in Item 304(a)(1)(v) of Regulation S-K.</w:t>
      </w:r>
    </w:p>
    <w:p>
      <w:pPr>
        <w:spacing w:after="0" w:line="69" w:lineRule="exact"/>
        <w:rPr>
          <w:sz w:val="20"/>
          <w:szCs w:val="20"/>
          <w:color w:val="auto"/>
        </w:rPr>
      </w:pPr>
    </w:p>
    <w:p>
      <w:pPr>
        <w:jc w:val="both"/>
        <w:ind w:left="1260" w:right="819" w:firstLine="360"/>
        <w:spacing w:after="0" w:line="279" w:lineRule="auto"/>
        <w:rPr>
          <w:sz w:val="20"/>
          <w:szCs w:val="20"/>
          <w:color w:val="auto"/>
        </w:rPr>
      </w:pPr>
      <w:r>
        <w:rPr>
          <w:rFonts w:ascii="Arial" w:cs="Arial" w:eastAsia="Arial" w:hAnsi="Arial"/>
          <w:sz w:val="17"/>
          <w:szCs w:val="17"/>
          <w:color w:val="auto"/>
        </w:rPr>
        <w:t>Tradeweb Markets LLC has provided a copy of the above statements to PricewaterhouseCoopers LLP and requested that PricewaterhouseCoopers LLP furnish Tradeweb Markets LLC with a letter addressed to the SEC stating whether or not they agree with the above disclosure. A copy of that letter, dated April 20, 2020, is filed as an exhibit to the registration statement of which this prospectus forms a part.</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On November 11, 2018, Tradeweb Markets Inc. engaged Deloitte &amp; Touche LLP as its independent</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registered public accounting firm, and Tradeweb Markets LLC also engaged Deloitte &amp; Touche LLP as its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independent registered public accounting firm on February 6, 2019. During the fiscal year ended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December 31, 2017 and the subsequent interim period through September 30, 2018, Tradeweb Markets LLC</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(or any person on its behalf) did not consult with Deloitte &amp; Touche LLP regarding any of the matters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described in Items 304(a)(2)(i) or 304(a)(2)(ii)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8" w:name="page149"/>
    <w:bookmarkEnd w:id="14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EXPERTS</w:t>
      </w:r>
    </w:p>
    <w:p>
      <w:pPr>
        <w:spacing w:after="0" w:line="108"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The financial statements of Tradeweb Markets Inc. as of December 31, 2019 and 2018 and for the year ended December 31, 2019 and the period from October 1, 2018 to December 31, 2018 (the “Successor Period”) incorporated in this prospectus by reference from Tradeweb Markets Inc.’s Annual Report on Form 10-K/A for the year ended December 31, 2019, have been audited by Deloitte &amp; Touche LLP, an independent registered public accounting firm, as stated in their report (which report expresses an unqualified opinion on the consolidated financial statements, and includes an emphasis of matter paragraph relating to the Company’s reorganization transactions and initial public offering on April 4, 2019), which is incorporated herein by reference. Such financial statements have been so included in reliance upon the report of such firm given upon their authority as experts in accounting and auditing.</w:t>
      </w:r>
    </w:p>
    <w:p>
      <w:pPr>
        <w:spacing w:after="0" w:line="73" w:lineRule="exact"/>
        <w:rPr>
          <w:sz w:val="20"/>
          <w:szCs w:val="20"/>
          <w:color w:val="auto"/>
        </w:rPr>
      </w:pPr>
    </w:p>
    <w:p>
      <w:pPr>
        <w:ind w:left="1260" w:right="819" w:firstLine="360"/>
        <w:spacing w:after="0" w:line="255" w:lineRule="auto"/>
        <w:rPr>
          <w:rFonts w:ascii="Arial" w:cs="Arial" w:eastAsia="Arial" w:hAnsi="Arial"/>
          <w:sz w:val="18"/>
          <w:szCs w:val="18"/>
          <w:color w:val="0000EE"/>
        </w:rPr>
      </w:pPr>
      <w:r>
        <w:rPr>
          <w:rFonts w:ascii="Arial" w:cs="Arial" w:eastAsia="Arial" w:hAnsi="Arial"/>
          <w:sz w:val="18"/>
          <w:szCs w:val="18"/>
          <w:color w:val="auto"/>
        </w:rPr>
        <w:t xml:space="preserve">The consolidated financial statements of Tradeweb Markets LLC and its subsidiaries for the period from January 1, 2018 to September 30, 2018 and for the year ended December 31, 2017 (the “Predecessor </w:t>
      </w:r>
      <w:hyperlink r:id="rId282">
        <w:r>
          <w:rPr>
            <w:rFonts w:ascii="Arial" w:cs="Arial" w:eastAsia="Arial" w:hAnsi="Arial"/>
            <w:sz w:val="18"/>
            <w:szCs w:val="18"/>
            <w:color w:val="auto"/>
          </w:rPr>
          <w:t xml:space="preserve">Financial Statements”) incorporated in this prospectus by reference to the </w:t>
        </w:r>
        <w:r>
          <w:rPr>
            <w:rFonts w:ascii="Arial" w:cs="Arial" w:eastAsia="Arial" w:hAnsi="Arial"/>
            <w:sz w:val="18"/>
            <w:szCs w:val="18"/>
            <w:u w:val="single" w:color="auto"/>
            <w:color w:val="0000EE"/>
          </w:rPr>
          <w:t>annual report on Form 10-K for</w:t>
        </w:r>
      </w:hyperlink>
      <w:r>
        <w:rPr>
          <w:rFonts w:ascii="Arial" w:cs="Arial" w:eastAsia="Arial" w:hAnsi="Arial"/>
          <w:sz w:val="18"/>
          <w:szCs w:val="18"/>
          <w:color w:val="auto"/>
        </w:rPr>
        <w:t xml:space="preserve"> </w:t>
      </w:r>
      <w:hyperlink r:id="rId282">
        <w:r>
          <w:rPr>
            <w:rFonts w:ascii="Arial" w:cs="Arial" w:eastAsia="Arial" w:hAnsi="Arial"/>
            <w:sz w:val="18"/>
            <w:szCs w:val="18"/>
            <w:u w:val="single" w:color="auto"/>
            <w:color w:val="0000EE"/>
          </w:rPr>
          <w:t>the year ended December 31, 2019</w:t>
        </w:r>
        <w:r>
          <w:rPr>
            <w:rFonts w:ascii="Arial" w:cs="Arial" w:eastAsia="Arial" w:hAnsi="Arial"/>
            <w:sz w:val="18"/>
            <w:szCs w:val="18"/>
            <w:color w:val="0000EE"/>
          </w:rPr>
          <w:t xml:space="preserve"> </w:t>
        </w:r>
        <w:r>
          <w:rPr>
            <w:rFonts w:ascii="Arial" w:cs="Arial" w:eastAsia="Arial" w:hAnsi="Arial"/>
            <w:sz w:val="18"/>
            <w:szCs w:val="18"/>
            <w:color w:val="000000"/>
          </w:rPr>
          <w:t>of Tradeweb Markets Inc., have been so incorporated in reliance on the</w:t>
        </w:r>
      </w:hyperlink>
      <w:r>
        <w:rPr>
          <w:rFonts w:ascii="Arial" w:cs="Arial" w:eastAsia="Arial" w:hAnsi="Arial"/>
          <w:sz w:val="18"/>
          <w:szCs w:val="18"/>
          <w:color w:val="0000EE"/>
        </w:rPr>
        <w:t xml:space="preserve"> </w:t>
      </w:r>
      <w:r>
        <w:rPr>
          <w:rFonts w:ascii="Arial" w:cs="Arial" w:eastAsia="Arial" w:hAnsi="Arial"/>
          <w:sz w:val="18"/>
          <w:szCs w:val="18"/>
          <w:color w:val="000000"/>
        </w:rPr>
        <w:t>report of PricewaterhouseCoopers LLP, an independent registered public accounting firm, given on the authority of said firm as experts in accounting and auditing.</w:t>
      </w:r>
    </w:p>
    <w:p>
      <w:pPr>
        <w:spacing w:after="0" w:line="84"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In connection with the Refinitiv Transaction, PricewaterhouseCoopers LLP completed an independence assessment to evaluate the services and relationships with the Investor Group entities that became affiliates of Tradeweb Markets LLC effective with the closing date of the Refinitiv Transaction that may bear on PricewaterhouseCoopers LLP’s independence under the SEC and the Public Company Accounting Oversight Board (United States) (“PCAOB”) independence rules during the performance of the audit for the audit period commencing on January 1, 2018 through September 30, 2018 (the “Closing Date Audit”). Various services provided to and relationships with entities becoming affiliates of Tradeweb Markets LLC including the investing entities of the Investor Group and sister entities under common control of Blackstone were identified that are inconsistent with the auditor independence rules provided in Rule 2-01 of Regulation S-X. For each of the services and relationships identified, PricewaterhouseCoopers LLP provided to those charged with governance for Tradeweb Markets LLC an overview of the facts and circumstances surrounding the services and relationships, including the entities affected and firms/people involved, the nature and scope of the services ongoing on the closing date of the Refinitiv Transaction that were expected to continue or commence during the performance of the Closing Date Audit, an approximation of the estimated fees to be earned related to those services during the performance of the Closing Date Audit and other relevant factors. PricewaterhouseCoopers LLP noted the business relationships and services became impermissible only as a result of the Refinitiv Transaction and that none of the impermissible services and relationships had or will have any impact on the financial statements of Tradeweb Markets LLC as of and for the period beginning January 1, 2018 through September 30, 2018 subject to PricewaterhouseCoopers LLP’s audit. At no time did PricewaterhouseCoopers LLP audit its own work in the performance of the Closing Date Audit nor did it act as management of Tradeweb Markets LLC. The services and relationships identified included: (i) the provision of tax and due diligence services under impermissible contingent fee arrangements; (ii) the provision of corporate secretarial services and other legal services including global immigration services; (iii) the provision of management functions, including bookkeeping services, loaned staff arrangements, outsourcing services, project management services and the preparation and filing of documents with non-tax authorities; (iv) business relationships (existing and proposed) with certain Blackstone portfolio companies allowing for the joint pursuit of business opportunities to provide performance improvement services and joint pursuit of business opportunities to provide information technology services; (v) an impermissible employment relationship; and (vi) impermissible financial interests by certain PricewaterhouseCoopers territory firms and covered persons not involved in the audits of Tradeweb Markets LLC.</w:t>
      </w:r>
    </w:p>
    <w:p>
      <w:pPr>
        <w:spacing w:after="0" w:line="88"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Based on the totality of the information provided, both individually and in the aggregate, PricewaterhouseCoopers LLP and those charged with governance for Tradeweb Markets LLC concluded that PricewaterhouseCoopers LLP is capable of exercising objective and impartial judgment in connection with the audit of Tradeweb Markets LLC’s financial statements as of and for the period from January 1, 2018 through September 30, 2018.</w:t>
      </w:r>
    </w:p>
    <w:p>
      <w:pPr>
        <w:spacing w:after="0" w:line="2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79" w:firstLine="360"/>
        <w:spacing w:after="0" w:line="254" w:lineRule="auto"/>
        <w:rPr>
          <w:sz w:val="20"/>
          <w:szCs w:val="20"/>
          <w:color w:val="auto"/>
        </w:rPr>
      </w:pPr>
      <w:r>
        <w:rPr>
          <w:rFonts w:ascii="Arial" w:cs="Arial" w:eastAsia="Arial" w:hAnsi="Arial"/>
          <w:sz w:val="18"/>
          <w:szCs w:val="18"/>
          <w:color w:val="auto"/>
        </w:rPr>
        <w:t>Subsequent to completion of the Closing Date Audit, the TWM LLC Agreement was amended and restated to, among other things, (i) provide for LLC Interests and (ii) exchange all of the existing membership interests of Tradeweb Markets LLC’s existing equityholders for LLC Interests. As a result, Tradeweb Markets Inc. filed a Current Report on Form 8-K to adjust retrospectively the audited consolidated financial statements of Tradeweb Markets LLC and its subsidiaries included in Tradeweb Markets Inc.’s final prospectus, dated April 3, 2019, filed with the SEC pursuant to Rule 424(b) under the Securities Act, relating to the IPO, in order to reflect the above-mentioned amendment and resulting recapitalization.</w:t>
      </w:r>
    </w:p>
    <w:p>
      <w:pPr>
        <w:spacing w:after="0" w:line="84"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In connection with the above-described recapitalization, PricewaterhouseCoopers LLP performed additional audit procedures to audit the impact of the recapitalization on the Predecessor Financial Statements and issued a dual-dated opinion on the Predecessor Financial Statements incorporated by reference in this prospectus. Prior to performing the additional audit procedures relating to the recapitalization, PricewaterhouseCoopers LLP reviewed the various services being provided to and relationships with the entities that became affiliates of Tradeweb Markets LLC in connection with the Refinitiv Transaction. PricewaterhouseCoopers LLP identified the services and relationships that were inconsistent with the auditor independence rules provided in Rule 2-01 of Regulation S-X and discussed the matters with those charged with governance for Tradeweb Markets LLC. No services or relationships were identified that were not consistent with the services described above.</w:t>
      </w:r>
    </w:p>
    <w:p>
      <w:pPr>
        <w:spacing w:after="0" w:line="86"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Based on the totality of the information provided, both individually and in the aggregate, PricewaterhouseCoopers LLP and those charged with governance for Tradeweb Markets LLC concluded that PricewaterhouseCoopers LLP is capable of exercising objective and impartial judgment in connection with the performance of the additional audit procedures necessary to audit the impact of the recapitalization on the Predecessor Financial Statements and provide the dual-dated audit opinion on the Predecessor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INCORPORATION BY REFERENCE</w:t>
      </w:r>
    </w:p>
    <w:p>
      <w:pPr>
        <w:spacing w:after="0" w:line="108"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We “incorporate by reference” certain documents we have filed with the SEC, which means that we are disclosing important information to you by referring you to those documents. The information incorporated by reference is an important part of this prospectus, and any information contained in any document incorporated by reference in this prospectus will be deemed to be modified or superseded to the extent that a statement contained in this prospectus or free writing prospectus provided to you in connection with this offering modified or supersedes the original statement. Any statement so modified or superseded will not be deemed, except as so modified or superseded, to be a part of this prospectus. The following documents filed with the SEC are hereby incorporated by reference in this prospectus:</w:t>
      </w:r>
    </w:p>
    <w:p>
      <w:pPr>
        <w:spacing w:after="0" w:line="151" w:lineRule="exact"/>
        <w:rPr>
          <w:sz w:val="20"/>
          <w:szCs w:val="20"/>
          <w:color w:val="auto"/>
        </w:rPr>
      </w:pPr>
    </w:p>
    <w:p>
      <w:pPr>
        <w:ind w:left="1980" w:right="679" w:hanging="352"/>
        <w:spacing w:after="0" w:line="308" w:lineRule="auto"/>
        <w:tabs>
          <w:tab w:leader="none" w:pos="19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Our </w:t>
      </w:r>
      <w:hyperlink r:id="rId282">
        <w:r>
          <w:rPr>
            <w:rFonts w:ascii="Arial" w:cs="Arial" w:eastAsia="Arial" w:hAnsi="Arial"/>
            <w:sz w:val="17"/>
            <w:szCs w:val="17"/>
            <w:u w:val="single" w:color="auto"/>
            <w:color w:val="0000EE"/>
          </w:rPr>
          <w:t>Annual Report on Form 10-K for the fiscal year ended December 31, 2019</w:t>
        </w:r>
      </w:hyperlink>
      <w:r>
        <w:rPr>
          <w:rFonts w:ascii="Arial" w:cs="Arial" w:eastAsia="Arial" w:hAnsi="Arial"/>
          <w:sz w:val="17"/>
          <w:szCs w:val="17"/>
          <w:color w:val="auto"/>
        </w:rPr>
        <w:t xml:space="preserve">, filed with the SEC on February 21, 2020, as amended by Form 10-K/A filed with the SEC on </w:t>
      </w:r>
      <w:hyperlink r:id="rId285">
        <w:r>
          <w:rPr>
            <w:rFonts w:ascii="Arial" w:cs="Arial" w:eastAsia="Arial" w:hAnsi="Arial"/>
            <w:sz w:val="17"/>
            <w:szCs w:val="17"/>
            <w:u w:val="single" w:color="auto"/>
            <w:color w:val="0000EE"/>
          </w:rPr>
          <w:t>March 4, 2020</w:t>
        </w:r>
      </w:hyperlink>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ind w:left="1980" w:right="759" w:hanging="352"/>
        <w:spacing w:after="0" w:line="277" w:lineRule="auto"/>
        <w:tabs>
          <w:tab w:leader="none" w:pos="1980" w:val="left"/>
        </w:tabs>
        <w:numPr>
          <w:ilvl w:val="0"/>
          <w:numId w:val="112"/>
        </w:numPr>
        <w:rPr>
          <w:rFonts w:ascii="Arial" w:cs="Arial" w:eastAsia="Arial" w:hAnsi="Arial"/>
          <w:sz w:val="18"/>
          <w:szCs w:val="18"/>
          <w:color w:val="0000EE"/>
        </w:rPr>
      </w:pPr>
      <w:hyperlink r:id="rId286">
        <w:r>
          <w:rPr>
            <w:rFonts w:ascii="Arial" w:cs="Arial" w:eastAsia="Arial" w:hAnsi="Arial"/>
            <w:sz w:val="18"/>
            <w:szCs w:val="18"/>
            <w:color w:val="auto"/>
          </w:rPr>
          <w:t xml:space="preserve">Those portions of our Definitive Proxy Statement on Schedule 14A filed with the SEC on </w:t>
        </w:r>
        <w:r>
          <w:rPr>
            <w:rFonts w:ascii="Arial" w:cs="Arial" w:eastAsia="Arial" w:hAnsi="Arial"/>
            <w:sz w:val="18"/>
            <w:szCs w:val="18"/>
            <w:u w:val="single" w:color="auto"/>
            <w:color w:val="0000EE"/>
          </w:rPr>
          <w:t>April 9,</w:t>
        </w:r>
      </w:hyperlink>
      <w:r>
        <w:rPr>
          <w:rFonts w:ascii="Arial" w:cs="Arial" w:eastAsia="Arial" w:hAnsi="Arial"/>
          <w:sz w:val="18"/>
          <w:szCs w:val="18"/>
          <w:color w:val="auto"/>
        </w:rPr>
        <w:t xml:space="preserve"> </w:t>
      </w:r>
      <w:hyperlink r:id="rId286">
        <w:r>
          <w:rPr>
            <w:rFonts w:ascii="Arial" w:cs="Arial" w:eastAsia="Arial" w:hAnsi="Arial"/>
            <w:sz w:val="18"/>
            <w:szCs w:val="18"/>
            <w:u w:val="single" w:color="auto"/>
            <w:color w:val="0000EE"/>
          </w:rPr>
          <w:t>2020</w:t>
        </w:r>
        <w:r>
          <w:rPr>
            <w:rFonts w:ascii="Arial" w:cs="Arial" w:eastAsia="Arial" w:hAnsi="Arial"/>
            <w:sz w:val="18"/>
            <w:szCs w:val="18"/>
            <w:color w:val="000000"/>
          </w:rPr>
          <w:t>, which are incorporated by reference in our 2019 Form 10-K; and</w:t>
        </w:r>
      </w:hyperlink>
    </w:p>
    <w:p>
      <w:pPr>
        <w:spacing w:after="0" w:line="129" w:lineRule="exact"/>
        <w:rPr>
          <w:rFonts w:ascii="Arial" w:cs="Arial" w:eastAsia="Arial" w:hAnsi="Arial"/>
          <w:sz w:val="18"/>
          <w:szCs w:val="18"/>
          <w:color w:val="0000EE"/>
        </w:rPr>
      </w:pPr>
    </w:p>
    <w:p>
      <w:pPr>
        <w:ind w:left="1980" w:hanging="352"/>
        <w:spacing w:after="0"/>
        <w:tabs>
          <w:tab w:leader="none" w:pos="1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Our </w:t>
      </w:r>
      <w:hyperlink r:id="rId287">
        <w:r>
          <w:rPr>
            <w:rFonts w:ascii="Arial" w:cs="Arial" w:eastAsia="Arial" w:hAnsi="Arial"/>
            <w:sz w:val="18"/>
            <w:szCs w:val="18"/>
            <w:u w:val="single" w:color="auto"/>
            <w:color w:val="0000EE"/>
          </w:rPr>
          <w:t>Current Report on Form 8-K filed with the SEC on March 26, 2020</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60" w:right="739" w:firstLine="360"/>
        <w:spacing w:after="0" w:line="275" w:lineRule="auto"/>
        <w:rPr>
          <w:sz w:val="20"/>
          <w:szCs w:val="20"/>
          <w:color w:val="auto"/>
        </w:rPr>
      </w:pPr>
      <w:r>
        <w:rPr>
          <w:rFonts w:ascii="Arial" w:cs="Arial" w:eastAsia="Arial" w:hAnsi="Arial"/>
          <w:sz w:val="17"/>
          <w:szCs w:val="17"/>
          <w:color w:val="auto"/>
        </w:rPr>
        <w:t>We hereby undertake to provide without charge to each person, including any beneficial owner, to whom a copy of this prospectus is delivered, upon written or oral request of any such person, a copy of any and all of the information that has been incorporated by reference in this prospectus, other than exhibits to such documents, unless such exhibits have been specifically incorporated by reference thereto. Requests for such copies should be directed to our Investor Relations department, at the following address:</w:t>
      </w:r>
    </w:p>
    <w:p>
      <w:pPr>
        <w:spacing w:after="0" w:line="68" w:lineRule="exact"/>
        <w:rPr>
          <w:rFonts w:ascii="Arial" w:cs="Arial" w:eastAsia="Arial" w:hAnsi="Arial"/>
          <w:sz w:val="18"/>
          <w:szCs w:val="18"/>
          <w:color w:val="auto"/>
        </w:rPr>
      </w:pPr>
    </w:p>
    <w:p>
      <w:pPr>
        <w:jc w:val="center"/>
        <w:ind w:right="-560"/>
        <w:spacing w:after="0"/>
        <w:rPr>
          <w:sz w:val="20"/>
          <w:szCs w:val="20"/>
          <w:color w:val="auto"/>
        </w:rPr>
      </w:pPr>
      <w:r>
        <w:rPr>
          <w:rFonts w:ascii="Arial" w:cs="Arial" w:eastAsia="Arial" w:hAnsi="Arial"/>
          <w:sz w:val="18"/>
          <w:szCs w:val="18"/>
          <w:color w:val="auto"/>
        </w:rPr>
        <w:t>Tradeweb Markets Inc.</w:t>
      </w:r>
    </w:p>
    <w:p>
      <w:pPr>
        <w:spacing w:after="0" w:line="23" w:lineRule="exact"/>
        <w:rPr>
          <w:rFonts w:ascii="Arial" w:cs="Arial" w:eastAsia="Arial" w:hAnsi="Arial"/>
          <w:sz w:val="18"/>
          <w:szCs w:val="18"/>
          <w:color w:val="auto"/>
        </w:rPr>
      </w:pPr>
    </w:p>
    <w:p>
      <w:pPr>
        <w:jc w:val="center"/>
        <w:ind w:right="-560"/>
        <w:spacing w:after="0"/>
        <w:rPr>
          <w:sz w:val="20"/>
          <w:szCs w:val="20"/>
          <w:color w:val="auto"/>
        </w:rPr>
      </w:pPr>
      <w:r>
        <w:rPr>
          <w:rFonts w:ascii="Arial" w:cs="Arial" w:eastAsia="Arial" w:hAnsi="Arial"/>
          <w:sz w:val="18"/>
          <w:szCs w:val="18"/>
          <w:color w:val="auto"/>
        </w:rPr>
        <w:t>1177 Avenue of the Americas</w:t>
      </w:r>
    </w:p>
    <w:p>
      <w:pPr>
        <w:spacing w:after="0" w:line="9" w:lineRule="exact"/>
        <w:rPr>
          <w:rFonts w:ascii="Arial" w:cs="Arial" w:eastAsia="Arial" w:hAnsi="Arial"/>
          <w:sz w:val="18"/>
          <w:szCs w:val="18"/>
          <w:color w:val="auto"/>
        </w:rPr>
      </w:pPr>
    </w:p>
    <w:p>
      <w:pPr>
        <w:jc w:val="center"/>
        <w:ind w:right="-560"/>
        <w:spacing w:after="0"/>
        <w:rPr>
          <w:sz w:val="20"/>
          <w:szCs w:val="20"/>
          <w:color w:val="auto"/>
        </w:rPr>
      </w:pPr>
      <w:r>
        <w:rPr>
          <w:rFonts w:ascii="Arial" w:cs="Arial" w:eastAsia="Arial" w:hAnsi="Arial"/>
          <w:sz w:val="18"/>
          <w:szCs w:val="18"/>
          <w:color w:val="auto"/>
        </w:rPr>
        <w:t>New York, New York 10036</w:t>
      </w:r>
    </w:p>
    <w:p>
      <w:pPr>
        <w:spacing w:after="0" w:line="9" w:lineRule="exact"/>
        <w:rPr>
          <w:rFonts w:ascii="Arial" w:cs="Arial" w:eastAsia="Arial" w:hAnsi="Arial"/>
          <w:sz w:val="18"/>
          <w:szCs w:val="18"/>
          <w:color w:val="auto"/>
        </w:rPr>
      </w:pPr>
    </w:p>
    <w:p>
      <w:pPr>
        <w:jc w:val="center"/>
        <w:ind w:right="-600"/>
        <w:spacing w:after="0"/>
        <w:rPr>
          <w:sz w:val="20"/>
          <w:szCs w:val="20"/>
          <w:color w:val="auto"/>
        </w:rPr>
      </w:pPr>
      <w:r>
        <w:rPr>
          <w:rFonts w:ascii="Arial" w:cs="Arial" w:eastAsia="Arial" w:hAnsi="Arial"/>
          <w:sz w:val="18"/>
          <w:szCs w:val="18"/>
          <w:color w:val="auto"/>
        </w:rPr>
        <w:t>(646) 430-6000</w:t>
      </w:r>
    </w:p>
    <w:p>
      <w:pPr>
        <w:spacing w:after="0" w:line="193" w:lineRule="exact"/>
        <w:rPr>
          <w:rFonts w:ascii="Arial" w:cs="Arial" w:eastAsia="Arial" w:hAnsi="Arial"/>
          <w:sz w:val="18"/>
          <w:szCs w:val="18"/>
          <w:color w:val="auto"/>
        </w:rPr>
      </w:pPr>
    </w:p>
    <w:p>
      <w:pPr>
        <w:jc w:val="center"/>
        <w:ind w:right="-60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08" w:lineRule="exact"/>
        <w:rPr>
          <w:rFonts w:ascii="Arial" w:cs="Arial" w:eastAsia="Arial" w:hAnsi="Arial"/>
          <w:sz w:val="18"/>
          <w:szCs w:val="18"/>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We have filed with the SEC a registration statement on Form S-1, including exhibits and schedules, under the Securities Act with respect to the Class A common stock to be sold in this offering. As allowed by SEC rules, this prospectus, which constitutes a part of the registration statement, does not contain all of the information set forth in the registration statement or the exhibits and schedules that are part of the registration statement. For further information about us and our Class A common stock offered hereby, you should refer to the registration statement, including all amendments, supplements, schedules and exhibits thereto.</w:t>
      </w:r>
    </w:p>
    <w:p>
      <w:pPr>
        <w:spacing w:after="0" w:line="87" w:lineRule="exact"/>
        <w:rPr>
          <w:rFonts w:ascii="Arial" w:cs="Arial" w:eastAsia="Arial" w:hAnsi="Arial"/>
          <w:sz w:val="18"/>
          <w:szCs w:val="18"/>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79" w:lineRule="exact"/>
        <w:rPr>
          <w:rFonts w:ascii="Arial" w:cs="Arial" w:eastAsia="Arial" w:hAnsi="Arial"/>
          <w:sz w:val="18"/>
          <w:szCs w:val="18"/>
          <w:color w:val="auto"/>
        </w:rPr>
      </w:pPr>
    </w:p>
    <w:p>
      <w:pPr>
        <w:ind w:left="1260" w:right="1099" w:firstLine="360"/>
        <w:spacing w:after="0" w:line="277" w:lineRule="auto"/>
        <w:rPr>
          <w:sz w:val="20"/>
          <w:szCs w:val="20"/>
          <w:color w:val="auto"/>
        </w:rPr>
      </w:pPr>
      <w:r>
        <w:rPr>
          <w:rFonts w:ascii="Arial" w:cs="Arial" w:eastAsia="Arial" w:hAnsi="Arial"/>
          <w:sz w:val="18"/>
          <w:szCs w:val="18"/>
          <w:color w:val="auto"/>
        </w:rPr>
        <w:t>We are subject to the information and reporting requirements of the Exchange Act and file annual, quarterly and current reports, proxy statements and other information with the SEC.</w:t>
      </w:r>
    </w:p>
    <w:p>
      <w:pPr>
        <w:spacing w:after="0" w:line="62" w:lineRule="exact"/>
        <w:rPr>
          <w:rFonts w:ascii="Arial" w:cs="Arial" w:eastAsia="Arial" w:hAnsi="Arial"/>
          <w:sz w:val="18"/>
          <w:szCs w:val="18"/>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You can review the registration statement, as well as our SEC filings, by accessing the SEC’s website at www.sec.gov. You may also request copies of those documents, at no cost to you, by contacting us at the following address:</w:t>
      </w:r>
    </w:p>
    <w:p>
      <w:pPr>
        <w:spacing w:after="0" w:line="76" w:lineRule="exact"/>
        <w:rPr>
          <w:rFonts w:ascii="Arial" w:cs="Arial" w:eastAsia="Arial" w:hAnsi="Arial"/>
          <w:sz w:val="18"/>
          <w:szCs w:val="18"/>
          <w:color w:val="auto"/>
        </w:rPr>
      </w:pPr>
    </w:p>
    <w:p>
      <w:pPr>
        <w:jc w:val="center"/>
        <w:ind w:right="-560"/>
        <w:spacing w:after="0"/>
        <w:rPr>
          <w:sz w:val="20"/>
          <w:szCs w:val="20"/>
          <w:color w:val="auto"/>
        </w:rPr>
      </w:pPr>
      <w:r>
        <w:rPr>
          <w:rFonts w:ascii="Arial" w:cs="Arial" w:eastAsia="Arial" w:hAnsi="Arial"/>
          <w:sz w:val="18"/>
          <w:szCs w:val="18"/>
          <w:color w:val="auto"/>
        </w:rPr>
        <w:t>Tradeweb Markets Inc.</w:t>
      </w:r>
    </w:p>
    <w:p>
      <w:pPr>
        <w:spacing w:after="0" w:line="23" w:lineRule="exact"/>
        <w:rPr>
          <w:rFonts w:ascii="Arial" w:cs="Arial" w:eastAsia="Arial" w:hAnsi="Arial"/>
          <w:sz w:val="18"/>
          <w:szCs w:val="18"/>
          <w:color w:val="auto"/>
        </w:rPr>
      </w:pPr>
    </w:p>
    <w:p>
      <w:pPr>
        <w:jc w:val="center"/>
        <w:ind w:right="-560"/>
        <w:spacing w:after="0"/>
        <w:rPr>
          <w:sz w:val="20"/>
          <w:szCs w:val="20"/>
          <w:color w:val="auto"/>
        </w:rPr>
      </w:pPr>
      <w:r>
        <w:rPr>
          <w:rFonts w:ascii="Arial" w:cs="Arial" w:eastAsia="Arial" w:hAnsi="Arial"/>
          <w:sz w:val="18"/>
          <w:szCs w:val="18"/>
          <w:color w:val="auto"/>
        </w:rPr>
        <w:t>1177 Avenue of the Americas</w:t>
      </w:r>
    </w:p>
    <w:p>
      <w:pPr>
        <w:spacing w:after="0" w:line="9" w:lineRule="exact"/>
        <w:rPr>
          <w:rFonts w:ascii="Arial" w:cs="Arial" w:eastAsia="Arial" w:hAnsi="Arial"/>
          <w:sz w:val="18"/>
          <w:szCs w:val="18"/>
          <w:color w:val="auto"/>
        </w:rPr>
      </w:pPr>
    </w:p>
    <w:p>
      <w:pPr>
        <w:jc w:val="center"/>
        <w:ind w:right="-560"/>
        <w:spacing w:after="0"/>
        <w:rPr>
          <w:sz w:val="20"/>
          <w:szCs w:val="20"/>
          <w:color w:val="auto"/>
        </w:rPr>
      </w:pPr>
      <w:r>
        <w:rPr>
          <w:rFonts w:ascii="Arial" w:cs="Arial" w:eastAsia="Arial" w:hAnsi="Arial"/>
          <w:sz w:val="18"/>
          <w:szCs w:val="18"/>
          <w:color w:val="auto"/>
        </w:rPr>
        <w:t>New York, New York 10036</w:t>
      </w:r>
    </w:p>
    <w:p>
      <w:pPr>
        <w:spacing w:after="0" w:line="9" w:lineRule="exact"/>
        <w:rPr>
          <w:rFonts w:ascii="Arial" w:cs="Arial" w:eastAsia="Arial" w:hAnsi="Arial"/>
          <w:sz w:val="18"/>
          <w:szCs w:val="18"/>
          <w:color w:val="auto"/>
        </w:rPr>
      </w:pPr>
    </w:p>
    <w:p>
      <w:pPr>
        <w:jc w:val="center"/>
        <w:ind w:right="-600"/>
        <w:spacing w:after="0"/>
        <w:rPr>
          <w:sz w:val="20"/>
          <w:szCs w:val="20"/>
          <w:color w:val="auto"/>
        </w:rPr>
      </w:pPr>
      <w:r>
        <w:rPr>
          <w:rFonts w:ascii="Arial" w:cs="Arial" w:eastAsia="Arial" w:hAnsi="Arial"/>
          <w:sz w:val="18"/>
          <w:szCs w:val="18"/>
          <w:color w:val="auto"/>
        </w:rPr>
        <w:t>(646) 430-6000</w:t>
      </w:r>
    </w:p>
    <w:p>
      <w:pPr>
        <w:spacing w:after="0" w:line="332" w:lineRule="exact"/>
        <w:rPr>
          <w:rFonts w:ascii="Arial" w:cs="Arial" w:eastAsia="Arial" w:hAnsi="Arial"/>
          <w:sz w:val="18"/>
          <w:szCs w:val="18"/>
          <w:color w:val="auto"/>
        </w:rPr>
      </w:pPr>
    </w:p>
    <w:p>
      <w:pPr>
        <w:ind w:left="5240"/>
        <w:spacing w:after="0"/>
        <w:rPr>
          <w:sz w:val="20"/>
          <w:szCs w:val="20"/>
          <w:color w:val="auto"/>
        </w:rPr>
      </w:pPr>
      <w:r>
        <w:rPr>
          <w:rFonts w:ascii="Arial" w:cs="Arial" w:eastAsia="Arial" w:hAnsi="Arial"/>
          <w:sz w:val="18"/>
          <w:szCs w:val="18"/>
          <w:color w:val="auto"/>
        </w:rPr>
        <w:t>141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1" w:name="page152"/>
    <w:bookmarkEnd w:id="15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6806565" cy="88722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6806565" cy="887222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306070</wp:posOffset>
            </wp:positionV>
            <wp:extent cx="5212080"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365760</wp:posOffset>
            </wp:positionV>
            <wp:extent cx="52120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600"/>
        <w:spacing w:after="0"/>
        <w:rPr>
          <w:sz w:val="20"/>
          <w:szCs w:val="20"/>
          <w:color w:val="auto"/>
        </w:rPr>
      </w:pPr>
      <w:r>
        <w:rPr>
          <w:rFonts w:ascii="Arial" w:cs="Arial" w:eastAsia="Arial" w:hAnsi="Arial"/>
          <w:sz w:val="25"/>
          <w:szCs w:val="25"/>
          <w:b w:val="1"/>
          <w:bCs w:val="1"/>
          <w:color w:val="auto"/>
        </w:rPr>
        <w:t>10,950,000 Shares</w:t>
      </w:r>
    </w:p>
    <w:p>
      <w:pPr>
        <w:spacing w:after="0" w:line="180" w:lineRule="exact"/>
        <w:rPr>
          <w:sz w:val="20"/>
          <w:szCs w:val="20"/>
          <w:color w:val="auto"/>
        </w:rPr>
      </w:pPr>
    </w:p>
    <w:p>
      <w:pPr>
        <w:jc w:val="center"/>
        <w:ind w:right="-600"/>
        <w:spacing w:after="0"/>
        <w:rPr>
          <w:sz w:val="20"/>
          <w:szCs w:val="20"/>
          <w:color w:val="auto"/>
        </w:rPr>
      </w:pPr>
      <w:r>
        <w:rPr>
          <w:rFonts w:ascii="Arial" w:cs="Arial" w:eastAsia="Arial" w:hAnsi="Arial"/>
          <w:sz w:val="32"/>
          <w:szCs w:val="32"/>
          <w:b w:val="1"/>
          <w:bCs w:val="1"/>
          <w:color w:val="auto"/>
        </w:rPr>
        <w:t>Tradeweb Markets Inc.</w:t>
      </w:r>
    </w:p>
    <w:p>
      <w:pPr>
        <w:spacing w:after="0" w:line="204" w:lineRule="exact"/>
        <w:rPr>
          <w:sz w:val="20"/>
          <w:szCs w:val="20"/>
          <w:color w:val="auto"/>
        </w:rPr>
      </w:pPr>
    </w:p>
    <w:p>
      <w:pPr>
        <w:ind w:left="4060"/>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671830</wp:posOffset>
            </wp:positionV>
            <wp:extent cx="1714500" cy="4368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171450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60"/>
        <w:spacing w:after="0"/>
        <w:tabs>
          <w:tab w:leader="none" w:pos="2660" w:val="left"/>
          <w:tab w:leader="none" w:pos="3780" w:val="left"/>
          <w:tab w:leader="none" w:pos="4980" w:val="left"/>
          <w:tab w:leader="none" w:pos="7900" w:val="left"/>
        </w:tabs>
        <w:rPr>
          <w:sz w:val="20"/>
          <w:szCs w:val="20"/>
          <w:color w:val="auto"/>
        </w:rPr>
      </w:pPr>
      <w:r>
        <w:rPr>
          <w:rFonts w:ascii="Arial" w:cs="Arial" w:eastAsia="Arial" w:hAnsi="Arial"/>
          <w:sz w:val="22"/>
          <w:szCs w:val="22"/>
          <w:b w:val="1"/>
          <w:bCs w:val="1"/>
          <w:color w:val="auto"/>
        </w:rPr>
        <w:t>J.P. Morgan</w:t>
        <w:tab/>
        <w:t>Barclays</w:t>
        <w:tab/>
        <w:t>Citigroup</w:t>
        <w:tab/>
        <w:t>Goldman Sachs &amp; Co. LLC</w:t>
      </w:r>
      <w:r>
        <w:rPr>
          <w:sz w:val="20"/>
          <w:szCs w:val="20"/>
          <w:color w:val="auto"/>
        </w:rPr>
        <w:tab/>
      </w:r>
      <w:r>
        <w:rPr>
          <w:rFonts w:ascii="Arial" w:cs="Arial" w:eastAsia="Arial" w:hAnsi="Arial"/>
          <w:sz w:val="19"/>
          <w:szCs w:val="19"/>
          <w:b w:val="1"/>
          <w:bCs w:val="1"/>
          <w:color w:val="auto"/>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2376805</wp:posOffset>
            </wp:positionV>
            <wp:extent cx="52120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2419985</wp:posOffset>
            </wp:positionV>
            <wp:extent cx="5212080"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2685415</wp:posOffset>
            </wp:positionV>
            <wp:extent cx="680656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3" w:name="page154"/>
    <w:bookmarkEnd w:id="15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8" w:lineRule="exact"/>
        <w:rPr>
          <w:sz w:val="20"/>
          <w:szCs w:val="20"/>
          <w:color w:val="auto"/>
        </w:rPr>
      </w:pPr>
    </w:p>
    <w:p>
      <w:pPr>
        <w:ind w:left="1260"/>
        <w:spacing w:after="0"/>
        <w:tabs>
          <w:tab w:leader="none" w:pos="2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08" w:lineRule="exact"/>
        <w:rPr>
          <w:sz w:val="20"/>
          <w:szCs w:val="20"/>
          <w:color w:val="auto"/>
        </w:rPr>
      </w:pPr>
    </w:p>
    <w:p>
      <w:pPr>
        <w:ind w:left="1260" w:right="899" w:firstLine="360"/>
        <w:spacing w:after="0" w:line="257" w:lineRule="auto"/>
        <w:rPr>
          <w:sz w:val="20"/>
          <w:szCs w:val="20"/>
          <w:color w:val="auto"/>
        </w:rPr>
      </w:pPr>
      <w:r>
        <w:rPr>
          <w:rFonts w:ascii="Arial" w:cs="Arial" w:eastAsia="Arial" w:hAnsi="Arial"/>
          <w:sz w:val="18"/>
          <w:szCs w:val="18"/>
          <w:color w:val="auto"/>
        </w:rPr>
        <w:t>The following table sets forth all the costs and expenses, other than underwriting discounts and commissions, payable in connection with the sale of the shares of Class A common stock being registered hereby. Except as otherwise noted, the registrant will pay all of the costs and expenses set forth in the following table. All amounts shown below are estimates, except the SEC registration fee and the FINRA filing fee:</w:t>
      </w:r>
    </w:p>
    <w:p>
      <w:pPr>
        <w:spacing w:after="0" w:line="9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Amount</w:t>
            </w:r>
          </w:p>
        </w:tc>
      </w:tr>
      <w:tr>
        <w:trPr>
          <w:trHeight w:val="26"/>
        </w:trPr>
        <w:tc>
          <w:tcPr>
            <w:tcW w:w="66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87,855</w:t>
            </w:r>
          </w:p>
        </w:tc>
      </w:tr>
      <w:tr>
        <w:trPr>
          <w:trHeight w:val="257"/>
        </w:trPr>
        <w:tc>
          <w:tcPr>
            <w:tcW w:w="664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89,185</w:t>
            </w:r>
          </w:p>
        </w:tc>
      </w:tr>
      <w:tr>
        <w:trPr>
          <w:trHeight w:val="257"/>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shd w:val="clear" w:color="auto" w:fill="CCEEFF"/>
          </w:tcPr>
          <w:p>
            <w:pPr>
              <w:spacing w:after="0"/>
              <w:rPr>
                <w:sz w:val="22"/>
                <w:szCs w:val="22"/>
                <w:color w:val="auto"/>
              </w:rPr>
            </w:pPr>
          </w:p>
        </w:tc>
      </w:tr>
      <w:tr>
        <w:trPr>
          <w:trHeight w:val="257"/>
        </w:trPr>
        <w:tc>
          <w:tcPr>
            <w:tcW w:w="664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2,000,000</w:t>
            </w:r>
          </w:p>
        </w:tc>
        <w:tc>
          <w:tcPr>
            <w:tcW w:w="20" w:type="dxa"/>
            <w:vAlign w:val="bottom"/>
          </w:tcPr>
          <w:p>
            <w:pPr>
              <w:spacing w:after="0"/>
              <w:rPr>
                <w:sz w:val="22"/>
                <w:szCs w:val="22"/>
                <w:color w:val="auto"/>
              </w:rPr>
            </w:pPr>
          </w:p>
        </w:tc>
      </w:tr>
      <w:tr>
        <w:trPr>
          <w:trHeight w:val="25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0" w:type="dxa"/>
            <w:vAlign w:val="bottom"/>
            <w:shd w:val="clear" w:color="auto" w:fill="CCEEFF"/>
          </w:tcPr>
          <w:p>
            <w:pPr>
              <w:spacing w:after="0"/>
              <w:rPr>
                <w:sz w:val="22"/>
                <w:szCs w:val="22"/>
                <w:color w:val="auto"/>
              </w:rPr>
            </w:pPr>
          </w:p>
        </w:tc>
      </w:tr>
      <w:tr>
        <w:trPr>
          <w:trHeight w:val="257"/>
        </w:trPr>
        <w:tc>
          <w:tcPr>
            <w:tcW w:w="6640" w:type="dxa"/>
            <w:vAlign w:val="bottom"/>
            <w:gridSpan w:val="2"/>
          </w:tcPr>
          <w:p>
            <w:pPr>
              <w:spacing w:after="0"/>
              <w:rPr>
                <w:sz w:val="20"/>
                <w:szCs w:val="20"/>
                <w:color w:val="auto"/>
              </w:rPr>
            </w:pPr>
            <w:r>
              <w:rPr>
                <w:rFonts w:ascii="Arial" w:cs="Arial" w:eastAsia="Arial" w:hAnsi="Arial"/>
                <w:sz w:val="18"/>
                <w:szCs w:val="18"/>
                <w:color w:val="auto"/>
              </w:rPr>
              <w:t>Transfer agent and registrar fees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11,000</w:t>
            </w:r>
          </w:p>
        </w:tc>
        <w:tc>
          <w:tcPr>
            <w:tcW w:w="20" w:type="dxa"/>
            <w:vAlign w:val="bottom"/>
          </w:tcPr>
          <w:p>
            <w:pPr>
              <w:spacing w:after="0"/>
              <w:rPr>
                <w:sz w:val="22"/>
                <w:szCs w:val="22"/>
                <w:color w:val="auto"/>
              </w:rPr>
            </w:pPr>
          </w:p>
        </w:tc>
      </w:tr>
      <w:tr>
        <w:trPr>
          <w:trHeight w:val="263"/>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590,135</w:t>
            </w:r>
          </w:p>
        </w:tc>
        <w:tc>
          <w:tcPr>
            <w:tcW w:w="20" w:type="dxa"/>
            <w:vAlign w:val="bottom"/>
            <w:shd w:val="clear" w:color="auto" w:fill="CCEEFF"/>
          </w:tcPr>
          <w:p>
            <w:pPr>
              <w:spacing w:after="0"/>
              <w:rPr>
                <w:sz w:val="22"/>
                <w:szCs w:val="22"/>
                <w:color w:val="auto"/>
              </w:rPr>
            </w:pPr>
          </w:p>
        </w:tc>
      </w:tr>
      <w:tr>
        <w:trPr>
          <w:trHeight w:val="263"/>
        </w:trPr>
        <w:tc>
          <w:tcPr>
            <w:tcW w:w="6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3,053,175</w:t>
            </w:r>
          </w:p>
        </w:tc>
        <w:tc>
          <w:tcPr>
            <w:tcW w:w="20" w:type="dxa"/>
            <w:vAlign w:val="bottom"/>
          </w:tcPr>
          <w:p>
            <w:pPr>
              <w:spacing w:after="0"/>
              <w:rPr>
                <w:sz w:val="22"/>
                <w:szCs w:val="22"/>
                <w:color w:val="auto"/>
              </w:rPr>
            </w:pPr>
          </w:p>
        </w:tc>
      </w:tr>
      <w:tr>
        <w:trPr>
          <w:trHeight w:val="20"/>
        </w:trPr>
        <w:tc>
          <w:tcPr>
            <w:tcW w:w="6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-205105</wp:posOffset>
            </wp:positionV>
            <wp:extent cx="1714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-1362710</wp:posOffset>
            </wp:positionV>
            <wp:extent cx="41916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4191635" cy="8255"/>
                    </a:xfrm>
                    <a:prstGeom prst="rect">
                      <a:avLst/>
                    </a:prstGeom>
                    <a:noFill/>
                  </pic:spPr>
                </pic:pic>
              </a:graphicData>
            </a:graphic>
          </wp:anchor>
        </w:drawing>
      </w:r>
    </w:p>
    <w:p>
      <w:pPr>
        <w:spacing w:after="0" w:line="326" w:lineRule="exact"/>
        <w:rPr>
          <w:sz w:val="20"/>
          <w:szCs w:val="20"/>
          <w:color w:val="auto"/>
        </w:rPr>
      </w:pPr>
    </w:p>
    <w:p>
      <w:pPr>
        <w:ind w:left="1260"/>
        <w:spacing w:after="0"/>
        <w:tabs>
          <w:tab w:leader="none" w:pos="2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Indemnification of Directors and Officers</w:t>
      </w:r>
    </w:p>
    <w:p>
      <w:pPr>
        <w:spacing w:after="0" w:line="108" w:lineRule="exact"/>
        <w:rPr>
          <w:sz w:val="20"/>
          <w:szCs w:val="20"/>
          <w:color w:val="auto"/>
        </w:rPr>
      </w:pPr>
    </w:p>
    <w:p>
      <w:pPr>
        <w:ind w:left="1260" w:right="799" w:firstLine="360"/>
        <w:spacing w:after="0" w:line="253" w:lineRule="auto"/>
        <w:rPr>
          <w:sz w:val="20"/>
          <w:szCs w:val="20"/>
          <w:color w:val="auto"/>
        </w:rPr>
      </w:pPr>
      <w:r>
        <w:rPr>
          <w:rFonts w:ascii="Arial" w:cs="Arial" w:eastAsia="Arial" w:hAnsi="Arial"/>
          <w:sz w:val="18"/>
          <w:szCs w:val="18"/>
          <w:color w:val="auto"/>
        </w:rPr>
        <w:t>Tradeweb Markets Inc. is incorporated under the laws of the state of Delaware. Section 102 of the Delaware General Corporation Law, as amended (the “DGCL”), allows a corporation to eliminate the personal liability of a director to the corporation or its stockholders for monetary damages for breach of fiduciary duty as a director, except in cases where the director breached his or her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The registrant’s amended and restated certificate of incorporation contains a provision which eliminates directors’ personal liability as set forth above.</w:t>
      </w:r>
    </w:p>
    <w:p>
      <w:pPr>
        <w:spacing w:after="0" w:line="88"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color w:val="auto"/>
        </w:rPr>
        <w:t>Section 145 of the DGCL provides that a Delaware corporation has the power to indemnify its directors, officers, employees, and agents in certain circumstances. Subsection (a) of Section 145 of the DGCL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74"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Subsection (b) of Section 145 of the DGCL empowers a corporation to indemnify any director, officer, employee or agent, or former director, officer, employee or agent,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in connection with the defense or settlement of such action or suit provided that such person acted in good faith and in a manner he or she reasonably believed to be in or not opposed to the best interests of the corporation, except that no indemnification may be made in respect of any claim, issue or matter as to which such</w:t>
      </w: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59" w:lineRule="auto"/>
        <w:rPr>
          <w:sz w:val="20"/>
          <w:szCs w:val="20"/>
          <w:color w:val="auto"/>
        </w:rPr>
      </w:pPr>
      <w:r>
        <w:rPr>
          <w:rFonts w:ascii="Arial" w:cs="Arial" w:eastAsia="Arial" w:hAnsi="Arial"/>
          <w:sz w:val="18"/>
          <w:szCs w:val="18"/>
          <w:color w:val="auto"/>
        </w:rPr>
        <w:t>person shall have been adjudged to be liable to the corporation unless and only to the extent that the Court of Chancery or the court in which such action or suit was brought shall determine that despite the adjudication of liability such person is fairly and reasonably entitled to indemnity for such expenses which the court shall deem proper.</w:t>
      </w:r>
    </w:p>
    <w:p>
      <w:pPr>
        <w:spacing w:after="0" w:line="79" w:lineRule="exact"/>
        <w:rPr>
          <w:sz w:val="20"/>
          <w:szCs w:val="20"/>
          <w:color w:val="auto"/>
        </w:rPr>
      </w:pPr>
    </w:p>
    <w:p>
      <w:pPr>
        <w:ind w:left="1260" w:right="939" w:firstLine="360"/>
        <w:spacing w:after="0" w:line="291" w:lineRule="auto"/>
        <w:rPr>
          <w:sz w:val="20"/>
          <w:szCs w:val="20"/>
          <w:color w:val="auto"/>
        </w:rPr>
      </w:pPr>
      <w:r>
        <w:rPr>
          <w:rFonts w:ascii="Arial" w:cs="Arial" w:eastAsia="Arial" w:hAnsi="Arial"/>
          <w:sz w:val="16"/>
          <w:szCs w:val="16"/>
          <w:color w:val="auto"/>
        </w:rPr>
        <w:t>Section 145 further provides that to the extent that a present or former director or officer of a corporation has been successful in the defense of any action, suit or proceeding referred to in subsections</w:t>
      </w:r>
    </w:p>
    <w:p>
      <w:pPr>
        <w:ind w:left="1260" w:right="719" w:firstLine="8"/>
        <w:spacing w:after="0" w:line="267" w:lineRule="auto"/>
        <w:tabs>
          <w:tab w:leader="none" w:pos="1519"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and (b) of Section 145 or in the defense of any claim, issue or matter therein, he or she shall be indemnified against expenses (including attorneys’ fees) actually and reasonably incurred by him or her in connection therewith; that indemnification provided by Section 145 shall not be deemed exclusive of any other rights to which the party seeking indemnification may be entitled; that the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and that, unless indemnification is ordered by a court, the determination that indemnification under subsections (a) and (b) of Section 145 is proper because the director, officer, employee or agent has met the applicable standard of conduct under such subsections shall be made by (1) a majority vote of the directors who are not parties to such action, suit or proceeding (or a committee of such directors designated by majority vote of such directors), even though less than a quorum, or (2) if there are no such directors, or if such directors so direct, by independent legal counsel in a written opinion, or (3) by the stockholders.</w:t>
      </w:r>
    </w:p>
    <w:p>
      <w:pPr>
        <w:spacing w:after="0" w:line="73"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color w:val="auto"/>
        </w:rPr>
        <w:t>The registrant’s amended and restated certificate of incorporation and amended and restated bylaws provide that the registrant shall indemnify its directors and officers to the extent permitted by the Delaware law. The right to indemnification conferred by the registrant’s amended and restated certificate of incorporation and amended and restated bylaws also includes the right to be paid the expenses (including attorneys’ fees) incurred by a present or former director or officer in defending any civil, criminal, administrative, or investigative action, suit, or proceeding in advance of its final disposition, provided, however, that if the Delaware law requires, an advancement of expenses incurred by a director or officer in his or her capacity as a director or officer shall be made only upon delivery to the registrant of an undertaking by or on behalf of such director or officer to repay all amounts so advanced if it is ultimately determined that such person is not entitled to be indemnified for such expenses under the registrant’s amended and restated certificate of incorporation, amended and restated bylaws, or otherwise.</w:t>
      </w:r>
    </w:p>
    <w:p>
      <w:pPr>
        <w:spacing w:after="0" w:line="74"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The registrant has entered into indemnification agreements with each of its directors and executive officers. These agreements require the registrant to indemnify these individuals to the fullest extent permitted under Delaware law against liabilities that may arise by reason of their service to the registrant, and to advance expenses incurred as a result of any action, suit, or proceeding against them as to which they could be indemnified.</w:t>
      </w:r>
    </w:p>
    <w:p>
      <w:pPr>
        <w:spacing w:after="0" w:line="80"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In addition, the registrant has in effect insurance policies for general officers’ and directors’ liability insurance covering all of its officers and directors.</w:t>
      </w:r>
    </w:p>
    <w:p>
      <w:pPr>
        <w:spacing w:after="0" w:line="153" w:lineRule="exact"/>
        <w:rPr>
          <w:sz w:val="20"/>
          <w:szCs w:val="20"/>
          <w:color w:val="auto"/>
        </w:rPr>
      </w:pPr>
    </w:p>
    <w:p>
      <w:pPr>
        <w:ind w:left="1260"/>
        <w:spacing w:after="0"/>
        <w:tabs>
          <w:tab w:leader="none" w:pos="2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Recent Sales of Unregistered Securities</w:t>
      </w:r>
    </w:p>
    <w:p>
      <w:pPr>
        <w:spacing w:after="0" w:line="108"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In connection with the reorganization transactions (the “Reorganization Transactions”) completed in connection with its initial public offering, the registrant, among other things, issued an aggregate of 96,933,192 shares of Class B common stock, par value $0.00001 per share (the “Class B common stock”), to Refinitiv Parent Limited. In addition, in connection with the Reorganization Transactions, the registrant issued 20,000,000 shares of Class C common stock, par value $0.00001 per share (the “Class C common stock”), and 105,289,005 shares of Class D common stock, par value $0.00001 per share (the “Class D common stock”), to existing equityholders of Tradeweb Markets LLC. These equityholders also received newly issued common membership units (“LLC Interests”) of Tradeweb Markets LLC and an immaterial amount of cash in lieu of the issuance of any fractional interests. Holders of Class B common stock may from time to time exchange all or a portion of their shares of Class B common stock for newly issued shares of Class A common stock on a one-for-one basis. In addition, the LLC Interests issued to the existing equityholders of Tradeweb Markets LLC are redeemable for newly issued shares of Class A common stock, par value $0.00001 per share, or Class B common stock on a one-for-one basis. For further information, see</w:t>
      </w:r>
    </w:p>
    <w:p>
      <w:pPr>
        <w:spacing w:after="0" w:line="2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5" w:name="page156"/>
    <w:bookmarkEnd w:id="15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spacing w:after="0" w:line="259" w:lineRule="auto"/>
        <w:rPr>
          <w:sz w:val="20"/>
          <w:szCs w:val="20"/>
          <w:color w:val="auto"/>
        </w:rPr>
      </w:pPr>
      <w:r>
        <w:rPr>
          <w:rFonts w:ascii="Arial" w:cs="Arial" w:eastAsia="Arial" w:hAnsi="Arial"/>
          <w:sz w:val="18"/>
          <w:szCs w:val="18"/>
          <w:color w:val="auto"/>
        </w:rPr>
        <w:t>“Description of Capital Stock.” The issuances of the Class B common stock, Class C common stock and Class D common stock described in this paragraph were made in reliance on Section 4(a)(2) of the Securities Act. The registrant relied on this exemption from registration based in part on the nature of the transactions and the various representations made by the parties thereto.</w:t>
      </w:r>
    </w:p>
    <w:p>
      <w:pPr>
        <w:spacing w:after="0" w:line="79" w:lineRule="exact"/>
        <w:rPr>
          <w:sz w:val="20"/>
          <w:szCs w:val="20"/>
          <w:color w:val="auto"/>
        </w:rPr>
      </w:pPr>
    </w:p>
    <w:p>
      <w:pPr>
        <w:ind w:left="1260" w:right="959" w:firstLine="360"/>
        <w:spacing w:after="0" w:line="259" w:lineRule="auto"/>
        <w:rPr>
          <w:sz w:val="20"/>
          <w:szCs w:val="20"/>
          <w:color w:val="auto"/>
        </w:rPr>
      </w:pPr>
      <w:r>
        <w:rPr>
          <w:rFonts w:ascii="Arial" w:cs="Arial" w:eastAsia="Arial" w:hAnsi="Arial"/>
          <w:sz w:val="18"/>
          <w:szCs w:val="18"/>
          <w:color w:val="auto"/>
        </w:rPr>
        <w:t>On November 7, 2018, in connection with its formation, the registrant issued 100 shares of common stock, par value $0.01 per share, to an officer of the registrant in exchange for $100. The issuance was exempt from registration under Section 4(a)(2) of the Securities Act as a transaction by an issuer not involving any public offering.</w:t>
      </w:r>
    </w:p>
    <w:p>
      <w:pPr>
        <w:spacing w:after="0" w:line="169" w:lineRule="exact"/>
        <w:rPr>
          <w:sz w:val="20"/>
          <w:szCs w:val="20"/>
          <w:color w:val="auto"/>
        </w:rPr>
      </w:pPr>
    </w:p>
    <w:p>
      <w:pPr>
        <w:ind w:left="1260"/>
        <w:spacing w:after="0"/>
        <w:tabs>
          <w:tab w:leader="none" w:pos="20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48" w:lineRule="exact"/>
        <w:rPr>
          <w:sz w:val="20"/>
          <w:szCs w:val="20"/>
          <w:color w:val="auto"/>
        </w:rPr>
      </w:pPr>
    </w:p>
    <w:p>
      <w:pPr>
        <w:ind w:left="1620"/>
        <w:spacing w:after="0"/>
        <w:tabs>
          <w:tab w:leader="none" w:pos="19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Exhibits.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exhibit index attached hereto is incorporated herein by reference.</w:t>
      </w:r>
    </w:p>
    <w:p>
      <w:pPr>
        <w:spacing w:after="0" w:line="171" w:lineRule="exact"/>
        <w:rPr>
          <w:sz w:val="20"/>
          <w:szCs w:val="20"/>
          <w:color w:val="auto"/>
        </w:rPr>
      </w:pPr>
    </w:p>
    <w:p>
      <w:pPr>
        <w:ind w:left="1620"/>
        <w:spacing w:after="0"/>
        <w:tabs>
          <w:tab w:leader="none" w:pos="19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Financial Statement Schedules.</w:t>
      </w:r>
    </w:p>
    <w:p>
      <w:pPr>
        <w:spacing w:after="0" w:line="117"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All schedules have been omitted because the information required to be set forth in the schedules is either not applicable or is shown in the financial statements or notes thereto.</w:t>
      </w:r>
    </w:p>
    <w:p>
      <w:pPr>
        <w:spacing w:after="0" w:line="153" w:lineRule="exact"/>
        <w:rPr>
          <w:sz w:val="20"/>
          <w:szCs w:val="20"/>
          <w:color w:val="auto"/>
        </w:rPr>
      </w:pPr>
    </w:p>
    <w:p>
      <w:pPr>
        <w:ind w:left="1260"/>
        <w:spacing w:after="0"/>
        <w:tabs>
          <w:tab w:leader="none" w:pos="20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08" w:lineRule="exact"/>
        <w:rPr>
          <w:sz w:val="20"/>
          <w:szCs w:val="20"/>
          <w:color w:val="auto"/>
        </w:rPr>
      </w:pPr>
    </w:p>
    <w:p>
      <w:pPr>
        <w:jc w:val="both"/>
        <w:ind w:left="1260" w:right="799" w:firstLine="360"/>
        <w:spacing w:after="0" w:line="263"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6"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undersigned registrant hereby undertakes that:</w:t>
      </w:r>
    </w:p>
    <w:p>
      <w:pPr>
        <w:spacing w:after="0" w:line="171" w:lineRule="exact"/>
        <w:rPr>
          <w:sz w:val="20"/>
          <w:szCs w:val="20"/>
          <w:color w:val="auto"/>
        </w:rPr>
      </w:pPr>
    </w:p>
    <w:p>
      <w:pPr>
        <w:ind w:left="1980" w:right="659" w:hanging="352"/>
        <w:spacing w:after="0" w:line="257" w:lineRule="auto"/>
        <w:tabs>
          <w:tab w:leader="none" w:pos="1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33" w:lineRule="exact"/>
        <w:rPr>
          <w:rFonts w:ascii="Arial" w:cs="Arial" w:eastAsia="Arial" w:hAnsi="Arial"/>
          <w:sz w:val="18"/>
          <w:szCs w:val="18"/>
          <w:color w:val="auto"/>
        </w:rPr>
      </w:pPr>
    </w:p>
    <w:p>
      <w:pPr>
        <w:ind w:left="1980" w:right="819" w:hanging="352"/>
        <w:spacing w:after="0" w:line="259" w:lineRule="auto"/>
        <w:tabs>
          <w:tab w:leader="none" w:pos="1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100" w:type="dxa"/>
            <w:vAlign w:val="bottom"/>
            <w:gridSpan w:val="24"/>
          </w:tcPr>
          <w:p>
            <w:pPr>
              <w:ind w:left="60"/>
              <w:spacing w:after="0"/>
              <w:rPr>
                <w:sz w:val="20"/>
                <w:szCs w:val="20"/>
                <w:color w:val="auto"/>
              </w:rPr>
            </w:pPr>
            <w:r>
              <w:rPr>
                <w:rFonts w:ascii="Arial" w:cs="Arial" w:eastAsia="Arial" w:hAnsi="Arial"/>
                <w:sz w:val="18"/>
                <w:szCs w:val="18"/>
                <w:b w:val="1"/>
                <w:bCs w:val="1"/>
                <w:color w:val="auto"/>
              </w:rPr>
              <w:t>INDEX TO EXHIBITS</w:t>
            </w:r>
          </w:p>
        </w:tc>
      </w:tr>
      <w:tr>
        <w:trPr>
          <w:trHeight w:val="278"/>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00" w:type="dxa"/>
            <w:vAlign w:val="bottom"/>
            <w:gridSpan w:val="24"/>
          </w:tcPr>
          <w:p>
            <w:pPr>
              <w:ind w:left="840"/>
              <w:spacing w:after="0"/>
              <w:rPr>
                <w:sz w:val="20"/>
                <w:szCs w:val="20"/>
                <w:color w:val="auto"/>
              </w:rPr>
            </w:pPr>
            <w:r>
              <w:rPr>
                <w:rFonts w:ascii="Arial" w:cs="Arial" w:eastAsia="Arial" w:hAnsi="Arial"/>
                <w:sz w:val="14"/>
                <w:szCs w:val="14"/>
                <w:b w:val="1"/>
                <w:bCs w:val="1"/>
                <w:color w:val="auto"/>
              </w:rPr>
              <w:t>Exhibit Description</w:t>
            </w:r>
          </w:p>
        </w:tc>
      </w:tr>
      <w:tr>
        <w:trPr>
          <w:trHeight w:val="201"/>
        </w:trPr>
        <w:tc>
          <w:tcPr>
            <w:tcW w:w="760" w:type="dxa"/>
            <w:vAlign w:val="bottom"/>
            <w:tcBorders>
              <w:top w:val="single" w:sz="8" w:color="auto"/>
            </w:tcBorders>
          </w:tcPr>
          <w:p>
            <w:pPr>
              <w:spacing w:after="0" w:line="201" w:lineRule="exact"/>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1.1</w:t>
              </w:r>
            </w:hyperlink>
          </w:p>
        </w:tc>
        <w:tc>
          <w:tcPr>
            <w:tcW w:w="220" w:type="dxa"/>
            <w:vAlign w:val="bottom"/>
          </w:tcPr>
          <w:p>
            <w:pPr>
              <w:spacing w:after="0"/>
              <w:rPr>
                <w:sz w:val="17"/>
                <w:szCs w:val="17"/>
                <w:color w:val="auto"/>
              </w:rPr>
            </w:pPr>
          </w:p>
        </w:tc>
        <w:tc>
          <w:tcPr>
            <w:tcW w:w="7240" w:type="dxa"/>
            <w:vAlign w:val="bottom"/>
            <w:tcBorders>
              <w:top w:val="single" w:sz="8" w:color="auto"/>
            </w:tcBorders>
            <w:gridSpan w:val="28"/>
          </w:tcPr>
          <w:p>
            <w:pPr>
              <w:spacing w:after="0" w:line="201" w:lineRule="exact"/>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Form of Underwriting Agreement.</w:t>
              </w:r>
            </w:hyperlink>
          </w:p>
        </w:tc>
      </w:tr>
      <w:tr>
        <w:trPr>
          <w:trHeight w:val="190"/>
        </w:trPr>
        <w:tc>
          <w:tcPr>
            <w:tcW w:w="760" w:type="dxa"/>
            <w:vAlign w:val="bottom"/>
          </w:tcPr>
          <w:p>
            <w:pPr>
              <w:spacing w:after="0" w:line="190" w:lineRule="exact"/>
              <w:rPr>
                <w:rFonts w:ascii="Arial" w:cs="Arial" w:eastAsia="Arial" w:hAnsi="Arial"/>
                <w:sz w:val="18"/>
                <w:szCs w:val="18"/>
                <w:u w:val="single" w:color="auto"/>
                <w:color w:val="0000EE"/>
              </w:rPr>
            </w:pPr>
            <w:hyperlink r:id="rId301">
              <w:r>
                <w:rPr>
                  <w:rFonts w:ascii="Arial" w:cs="Arial" w:eastAsia="Arial" w:hAnsi="Arial"/>
                  <w:sz w:val="18"/>
                  <w:szCs w:val="18"/>
                  <w:u w:val="single" w:color="auto"/>
                  <w:color w:val="0000EE"/>
                </w:rPr>
                <w:t>3.1</w:t>
              </w:r>
            </w:hyperlink>
          </w:p>
        </w:tc>
        <w:tc>
          <w:tcPr>
            <w:tcW w:w="220" w:type="dxa"/>
            <w:vAlign w:val="bottom"/>
          </w:tcPr>
          <w:p>
            <w:pPr>
              <w:spacing w:after="0"/>
              <w:rPr>
                <w:sz w:val="16"/>
                <w:szCs w:val="16"/>
                <w:color w:val="auto"/>
              </w:rPr>
            </w:pPr>
          </w:p>
        </w:tc>
        <w:tc>
          <w:tcPr>
            <w:tcW w:w="7180" w:type="dxa"/>
            <w:vAlign w:val="bottom"/>
            <w:tcBorders>
              <w:bottom w:val="single" w:sz="8" w:color="0000EE"/>
            </w:tcBorders>
            <w:gridSpan w:val="26"/>
          </w:tcPr>
          <w:p>
            <w:pPr>
              <w:spacing w:after="0" w:line="190" w:lineRule="exact"/>
              <w:rPr>
                <w:rFonts w:ascii="Arial" w:cs="Arial" w:eastAsia="Arial" w:hAnsi="Arial"/>
                <w:sz w:val="18"/>
                <w:szCs w:val="18"/>
                <w:color w:val="0000EE"/>
                <w:w w:val="95"/>
              </w:rPr>
            </w:pPr>
            <w:hyperlink r:id="rId301">
              <w:r>
                <w:rPr>
                  <w:rFonts w:ascii="Arial" w:cs="Arial" w:eastAsia="Arial" w:hAnsi="Arial"/>
                  <w:sz w:val="18"/>
                  <w:szCs w:val="18"/>
                  <w:color w:val="0000EE"/>
                  <w:w w:val="95"/>
                </w:rPr>
                <w:t>Amended and Restated Certificate of Incorporation of Tradeweb Markets Inc. (incorporated by</w:t>
              </w:r>
            </w:hyperlink>
          </w:p>
        </w:tc>
        <w:tc>
          <w:tcPr>
            <w:tcW w:w="60" w:type="dxa"/>
            <w:vAlign w:val="bottom"/>
            <w:gridSpan w:val="2"/>
          </w:tcPr>
          <w:p>
            <w:pPr>
              <w:spacing w:after="0"/>
              <w:rPr>
                <w:sz w:val="16"/>
                <w:szCs w:val="16"/>
                <w:color w:val="auto"/>
              </w:rPr>
            </w:pP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80" w:type="dxa"/>
            <w:vAlign w:val="bottom"/>
            <w:tcBorders>
              <w:bottom w:val="single" w:sz="8" w:color="0000EE"/>
            </w:tcBorders>
            <w:gridSpan w:val="22"/>
          </w:tcPr>
          <w:p>
            <w:pPr>
              <w:spacing w:after="0" w:line="196" w:lineRule="exact"/>
              <w:rPr>
                <w:rFonts w:ascii="Arial" w:cs="Arial" w:eastAsia="Arial" w:hAnsi="Arial"/>
                <w:sz w:val="18"/>
                <w:szCs w:val="18"/>
                <w:color w:val="0000EE"/>
                <w:w w:val="96"/>
              </w:rPr>
            </w:pPr>
            <w:hyperlink r:id="rId301">
              <w:r>
                <w:rPr>
                  <w:rFonts w:ascii="Arial" w:cs="Arial" w:eastAsia="Arial" w:hAnsi="Arial"/>
                  <w:sz w:val="18"/>
                  <w:szCs w:val="18"/>
                  <w:color w:val="0000EE"/>
                  <w:w w:val="96"/>
                </w:rPr>
                <w:t>reference to Exhibit 3.1 to the Company’s Current Report on Form 8-K filed on April 9, 2019</w:t>
              </w:r>
            </w:hyperlink>
          </w:p>
        </w:tc>
        <w:tc>
          <w:tcPr>
            <w:tcW w:w="160" w:type="dxa"/>
            <w:vAlign w:val="bottom"/>
            <w:gridSpan w:val="6"/>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r:id="rId301">
              <w:r>
                <w:rPr>
                  <w:rFonts w:ascii="Arial" w:cs="Arial" w:eastAsia="Arial" w:hAnsi="Arial"/>
                  <w:sz w:val="18"/>
                  <w:szCs w:val="18"/>
                  <w:color w:val="0000EE"/>
                  <w:w w:val="96"/>
                </w:rPr>
                <w:t>(File No. 001-38860)).</w:t>
              </w:r>
            </w:hyperlink>
          </w:p>
        </w:tc>
        <w:tc>
          <w:tcPr>
            <w:tcW w:w="5520" w:type="dxa"/>
            <w:vAlign w:val="bottom"/>
            <w:gridSpan w:val="25"/>
          </w:tcPr>
          <w:p>
            <w:pPr>
              <w:spacing w:after="0"/>
              <w:rPr>
                <w:sz w:val="17"/>
                <w:szCs w:val="17"/>
                <w:color w:val="auto"/>
              </w:rPr>
            </w:pPr>
          </w:p>
        </w:tc>
      </w:tr>
      <w:tr>
        <w:trPr>
          <w:trHeight w:val="196"/>
        </w:trPr>
        <w:tc>
          <w:tcPr>
            <w:tcW w:w="760" w:type="dxa"/>
            <w:vAlign w:val="bottom"/>
          </w:tcPr>
          <w:p>
            <w:pPr>
              <w:spacing w:after="0" w:line="196" w:lineRule="exact"/>
              <w:rPr>
                <w:rFonts w:ascii="Arial" w:cs="Arial" w:eastAsia="Arial" w:hAnsi="Arial"/>
                <w:sz w:val="18"/>
                <w:szCs w:val="18"/>
                <w:u w:val="single" w:color="auto"/>
                <w:color w:val="0000EE"/>
              </w:rPr>
            </w:pPr>
            <w:hyperlink r:id="rId302">
              <w:r>
                <w:rPr>
                  <w:rFonts w:ascii="Arial" w:cs="Arial" w:eastAsia="Arial" w:hAnsi="Arial"/>
                  <w:sz w:val="18"/>
                  <w:szCs w:val="18"/>
                  <w:u w:val="single" w:color="auto"/>
                  <w:color w:val="0000EE"/>
                </w:rPr>
                <w:t>3.2</w:t>
              </w:r>
            </w:hyperlink>
          </w:p>
        </w:tc>
        <w:tc>
          <w:tcPr>
            <w:tcW w:w="220" w:type="dxa"/>
            <w:vAlign w:val="bottom"/>
          </w:tcPr>
          <w:p>
            <w:pPr>
              <w:spacing w:after="0"/>
              <w:rPr>
                <w:sz w:val="17"/>
                <w:szCs w:val="17"/>
                <w:color w:val="auto"/>
              </w:rPr>
            </w:pPr>
          </w:p>
        </w:tc>
        <w:tc>
          <w:tcPr>
            <w:tcW w:w="660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r:id="rId302">
              <w:r>
                <w:rPr>
                  <w:rFonts w:ascii="Arial" w:cs="Arial" w:eastAsia="Arial" w:hAnsi="Arial"/>
                  <w:sz w:val="18"/>
                  <w:szCs w:val="18"/>
                  <w:color w:val="0000EE"/>
                  <w:w w:val="94"/>
                </w:rPr>
                <w:t>Amended and Restated Bylaws of Tradeweb Markets Inc. (incorporated by reference to</w:t>
              </w:r>
            </w:hyperlink>
          </w:p>
        </w:tc>
        <w:tc>
          <w:tcPr>
            <w:tcW w:w="640" w:type="dxa"/>
            <w:vAlign w:val="bottom"/>
            <w:gridSpan w:val="20"/>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40" w:type="dxa"/>
            <w:vAlign w:val="bottom"/>
            <w:gridSpan w:val="28"/>
          </w:tcPr>
          <w:p>
            <w:pPr>
              <w:spacing w:after="0" w:line="196" w:lineRule="exact"/>
              <w:rPr>
                <w:rFonts w:ascii="Arial" w:cs="Arial" w:eastAsia="Arial" w:hAnsi="Arial"/>
                <w:sz w:val="18"/>
                <w:szCs w:val="18"/>
                <w:color w:val="0000EE"/>
              </w:rPr>
            </w:pPr>
            <w:hyperlink r:id="rId302">
              <w:r>
                <w:rPr>
                  <w:rFonts w:ascii="Arial" w:cs="Arial" w:eastAsia="Arial" w:hAnsi="Arial"/>
                  <w:sz w:val="18"/>
                  <w:szCs w:val="18"/>
                  <w:color w:val="0000EE"/>
                </w:rPr>
                <w:t>Exhibit 3.2 to the Company’s Current Report on Form 8-K filed on April 9, 2019 (File No.</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r:id="rId302">
              <w:r>
                <w:rPr>
                  <w:rFonts w:ascii="Arial" w:cs="Arial" w:eastAsia="Arial" w:hAnsi="Arial"/>
                  <w:sz w:val="18"/>
                  <w:szCs w:val="18"/>
                  <w:color w:val="0000EE"/>
                  <w:w w:val="93"/>
                </w:rPr>
                <w:t>001-38860)).</w:t>
              </w:r>
            </w:hyperlink>
          </w:p>
        </w:tc>
        <w:tc>
          <w:tcPr>
            <w:tcW w:w="7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60" w:type="dxa"/>
            <w:vAlign w:val="bottom"/>
          </w:tcPr>
          <w:p>
            <w:pPr>
              <w:spacing w:after="0" w:line="196" w:lineRule="exact"/>
              <w:rPr>
                <w:rFonts w:ascii="Arial" w:cs="Arial" w:eastAsia="Arial" w:hAnsi="Arial"/>
                <w:sz w:val="18"/>
                <w:szCs w:val="18"/>
                <w:u w:val="single" w:color="auto"/>
                <w:color w:val="0000EE"/>
              </w:rPr>
            </w:pPr>
            <w:hyperlink r:id="rId303">
              <w:r>
                <w:rPr>
                  <w:rFonts w:ascii="Arial" w:cs="Arial" w:eastAsia="Arial" w:hAnsi="Arial"/>
                  <w:sz w:val="18"/>
                  <w:szCs w:val="18"/>
                  <w:u w:val="single" w:color="auto"/>
                  <w:color w:val="0000EE"/>
                </w:rPr>
                <w:t>4.1</w:t>
              </w:r>
            </w:hyperlink>
          </w:p>
        </w:tc>
        <w:tc>
          <w:tcPr>
            <w:tcW w:w="220" w:type="dxa"/>
            <w:vAlign w:val="bottom"/>
          </w:tcPr>
          <w:p>
            <w:pPr>
              <w:spacing w:after="0"/>
              <w:rPr>
                <w:sz w:val="17"/>
                <w:szCs w:val="17"/>
                <w:color w:val="auto"/>
              </w:rPr>
            </w:pPr>
          </w:p>
        </w:tc>
        <w:tc>
          <w:tcPr>
            <w:tcW w:w="706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r:id="rId303">
              <w:r>
                <w:rPr>
                  <w:rFonts w:ascii="Arial" w:cs="Arial" w:eastAsia="Arial" w:hAnsi="Arial"/>
                  <w:sz w:val="18"/>
                  <w:szCs w:val="18"/>
                  <w:color w:val="0000EE"/>
                  <w:w w:val="95"/>
                </w:rPr>
                <w:t>Specimen Common Stock Certificate of Tradeweb Markets Inc. (incorporated by reference to</w:t>
              </w:r>
            </w:hyperlink>
          </w:p>
        </w:tc>
        <w:tc>
          <w:tcPr>
            <w:tcW w:w="180" w:type="dxa"/>
            <w:vAlign w:val="bottom"/>
            <w:gridSpan w:val="7"/>
          </w:tcPr>
          <w:p>
            <w:pPr>
              <w:spacing w:after="0"/>
              <w:rPr>
                <w:sz w:val="17"/>
                <w:szCs w:val="17"/>
                <w:color w:val="auto"/>
              </w:rPr>
            </w:pPr>
          </w:p>
        </w:tc>
      </w:tr>
      <w:tr>
        <w:trPr>
          <w:trHeight w:val="237"/>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gridSpan w:val="28"/>
          </w:tcPr>
          <w:p>
            <w:pPr>
              <w:spacing w:after="0"/>
              <w:rPr>
                <w:rFonts w:ascii="Arial" w:cs="Arial" w:eastAsia="Arial" w:hAnsi="Arial"/>
                <w:sz w:val="18"/>
                <w:szCs w:val="18"/>
                <w:u w:val="single" w:color="auto"/>
                <w:color w:val="0000EE"/>
              </w:rPr>
            </w:pPr>
            <w:hyperlink r:id="rId303">
              <w:r>
                <w:rPr>
                  <w:rFonts w:ascii="Arial" w:cs="Arial" w:eastAsia="Arial" w:hAnsi="Arial"/>
                  <w:sz w:val="18"/>
                  <w:szCs w:val="18"/>
                  <w:u w:val="single" w:color="auto"/>
                  <w:color w:val="0000EE"/>
                </w:rPr>
                <w:t>Exhibit 4.1 to the Company’s Registration Statement on Form S-1 (File No. 333-230115)).</w:t>
              </w:r>
            </w:hyperlink>
          </w:p>
        </w:tc>
      </w:tr>
      <w:tr>
        <w:trPr>
          <w:trHeight w:val="202"/>
        </w:trPr>
        <w:tc>
          <w:tcPr>
            <w:tcW w:w="760" w:type="dxa"/>
            <w:vAlign w:val="bottom"/>
          </w:tcPr>
          <w:p>
            <w:pPr>
              <w:spacing w:after="0" w:line="201" w:lineRule="exact"/>
              <w:rPr>
                <w:rFonts w:ascii="Arial" w:cs="Arial" w:eastAsia="Arial" w:hAnsi="Arial"/>
                <w:sz w:val="18"/>
                <w:szCs w:val="18"/>
                <w:u w:val="single" w:color="auto"/>
                <w:color w:val="0000EE"/>
              </w:rPr>
            </w:pPr>
            <w:hyperlink w:anchor="page200">
              <w:r>
                <w:rPr>
                  <w:rFonts w:ascii="Arial" w:cs="Arial" w:eastAsia="Arial" w:hAnsi="Arial"/>
                  <w:sz w:val="18"/>
                  <w:szCs w:val="18"/>
                  <w:u w:val="single" w:color="auto"/>
                  <w:color w:val="0000EE"/>
                </w:rPr>
                <w:t>5.1</w:t>
              </w:r>
            </w:hyperlink>
          </w:p>
        </w:tc>
        <w:tc>
          <w:tcPr>
            <w:tcW w:w="220" w:type="dxa"/>
            <w:vAlign w:val="bottom"/>
          </w:tcPr>
          <w:p>
            <w:pPr>
              <w:spacing w:after="0"/>
              <w:rPr>
                <w:sz w:val="17"/>
                <w:szCs w:val="17"/>
                <w:color w:val="auto"/>
              </w:rPr>
            </w:pPr>
          </w:p>
        </w:tc>
        <w:tc>
          <w:tcPr>
            <w:tcW w:w="7240" w:type="dxa"/>
            <w:vAlign w:val="bottom"/>
            <w:gridSpan w:val="28"/>
          </w:tcPr>
          <w:p>
            <w:pPr>
              <w:spacing w:after="0" w:line="201" w:lineRule="exact"/>
              <w:rPr>
                <w:rFonts w:ascii="Arial" w:cs="Arial" w:eastAsia="Arial" w:hAnsi="Arial"/>
                <w:sz w:val="18"/>
                <w:szCs w:val="18"/>
                <w:u w:val="single" w:color="auto"/>
                <w:color w:val="0000EE"/>
              </w:rPr>
            </w:pPr>
            <w:hyperlink w:anchor="page200">
              <w:r>
                <w:rPr>
                  <w:rFonts w:ascii="Arial" w:cs="Arial" w:eastAsia="Arial" w:hAnsi="Arial"/>
                  <w:sz w:val="18"/>
                  <w:szCs w:val="18"/>
                  <w:u w:val="single" w:color="auto"/>
                  <w:color w:val="0000EE"/>
                </w:rPr>
                <w:t>Opinion of Fried, Frank, Harris, Shriver &amp; Jacobson LLP.</w:t>
              </w:r>
            </w:hyperlink>
          </w:p>
        </w:tc>
      </w:tr>
      <w:tr>
        <w:trPr>
          <w:trHeight w:val="190"/>
        </w:trPr>
        <w:tc>
          <w:tcPr>
            <w:tcW w:w="760" w:type="dxa"/>
            <w:vAlign w:val="bottom"/>
          </w:tcPr>
          <w:p>
            <w:pPr>
              <w:spacing w:after="0" w:line="190" w:lineRule="exact"/>
              <w:rPr>
                <w:rFonts w:ascii="Arial" w:cs="Arial" w:eastAsia="Arial" w:hAnsi="Arial"/>
                <w:sz w:val="18"/>
                <w:szCs w:val="18"/>
                <w:u w:val="single" w:color="auto"/>
                <w:color w:val="0000EE"/>
              </w:rPr>
            </w:pPr>
            <w:hyperlink r:id="rId304">
              <w:r>
                <w:rPr>
                  <w:rFonts w:ascii="Arial" w:cs="Arial" w:eastAsia="Arial" w:hAnsi="Arial"/>
                  <w:sz w:val="18"/>
                  <w:szCs w:val="18"/>
                  <w:u w:val="single" w:color="auto"/>
                  <w:color w:val="0000EE"/>
                </w:rPr>
                <w:t>10.1</w:t>
              </w:r>
            </w:hyperlink>
          </w:p>
        </w:tc>
        <w:tc>
          <w:tcPr>
            <w:tcW w:w="220" w:type="dxa"/>
            <w:vAlign w:val="bottom"/>
          </w:tcPr>
          <w:p>
            <w:pPr>
              <w:spacing w:after="0"/>
              <w:rPr>
                <w:sz w:val="16"/>
                <w:szCs w:val="16"/>
                <w:color w:val="auto"/>
              </w:rPr>
            </w:pPr>
          </w:p>
        </w:tc>
        <w:tc>
          <w:tcPr>
            <w:tcW w:w="6840" w:type="dxa"/>
            <w:vAlign w:val="bottom"/>
            <w:tcBorders>
              <w:bottom w:val="single" w:sz="8" w:color="0000EE"/>
            </w:tcBorders>
            <w:gridSpan w:val="15"/>
          </w:tcPr>
          <w:p>
            <w:pPr>
              <w:spacing w:after="0" w:line="190" w:lineRule="exact"/>
              <w:rPr>
                <w:rFonts w:ascii="Arial" w:cs="Arial" w:eastAsia="Arial" w:hAnsi="Arial"/>
                <w:sz w:val="18"/>
                <w:szCs w:val="18"/>
                <w:color w:val="0000EE"/>
                <w:w w:val="94"/>
              </w:rPr>
            </w:pPr>
            <w:hyperlink r:id="rId304">
              <w:r>
                <w:rPr>
                  <w:rFonts w:ascii="Arial" w:cs="Arial" w:eastAsia="Arial" w:hAnsi="Arial"/>
                  <w:sz w:val="18"/>
                  <w:szCs w:val="18"/>
                  <w:color w:val="0000EE"/>
                  <w:w w:val="94"/>
                </w:rPr>
                <w:t>Stockholders Agreement, dated as of April 8, 2019, by and among Tradeweb Markets Inc.,</w:t>
              </w:r>
            </w:hyperlink>
          </w:p>
        </w:tc>
        <w:tc>
          <w:tcPr>
            <w:tcW w:w="400" w:type="dxa"/>
            <w:vAlign w:val="bottom"/>
            <w:gridSpan w:val="13"/>
          </w:tcPr>
          <w:p>
            <w:pPr>
              <w:spacing w:after="0"/>
              <w:rPr>
                <w:sz w:val="16"/>
                <w:szCs w:val="16"/>
                <w:color w:val="auto"/>
              </w:rPr>
            </w:pP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40" w:type="dxa"/>
            <w:vAlign w:val="bottom"/>
            <w:gridSpan w:val="28"/>
          </w:tcPr>
          <w:p>
            <w:pPr>
              <w:spacing w:after="0" w:line="196" w:lineRule="exact"/>
              <w:rPr>
                <w:rFonts w:ascii="Arial" w:cs="Arial" w:eastAsia="Arial" w:hAnsi="Arial"/>
                <w:sz w:val="18"/>
                <w:szCs w:val="18"/>
                <w:color w:val="0000EE"/>
                <w:w w:val="98"/>
              </w:rPr>
            </w:pPr>
            <w:hyperlink r:id="rId304">
              <w:r>
                <w:rPr>
                  <w:rFonts w:ascii="Arial" w:cs="Arial" w:eastAsia="Arial" w:hAnsi="Arial"/>
                  <w:sz w:val="18"/>
                  <w:szCs w:val="18"/>
                  <w:color w:val="0000EE"/>
                  <w:w w:val="98"/>
                </w:rPr>
                <w:t>Refinitiv US PME LLC and Refinitiv Parent Limited (incorporated by reference to Exhibit 10.1</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2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304">
              <w:r>
                <w:rPr>
                  <w:rFonts w:ascii="Arial" w:cs="Arial" w:eastAsia="Arial" w:hAnsi="Arial"/>
                  <w:sz w:val="18"/>
                  <w:szCs w:val="18"/>
                  <w:color w:val="0000EE"/>
                </w:rPr>
                <w:t>to the Company’s Quarterly Report on Form 10-Q filed on May 20, 2019 (File No. 001-</w:t>
              </w:r>
            </w:hyperlink>
          </w:p>
        </w:tc>
        <w:tc>
          <w:tcPr>
            <w:tcW w:w="2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r:id="rId304">
              <w:r>
                <w:rPr>
                  <w:rFonts w:ascii="Arial" w:cs="Arial" w:eastAsia="Arial" w:hAnsi="Arial"/>
                  <w:sz w:val="18"/>
                  <w:szCs w:val="18"/>
                  <w:color w:val="0000EE"/>
                  <w:w w:val="92"/>
                </w:rPr>
                <w:t>38860)</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w:t>
              </w:r>
            </w:hyperlink>
          </w:p>
        </w:tc>
        <w:tc>
          <w:tcPr>
            <w:tcW w:w="34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60" w:type="dxa"/>
            <w:vAlign w:val="bottom"/>
          </w:tcPr>
          <w:p>
            <w:pPr>
              <w:spacing w:after="0" w:line="196" w:lineRule="exact"/>
              <w:rPr>
                <w:rFonts w:ascii="Arial" w:cs="Arial" w:eastAsia="Arial" w:hAnsi="Arial"/>
                <w:sz w:val="18"/>
                <w:szCs w:val="18"/>
                <w:u w:val="single" w:color="auto"/>
                <w:color w:val="0000EE"/>
              </w:rPr>
            </w:pPr>
            <w:hyperlink r:id="rId305">
              <w:r>
                <w:rPr>
                  <w:rFonts w:ascii="Arial" w:cs="Arial" w:eastAsia="Arial" w:hAnsi="Arial"/>
                  <w:sz w:val="18"/>
                  <w:szCs w:val="18"/>
                  <w:u w:val="single" w:color="auto"/>
                  <w:color w:val="0000EE"/>
                </w:rPr>
                <w:t>10.2</w:t>
              </w:r>
            </w:hyperlink>
          </w:p>
        </w:tc>
        <w:tc>
          <w:tcPr>
            <w:tcW w:w="220" w:type="dxa"/>
            <w:vAlign w:val="bottom"/>
          </w:tcPr>
          <w:p>
            <w:pPr>
              <w:spacing w:after="0"/>
              <w:rPr>
                <w:sz w:val="17"/>
                <w:szCs w:val="17"/>
                <w:color w:val="auto"/>
              </w:rPr>
            </w:pPr>
          </w:p>
        </w:tc>
        <w:tc>
          <w:tcPr>
            <w:tcW w:w="694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r:id="rId305">
              <w:r>
                <w:rPr>
                  <w:rFonts w:ascii="Arial" w:cs="Arial" w:eastAsia="Arial" w:hAnsi="Arial"/>
                  <w:sz w:val="18"/>
                  <w:szCs w:val="18"/>
                  <w:color w:val="0000EE"/>
                  <w:w w:val="95"/>
                </w:rPr>
                <w:t>Registration Rights Agreement, dated as of April 8, 2019, by and among Tradeweb Markets</w:t>
              </w:r>
            </w:hyperlink>
          </w:p>
        </w:tc>
        <w:tc>
          <w:tcPr>
            <w:tcW w:w="300" w:type="dxa"/>
            <w:vAlign w:val="bottom"/>
            <w:gridSpan w:val="11"/>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40" w:type="dxa"/>
            <w:vAlign w:val="bottom"/>
            <w:tcBorders>
              <w:bottom w:val="single" w:sz="8" w:color="0000EE"/>
            </w:tcBorders>
            <w:gridSpan w:val="20"/>
          </w:tcPr>
          <w:p>
            <w:pPr>
              <w:spacing w:after="0" w:line="196" w:lineRule="exact"/>
              <w:rPr>
                <w:rFonts w:ascii="Arial" w:cs="Arial" w:eastAsia="Arial" w:hAnsi="Arial"/>
                <w:sz w:val="18"/>
                <w:szCs w:val="18"/>
                <w:color w:val="0000EE"/>
                <w:w w:val="95"/>
              </w:rPr>
            </w:pPr>
            <w:hyperlink r:id="rId305">
              <w:r>
                <w:rPr>
                  <w:rFonts w:ascii="Arial" w:cs="Arial" w:eastAsia="Arial" w:hAnsi="Arial"/>
                  <w:sz w:val="18"/>
                  <w:szCs w:val="18"/>
                  <w:color w:val="0000EE"/>
                  <w:w w:val="95"/>
                </w:rPr>
                <w:t>Inc., the Refinitiv Holders (as defined therein), the Bank Holders (as defined therein) and the</w:t>
              </w:r>
            </w:hyperlink>
          </w:p>
        </w:tc>
        <w:tc>
          <w:tcPr>
            <w:tcW w:w="200" w:type="dxa"/>
            <w:vAlign w:val="bottom"/>
            <w:gridSpan w:val="8"/>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2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r:id="rId305">
              <w:r>
                <w:rPr>
                  <w:rFonts w:ascii="Arial" w:cs="Arial" w:eastAsia="Arial" w:hAnsi="Arial"/>
                  <w:sz w:val="18"/>
                  <w:szCs w:val="18"/>
                  <w:color w:val="0000EE"/>
                  <w:w w:val="95"/>
                </w:rPr>
                <w:t>other holders of Registrable Securities (as defined therein) party thereto from time to time</w:t>
              </w:r>
            </w:hyperlink>
          </w:p>
        </w:tc>
        <w:tc>
          <w:tcPr>
            <w:tcW w:w="420" w:type="dxa"/>
            <w:vAlign w:val="bottom"/>
            <w:gridSpan w:val="14"/>
          </w:tcPr>
          <w:p>
            <w:pPr>
              <w:spacing w:after="0"/>
              <w:rPr>
                <w:sz w:val="17"/>
                <w:szCs w:val="17"/>
                <w:color w:val="auto"/>
              </w:rPr>
            </w:pPr>
          </w:p>
        </w:tc>
      </w:tr>
      <w:tr>
        <w:trPr>
          <w:trHeight w:val="222"/>
        </w:trPr>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40" w:type="dxa"/>
            <w:vAlign w:val="bottom"/>
            <w:gridSpan w:val="28"/>
          </w:tcPr>
          <w:p>
            <w:pPr>
              <w:spacing w:after="0"/>
              <w:rPr>
                <w:rFonts w:ascii="Arial" w:cs="Arial" w:eastAsia="Arial" w:hAnsi="Arial"/>
                <w:sz w:val="18"/>
                <w:szCs w:val="18"/>
                <w:u w:val="single" w:color="auto"/>
                <w:color w:val="0000EE"/>
                <w:w w:val="98"/>
              </w:rPr>
            </w:pPr>
            <w:hyperlink r:id="rId305">
              <w:r>
                <w:rPr>
                  <w:rFonts w:ascii="Arial" w:cs="Arial" w:eastAsia="Arial" w:hAnsi="Arial"/>
                  <w:sz w:val="18"/>
                  <w:szCs w:val="18"/>
                  <w:u w:val="single" w:color="auto"/>
                  <w:color w:val="0000EE"/>
                  <w:w w:val="98"/>
                </w:rPr>
                <w:t>(incorporated by reference to Exhibit 10.2 to the Company’s Quarterly Report on Form 10-Q</w:t>
              </w:r>
            </w:hyperlink>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gridSpan w:val="28"/>
          </w:tcPr>
          <w:p>
            <w:pPr>
              <w:spacing w:after="0"/>
              <w:rPr>
                <w:rFonts w:ascii="Arial" w:cs="Arial" w:eastAsia="Arial" w:hAnsi="Arial"/>
                <w:sz w:val="18"/>
                <w:szCs w:val="18"/>
                <w:u w:val="single" w:color="auto"/>
                <w:color w:val="0000EE"/>
              </w:rPr>
            </w:pPr>
            <w:hyperlink r:id="rId305">
              <w:r>
                <w:rPr>
                  <w:rFonts w:ascii="Arial" w:cs="Arial" w:eastAsia="Arial" w:hAnsi="Arial"/>
                  <w:sz w:val="18"/>
                  <w:szCs w:val="18"/>
                  <w:u w:val="single" w:color="auto"/>
                  <w:color w:val="0000EE"/>
                </w:rPr>
                <w:t>filed on May 20, 2019 (File No. 001-38860)).</w:t>
              </w:r>
            </w:hyperlink>
          </w:p>
        </w:tc>
      </w:tr>
      <w:tr>
        <w:trPr>
          <w:trHeight w:val="190"/>
        </w:trPr>
        <w:tc>
          <w:tcPr>
            <w:tcW w:w="760" w:type="dxa"/>
            <w:vAlign w:val="bottom"/>
          </w:tcPr>
          <w:p>
            <w:pPr>
              <w:spacing w:after="0" w:line="190" w:lineRule="exact"/>
              <w:rPr>
                <w:rFonts w:ascii="Arial" w:cs="Arial" w:eastAsia="Arial" w:hAnsi="Arial"/>
                <w:sz w:val="18"/>
                <w:szCs w:val="18"/>
                <w:u w:val="single" w:color="auto"/>
                <w:color w:val="0000EE"/>
              </w:rPr>
            </w:pPr>
            <w:hyperlink r:id="rId306">
              <w:r>
                <w:rPr>
                  <w:rFonts w:ascii="Arial" w:cs="Arial" w:eastAsia="Arial" w:hAnsi="Arial"/>
                  <w:sz w:val="18"/>
                  <w:szCs w:val="18"/>
                  <w:u w:val="single" w:color="auto"/>
                  <w:color w:val="0000EE"/>
                </w:rPr>
                <w:t>10.3</w:t>
              </w:r>
            </w:hyperlink>
          </w:p>
        </w:tc>
        <w:tc>
          <w:tcPr>
            <w:tcW w:w="220" w:type="dxa"/>
            <w:vAlign w:val="bottom"/>
          </w:tcPr>
          <w:p>
            <w:pPr>
              <w:spacing w:after="0"/>
              <w:rPr>
                <w:sz w:val="16"/>
                <w:szCs w:val="16"/>
                <w:color w:val="auto"/>
              </w:rPr>
            </w:pPr>
          </w:p>
        </w:tc>
        <w:tc>
          <w:tcPr>
            <w:tcW w:w="6800" w:type="dxa"/>
            <w:vAlign w:val="bottom"/>
            <w:tcBorders>
              <w:bottom w:val="single" w:sz="8" w:color="0000EE"/>
            </w:tcBorders>
            <w:gridSpan w:val="13"/>
          </w:tcPr>
          <w:p>
            <w:pPr>
              <w:spacing w:after="0" w:line="190" w:lineRule="exact"/>
              <w:rPr>
                <w:rFonts w:ascii="Arial" w:cs="Arial" w:eastAsia="Arial" w:hAnsi="Arial"/>
                <w:sz w:val="18"/>
                <w:szCs w:val="18"/>
                <w:color w:val="0000EE"/>
                <w:w w:val="95"/>
              </w:rPr>
            </w:pPr>
            <w:hyperlink r:id="rId306">
              <w:r>
                <w:rPr>
                  <w:rFonts w:ascii="Arial" w:cs="Arial" w:eastAsia="Arial" w:hAnsi="Arial"/>
                  <w:sz w:val="18"/>
                  <w:szCs w:val="18"/>
                  <w:color w:val="0000EE"/>
                  <w:w w:val="95"/>
                </w:rPr>
                <w:t>Fifth Amended and Restated LLC Agreement of Tradeweb Markets LLC (incorporated by</w:t>
              </w:r>
            </w:hyperlink>
          </w:p>
        </w:tc>
        <w:tc>
          <w:tcPr>
            <w:tcW w:w="440" w:type="dxa"/>
            <w:vAlign w:val="bottom"/>
            <w:gridSpan w:val="15"/>
          </w:tcPr>
          <w:p>
            <w:pPr>
              <w:spacing w:after="0"/>
              <w:rPr>
                <w:sz w:val="16"/>
                <w:szCs w:val="16"/>
                <w:color w:val="auto"/>
              </w:rPr>
            </w:pP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20" w:type="dxa"/>
            <w:vAlign w:val="bottom"/>
            <w:tcBorders>
              <w:bottom w:val="single" w:sz="8" w:color="0000EE"/>
            </w:tcBorders>
            <w:gridSpan w:val="19"/>
          </w:tcPr>
          <w:p>
            <w:pPr>
              <w:spacing w:after="0" w:line="196" w:lineRule="exact"/>
              <w:rPr>
                <w:rFonts w:ascii="Arial" w:cs="Arial" w:eastAsia="Arial" w:hAnsi="Arial"/>
                <w:sz w:val="18"/>
                <w:szCs w:val="18"/>
                <w:color w:val="0000EE"/>
                <w:w w:val="96"/>
              </w:rPr>
            </w:pPr>
            <w:hyperlink r:id="rId306">
              <w:r>
                <w:rPr>
                  <w:rFonts w:ascii="Arial" w:cs="Arial" w:eastAsia="Arial" w:hAnsi="Arial"/>
                  <w:sz w:val="18"/>
                  <w:szCs w:val="18"/>
                  <w:color w:val="0000EE"/>
                  <w:w w:val="96"/>
                </w:rPr>
                <w:t>reference to Exhibit 10.3 to the Company’s Quarterly Report on Form 10-Q filed on May 20,</w:t>
              </w:r>
            </w:hyperlink>
          </w:p>
        </w:tc>
        <w:tc>
          <w:tcPr>
            <w:tcW w:w="220" w:type="dxa"/>
            <w:vAlign w:val="bottom"/>
            <w:gridSpan w:val="9"/>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r:id="rId306">
              <w:r>
                <w:rPr>
                  <w:rFonts w:ascii="Arial" w:cs="Arial" w:eastAsia="Arial" w:hAnsi="Arial"/>
                  <w:sz w:val="18"/>
                  <w:szCs w:val="18"/>
                  <w:color w:val="0000EE"/>
                  <w:w w:val="95"/>
                </w:rPr>
                <w:t>2019 (File No. 001-38860)).</w:t>
              </w:r>
            </w:hyperlink>
          </w:p>
        </w:tc>
        <w:tc>
          <w:tcPr>
            <w:tcW w:w="5100" w:type="dxa"/>
            <w:vAlign w:val="bottom"/>
            <w:gridSpan w:val="24"/>
          </w:tcPr>
          <w:p>
            <w:pPr>
              <w:spacing w:after="0"/>
              <w:rPr>
                <w:sz w:val="17"/>
                <w:szCs w:val="17"/>
                <w:color w:val="auto"/>
              </w:rPr>
            </w:pPr>
          </w:p>
        </w:tc>
      </w:tr>
      <w:tr>
        <w:trPr>
          <w:trHeight w:val="196"/>
        </w:trPr>
        <w:tc>
          <w:tcPr>
            <w:tcW w:w="760" w:type="dxa"/>
            <w:vAlign w:val="bottom"/>
          </w:tcPr>
          <w:p>
            <w:pPr>
              <w:spacing w:after="0" w:line="196" w:lineRule="exact"/>
              <w:rPr>
                <w:rFonts w:ascii="Arial" w:cs="Arial" w:eastAsia="Arial" w:hAnsi="Arial"/>
                <w:sz w:val="18"/>
                <w:szCs w:val="18"/>
                <w:u w:val="single" w:color="auto"/>
                <w:color w:val="0000EE"/>
              </w:rPr>
            </w:pPr>
            <w:hyperlink r:id="rId307">
              <w:r>
                <w:rPr>
                  <w:rFonts w:ascii="Arial" w:cs="Arial" w:eastAsia="Arial" w:hAnsi="Arial"/>
                  <w:sz w:val="18"/>
                  <w:szCs w:val="18"/>
                  <w:u w:val="single" w:color="auto"/>
                  <w:color w:val="0000EE"/>
                </w:rPr>
                <w:t>10.4</w:t>
              </w:r>
            </w:hyperlink>
          </w:p>
        </w:tc>
        <w:tc>
          <w:tcPr>
            <w:tcW w:w="220" w:type="dxa"/>
            <w:vAlign w:val="bottom"/>
          </w:tcPr>
          <w:p>
            <w:pPr>
              <w:spacing w:after="0"/>
              <w:rPr>
                <w:sz w:val="17"/>
                <w:szCs w:val="17"/>
                <w:color w:val="auto"/>
              </w:rPr>
            </w:pPr>
          </w:p>
        </w:tc>
        <w:tc>
          <w:tcPr>
            <w:tcW w:w="704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r:id="rId307">
              <w:r>
                <w:rPr>
                  <w:rFonts w:ascii="Arial" w:cs="Arial" w:eastAsia="Arial" w:hAnsi="Arial"/>
                  <w:sz w:val="18"/>
                  <w:szCs w:val="18"/>
                  <w:color w:val="0000EE"/>
                  <w:w w:val="94"/>
                </w:rPr>
                <w:t>Tax Receivable Agreement, dated as of April 8, 2019, by and among Tradeweb Markets Inc.,</w:t>
              </w:r>
            </w:hyperlink>
          </w:p>
        </w:tc>
        <w:tc>
          <w:tcPr>
            <w:tcW w:w="200" w:type="dxa"/>
            <w:vAlign w:val="bottom"/>
            <w:gridSpan w:val="8"/>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40" w:type="dxa"/>
            <w:vAlign w:val="bottom"/>
            <w:gridSpan w:val="28"/>
          </w:tcPr>
          <w:p>
            <w:pPr>
              <w:spacing w:after="0" w:line="196" w:lineRule="exact"/>
              <w:rPr>
                <w:rFonts w:ascii="Arial" w:cs="Arial" w:eastAsia="Arial" w:hAnsi="Arial"/>
                <w:sz w:val="18"/>
                <w:szCs w:val="18"/>
                <w:color w:val="0000EE"/>
                <w:w w:val="99"/>
              </w:rPr>
            </w:pPr>
            <w:hyperlink r:id="rId307">
              <w:r>
                <w:rPr>
                  <w:rFonts w:ascii="Arial" w:cs="Arial" w:eastAsia="Arial" w:hAnsi="Arial"/>
                  <w:sz w:val="18"/>
                  <w:szCs w:val="18"/>
                  <w:color w:val="0000EE"/>
                  <w:w w:val="99"/>
                </w:rPr>
                <w:t>Tradeweb Markets LLC and the members of Tradeweb Markets LLC from time to time party</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80" w:type="dxa"/>
            <w:vAlign w:val="bottom"/>
            <w:gridSpan w:val="5"/>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40" w:type="dxa"/>
            <w:vAlign w:val="bottom"/>
            <w:gridSpan w:val="28"/>
          </w:tcPr>
          <w:p>
            <w:pPr>
              <w:spacing w:after="0" w:line="196" w:lineRule="exact"/>
              <w:rPr>
                <w:rFonts w:ascii="Arial" w:cs="Arial" w:eastAsia="Arial" w:hAnsi="Arial"/>
                <w:sz w:val="18"/>
                <w:szCs w:val="18"/>
                <w:color w:val="0000EE"/>
                <w:w w:val="96"/>
              </w:rPr>
            </w:pPr>
            <w:hyperlink r:id="rId307">
              <w:r>
                <w:rPr>
                  <w:rFonts w:ascii="Arial" w:cs="Arial" w:eastAsia="Arial" w:hAnsi="Arial"/>
                  <w:sz w:val="18"/>
                  <w:szCs w:val="18"/>
                  <w:color w:val="0000EE"/>
                  <w:w w:val="96"/>
                </w:rPr>
                <w:t>thereto (incorporated by reference to Exhibit 10.4 to the Company’s Quarterly Report on Form</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r:id="rId307">
              <w:r>
                <w:rPr>
                  <w:rFonts w:ascii="Arial" w:cs="Arial" w:eastAsia="Arial" w:hAnsi="Arial"/>
                  <w:sz w:val="18"/>
                  <w:szCs w:val="18"/>
                  <w:color w:val="0000EE"/>
                  <w:w w:val="96"/>
                </w:rPr>
                <w:t>10-Q filed on May 20, 2019 (File No. 001-38860)).</w:t>
              </w:r>
            </w:hyperlink>
          </w:p>
        </w:tc>
        <w:tc>
          <w:tcPr>
            <w:tcW w:w="3260" w:type="dxa"/>
            <w:vAlign w:val="bottom"/>
            <w:tcBorders>
              <w:top w:val="single" w:sz="8" w:color="0000EE"/>
            </w:tcBorders>
            <w:gridSpan w:val="19"/>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196"/>
        </w:trPr>
        <w:tc>
          <w:tcPr>
            <w:tcW w:w="760" w:type="dxa"/>
            <w:vAlign w:val="bottom"/>
          </w:tcPr>
          <w:p>
            <w:pPr>
              <w:spacing w:after="0" w:line="196" w:lineRule="exact"/>
              <w:rPr>
                <w:rFonts w:ascii="Arial" w:cs="Arial" w:eastAsia="Arial" w:hAnsi="Arial"/>
                <w:sz w:val="18"/>
                <w:szCs w:val="18"/>
                <w:u w:val="single" w:color="auto"/>
                <w:color w:val="0000EE"/>
              </w:rPr>
            </w:pPr>
            <w:hyperlink r:id="rId308">
              <w:r>
                <w:rPr>
                  <w:rFonts w:ascii="Arial" w:cs="Arial" w:eastAsia="Arial" w:hAnsi="Arial"/>
                  <w:sz w:val="18"/>
                  <w:szCs w:val="18"/>
                  <w:u w:val="single" w:color="auto"/>
                  <w:color w:val="0000EE"/>
                </w:rPr>
                <w:t>10.5</w:t>
              </w:r>
            </w:hyperlink>
          </w:p>
        </w:tc>
        <w:tc>
          <w:tcPr>
            <w:tcW w:w="220" w:type="dxa"/>
            <w:vAlign w:val="bottom"/>
          </w:tcPr>
          <w:p>
            <w:pPr>
              <w:spacing w:after="0"/>
              <w:rPr>
                <w:sz w:val="17"/>
                <w:szCs w:val="17"/>
                <w:color w:val="auto"/>
              </w:rPr>
            </w:pPr>
          </w:p>
        </w:tc>
        <w:tc>
          <w:tcPr>
            <w:tcW w:w="7240" w:type="dxa"/>
            <w:vAlign w:val="bottom"/>
            <w:gridSpan w:val="28"/>
          </w:tcPr>
          <w:p>
            <w:pPr>
              <w:spacing w:after="0" w:line="196" w:lineRule="exact"/>
              <w:rPr>
                <w:rFonts w:ascii="Arial" w:cs="Arial" w:eastAsia="Arial" w:hAnsi="Arial"/>
                <w:sz w:val="18"/>
                <w:szCs w:val="18"/>
                <w:color w:val="0000EE"/>
                <w:w w:val="96"/>
              </w:rPr>
            </w:pPr>
            <w:hyperlink r:id="rId308">
              <w:r>
                <w:rPr>
                  <w:rFonts w:ascii="Arial" w:cs="Arial" w:eastAsia="Arial" w:hAnsi="Arial"/>
                  <w:sz w:val="18"/>
                  <w:szCs w:val="18"/>
                  <w:color w:val="0000EE"/>
                  <w:w w:val="96"/>
                </w:rPr>
                <w:t>Restrictive Covenant Agreement, dated as of April 8, 2019, by and among the Refinitiv Entities</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5"/>
              </w:rPr>
            </w:pPr>
            <w:hyperlink r:id="rId308">
              <w:r>
                <w:rPr>
                  <w:rFonts w:ascii="Arial" w:cs="Arial" w:eastAsia="Arial" w:hAnsi="Arial"/>
                  <w:sz w:val="18"/>
                  <w:szCs w:val="18"/>
                  <w:color w:val="0000EE"/>
                  <w:w w:val="95"/>
                </w:rPr>
                <w:t>(as defined therein), Tradeweb Markets LLC and Tradeweb Markets Inc. (incorporated by</w:t>
              </w:r>
            </w:hyperlink>
          </w:p>
        </w:tc>
        <w:tc>
          <w:tcPr>
            <w:tcW w:w="440" w:type="dxa"/>
            <w:vAlign w:val="bottom"/>
            <w:tcBorders>
              <w:top w:val="single" w:sz="8" w:color="0000EE"/>
            </w:tcBorders>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20" w:type="dxa"/>
            <w:vAlign w:val="bottom"/>
            <w:tcBorders>
              <w:bottom w:val="single" w:sz="8" w:color="0000EE"/>
            </w:tcBorders>
            <w:gridSpan w:val="19"/>
          </w:tcPr>
          <w:p>
            <w:pPr>
              <w:spacing w:after="0" w:line="196" w:lineRule="exact"/>
              <w:rPr>
                <w:rFonts w:ascii="Arial" w:cs="Arial" w:eastAsia="Arial" w:hAnsi="Arial"/>
                <w:sz w:val="18"/>
                <w:szCs w:val="18"/>
                <w:color w:val="0000EE"/>
                <w:w w:val="96"/>
              </w:rPr>
            </w:pPr>
            <w:hyperlink r:id="rId308">
              <w:r>
                <w:rPr>
                  <w:rFonts w:ascii="Arial" w:cs="Arial" w:eastAsia="Arial" w:hAnsi="Arial"/>
                  <w:sz w:val="18"/>
                  <w:szCs w:val="18"/>
                  <w:color w:val="0000EE"/>
                  <w:w w:val="96"/>
                </w:rPr>
                <w:t>reference to Exhibit 10.5 to the Company’s Quarterly Report on Form 10-Q filed on May 20,</w:t>
              </w:r>
            </w:hyperlink>
          </w:p>
        </w:tc>
        <w:tc>
          <w:tcPr>
            <w:tcW w:w="220" w:type="dxa"/>
            <w:vAlign w:val="bottom"/>
            <w:gridSpan w:val="9"/>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r:id="rId308">
              <w:r>
                <w:rPr>
                  <w:rFonts w:ascii="Arial" w:cs="Arial" w:eastAsia="Arial" w:hAnsi="Arial"/>
                  <w:sz w:val="18"/>
                  <w:szCs w:val="18"/>
                  <w:color w:val="0000EE"/>
                  <w:w w:val="95"/>
                </w:rPr>
                <w:t>2019 (File No. 001-38860)).</w:t>
              </w:r>
            </w:hyperlink>
          </w:p>
        </w:tc>
        <w:tc>
          <w:tcPr>
            <w:tcW w:w="5100" w:type="dxa"/>
            <w:vAlign w:val="bottom"/>
            <w:gridSpan w:val="24"/>
          </w:tcPr>
          <w:p>
            <w:pPr>
              <w:spacing w:after="0"/>
              <w:rPr>
                <w:sz w:val="17"/>
                <w:szCs w:val="17"/>
                <w:color w:val="auto"/>
              </w:rPr>
            </w:pPr>
          </w:p>
        </w:tc>
      </w:tr>
      <w:tr>
        <w:trPr>
          <w:trHeight w:val="196"/>
        </w:trPr>
        <w:tc>
          <w:tcPr>
            <w:tcW w:w="760" w:type="dxa"/>
            <w:vAlign w:val="bottom"/>
          </w:tcPr>
          <w:p>
            <w:pPr>
              <w:spacing w:after="0" w:line="196" w:lineRule="exact"/>
              <w:rPr>
                <w:rFonts w:ascii="Arial" w:cs="Arial" w:eastAsia="Arial" w:hAnsi="Arial"/>
                <w:sz w:val="18"/>
                <w:szCs w:val="18"/>
                <w:u w:val="single" w:color="auto"/>
                <w:color w:val="0000EE"/>
              </w:rPr>
            </w:pPr>
            <w:hyperlink r:id="rId309">
              <w:r>
                <w:rPr>
                  <w:rFonts w:ascii="Arial" w:cs="Arial" w:eastAsia="Arial" w:hAnsi="Arial"/>
                  <w:sz w:val="18"/>
                  <w:szCs w:val="18"/>
                  <w:u w:val="single" w:color="auto"/>
                  <w:color w:val="0000EE"/>
                </w:rPr>
                <w:t>10.6</w:t>
              </w:r>
            </w:hyperlink>
          </w:p>
        </w:tc>
        <w:tc>
          <w:tcPr>
            <w:tcW w:w="220" w:type="dxa"/>
            <w:vAlign w:val="bottom"/>
          </w:tcPr>
          <w:p>
            <w:pPr>
              <w:spacing w:after="0"/>
              <w:rPr>
                <w:sz w:val="17"/>
                <w:szCs w:val="17"/>
                <w:color w:val="auto"/>
              </w:rPr>
            </w:pPr>
          </w:p>
        </w:tc>
        <w:tc>
          <w:tcPr>
            <w:tcW w:w="7040" w:type="dxa"/>
            <w:vAlign w:val="bottom"/>
            <w:tcBorders>
              <w:bottom w:val="single" w:sz="8" w:color="0000EE"/>
            </w:tcBorders>
            <w:gridSpan w:val="20"/>
          </w:tcPr>
          <w:p>
            <w:pPr>
              <w:spacing w:after="0" w:line="196" w:lineRule="exact"/>
              <w:rPr>
                <w:rFonts w:ascii="Arial" w:cs="Arial" w:eastAsia="Arial" w:hAnsi="Arial"/>
                <w:sz w:val="18"/>
                <w:szCs w:val="18"/>
                <w:color w:val="0000EE"/>
                <w:w w:val="95"/>
              </w:rPr>
            </w:pPr>
            <w:hyperlink r:id="rId309">
              <w:r>
                <w:rPr>
                  <w:rFonts w:ascii="Arial" w:cs="Arial" w:eastAsia="Arial" w:hAnsi="Arial"/>
                  <w:sz w:val="18"/>
                  <w:szCs w:val="18"/>
                  <w:color w:val="0000EE"/>
                  <w:w w:val="95"/>
                </w:rPr>
                <w:t>Form of Common Unit Purchase Agreement (incorporated by reference to Exhibit 10.6 to the</w:t>
              </w:r>
            </w:hyperlink>
          </w:p>
        </w:tc>
        <w:tc>
          <w:tcPr>
            <w:tcW w:w="200" w:type="dxa"/>
            <w:vAlign w:val="bottom"/>
            <w:gridSpan w:val="8"/>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8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r:id="rId309">
              <w:r>
                <w:rPr>
                  <w:rFonts w:ascii="Arial" w:cs="Arial" w:eastAsia="Arial" w:hAnsi="Arial"/>
                  <w:sz w:val="18"/>
                  <w:szCs w:val="18"/>
                  <w:color w:val="0000EE"/>
                  <w:w w:val="95"/>
                </w:rPr>
                <w:t>Company’s Registration Statement on Form S-1 (File No. 333-234209)).</w:t>
              </w:r>
            </w:hyperlink>
          </w:p>
        </w:tc>
        <w:tc>
          <w:tcPr>
            <w:tcW w:w="1760" w:type="dxa"/>
            <w:vAlign w:val="bottom"/>
            <w:gridSpan w:val="22"/>
          </w:tcPr>
          <w:p>
            <w:pPr>
              <w:spacing w:after="0"/>
              <w:rPr>
                <w:sz w:val="17"/>
                <w:szCs w:val="17"/>
                <w:color w:val="auto"/>
              </w:rPr>
            </w:pPr>
          </w:p>
        </w:tc>
      </w:tr>
      <w:tr>
        <w:trPr>
          <w:trHeight w:val="196"/>
        </w:trPr>
        <w:tc>
          <w:tcPr>
            <w:tcW w:w="760" w:type="dxa"/>
            <w:vAlign w:val="bottom"/>
          </w:tcPr>
          <w:p>
            <w:pPr>
              <w:spacing w:after="0" w:line="196" w:lineRule="exact"/>
              <w:rPr>
                <w:rFonts w:ascii="Arial" w:cs="Arial" w:eastAsia="Arial" w:hAnsi="Arial"/>
                <w:sz w:val="18"/>
                <w:szCs w:val="18"/>
                <w:u w:val="single" w:color="auto"/>
                <w:color w:val="0000EE"/>
              </w:rPr>
            </w:pPr>
            <w:hyperlink r:id="rId310">
              <w:r>
                <w:rPr>
                  <w:rFonts w:ascii="Arial" w:cs="Arial" w:eastAsia="Arial" w:hAnsi="Arial"/>
                  <w:sz w:val="18"/>
                  <w:szCs w:val="18"/>
                  <w:u w:val="single" w:color="auto"/>
                  <w:color w:val="0000EE"/>
                </w:rPr>
                <w:t>10.7</w:t>
              </w:r>
            </w:hyperlink>
          </w:p>
        </w:tc>
        <w:tc>
          <w:tcPr>
            <w:tcW w:w="220" w:type="dxa"/>
            <w:vAlign w:val="bottom"/>
          </w:tcPr>
          <w:p>
            <w:pPr>
              <w:spacing w:after="0"/>
              <w:rPr>
                <w:sz w:val="17"/>
                <w:szCs w:val="17"/>
                <w:color w:val="auto"/>
              </w:rPr>
            </w:pPr>
          </w:p>
        </w:tc>
        <w:tc>
          <w:tcPr>
            <w:tcW w:w="7240" w:type="dxa"/>
            <w:vAlign w:val="bottom"/>
            <w:gridSpan w:val="28"/>
          </w:tcPr>
          <w:p>
            <w:pPr>
              <w:spacing w:after="0" w:line="196" w:lineRule="exact"/>
              <w:rPr>
                <w:rFonts w:ascii="Arial" w:cs="Arial" w:eastAsia="Arial" w:hAnsi="Arial"/>
                <w:sz w:val="18"/>
                <w:szCs w:val="18"/>
                <w:color w:val="0000EE"/>
              </w:rPr>
            </w:pPr>
            <w:hyperlink r:id="rId310">
              <w:r>
                <w:rPr>
                  <w:rFonts w:ascii="Arial" w:cs="Arial" w:eastAsia="Arial" w:hAnsi="Arial"/>
                  <w:sz w:val="18"/>
                  <w:szCs w:val="18"/>
                  <w:color w:val="0000EE"/>
                </w:rPr>
                <w:t>Form of Class A Common Stock Purchase Agreement (incorporated by reference to</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00" w:type="dxa"/>
            <w:vAlign w:val="bottom"/>
            <w:gridSpan w:val="7"/>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2"/>
        </w:trPr>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40" w:type="dxa"/>
            <w:vAlign w:val="bottom"/>
            <w:gridSpan w:val="28"/>
          </w:tcPr>
          <w:p>
            <w:pPr>
              <w:spacing w:after="0"/>
              <w:rPr>
                <w:rFonts w:ascii="Arial" w:cs="Arial" w:eastAsia="Arial" w:hAnsi="Arial"/>
                <w:sz w:val="18"/>
                <w:szCs w:val="18"/>
                <w:u w:val="single" w:color="auto"/>
                <w:color w:val="0000EE"/>
                <w:w w:val="99"/>
              </w:rPr>
            </w:pPr>
            <w:hyperlink r:id="rId310">
              <w:r>
                <w:rPr>
                  <w:rFonts w:ascii="Arial" w:cs="Arial" w:eastAsia="Arial" w:hAnsi="Arial"/>
                  <w:sz w:val="18"/>
                  <w:szCs w:val="18"/>
                  <w:u w:val="single" w:color="auto"/>
                  <w:color w:val="0000EE"/>
                  <w:w w:val="99"/>
                </w:rPr>
                <w:t>Exhibit 10.7 to the Company’s Registration Statement on Form S-1 (File No. 333-234209)).</w:t>
              </w:r>
            </w:hyperlink>
          </w:p>
        </w:tc>
      </w:tr>
      <w:tr>
        <w:trPr>
          <w:trHeight w:val="190"/>
        </w:trPr>
        <w:tc>
          <w:tcPr>
            <w:tcW w:w="760" w:type="dxa"/>
            <w:vAlign w:val="bottom"/>
          </w:tcPr>
          <w:p>
            <w:pPr>
              <w:spacing w:after="0" w:line="190" w:lineRule="exact"/>
              <w:rPr>
                <w:rFonts w:ascii="Arial" w:cs="Arial" w:eastAsia="Arial" w:hAnsi="Arial"/>
                <w:sz w:val="18"/>
                <w:szCs w:val="18"/>
                <w:u w:val="single" w:color="auto"/>
                <w:color w:val="0000EE"/>
              </w:rPr>
            </w:pPr>
            <w:hyperlink r:id="rId311">
              <w:r>
                <w:rPr>
                  <w:rFonts w:ascii="Arial" w:cs="Arial" w:eastAsia="Arial" w:hAnsi="Arial"/>
                  <w:sz w:val="18"/>
                  <w:szCs w:val="18"/>
                  <w:u w:val="single" w:color="auto"/>
                  <w:color w:val="0000EE"/>
                </w:rPr>
                <w:t>10.8</w:t>
              </w:r>
            </w:hyperlink>
          </w:p>
        </w:tc>
        <w:tc>
          <w:tcPr>
            <w:tcW w:w="220" w:type="dxa"/>
            <w:vAlign w:val="bottom"/>
          </w:tcPr>
          <w:p>
            <w:pPr>
              <w:spacing w:after="0"/>
              <w:rPr>
                <w:sz w:val="16"/>
                <w:szCs w:val="16"/>
                <w:color w:val="auto"/>
              </w:rPr>
            </w:pPr>
          </w:p>
        </w:tc>
        <w:tc>
          <w:tcPr>
            <w:tcW w:w="6600" w:type="dxa"/>
            <w:vAlign w:val="bottom"/>
            <w:tcBorders>
              <w:bottom w:val="single" w:sz="8" w:color="0000EE"/>
            </w:tcBorders>
            <w:gridSpan w:val="8"/>
          </w:tcPr>
          <w:p>
            <w:pPr>
              <w:spacing w:after="0" w:line="190" w:lineRule="exact"/>
              <w:rPr>
                <w:rFonts w:ascii="Arial" w:cs="Arial" w:eastAsia="Arial" w:hAnsi="Arial"/>
                <w:sz w:val="18"/>
                <w:szCs w:val="18"/>
                <w:color w:val="0000EE"/>
                <w:w w:val="95"/>
              </w:rPr>
            </w:pPr>
            <w:hyperlink r:id="rId311">
              <w:r>
                <w:rPr>
                  <w:rFonts w:ascii="Arial" w:cs="Arial" w:eastAsia="Arial" w:hAnsi="Arial"/>
                  <w:sz w:val="18"/>
                  <w:szCs w:val="18"/>
                  <w:color w:val="0000EE"/>
                  <w:w w:val="95"/>
                </w:rPr>
                <w:t>Credit Agreement, dated as of April 8, 2019, by and among Tradeweb Markets LLC, as</w:t>
              </w:r>
            </w:hyperlink>
          </w:p>
        </w:tc>
        <w:tc>
          <w:tcPr>
            <w:tcW w:w="640" w:type="dxa"/>
            <w:vAlign w:val="bottom"/>
            <w:gridSpan w:val="20"/>
          </w:tcPr>
          <w:p>
            <w:pPr>
              <w:spacing w:after="0"/>
              <w:rPr>
                <w:sz w:val="16"/>
                <w:szCs w:val="16"/>
                <w:color w:val="auto"/>
              </w:rPr>
            </w:pP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40" w:type="dxa"/>
            <w:vAlign w:val="bottom"/>
            <w:tcBorders>
              <w:bottom w:val="single" w:sz="8" w:color="0000EE"/>
            </w:tcBorders>
            <w:gridSpan w:val="28"/>
          </w:tcPr>
          <w:p>
            <w:pPr>
              <w:spacing w:after="0" w:line="196" w:lineRule="exact"/>
              <w:rPr>
                <w:rFonts w:ascii="Arial" w:cs="Arial" w:eastAsia="Arial" w:hAnsi="Arial"/>
                <w:sz w:val="18"/>
                <w:szCs w:val="18"/>
                <w:color w:val="0000EE"/>
                <w:w w:val="95"/>
              </w:rPr>
            </w:pPr>
            <w:hyperlink r:id="rId311">
              <w:r>
                <w:rPr>
                  <w:rFonts w:ascii="Arial" w:cs="Arial" w:eastAsia="Arial" w:hAnsi="Arial"/>
                  <w:sz w:val="18"/>
                  <w:szCs w:val="18"/>
                  <w:color w:val="0000EE"/>
                  <w:w w:val="95"/>
                </w:rPr>
                <w:t>borrower, the lenders party thereto and Citibank, N.A., as administrative agent, collateral agent,</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40" w:type="dxa"/>
            <w:vAlign w:val="bottom"/>
            <w:gridSpan w:val="28"/>
          </w:tcPr>
          <w:p>
            <w:pPr>
              <w:spacing w:after="0" w:line="196" w:lineRule="exact"/>
              <w:rPr>
                <w:rFonts w:ascii="Arial" w:cs="Arial" w:eastAsia="Arial" w:hAnsi="Arial"/>
                <w:sz w:val="18"/>
                <w:szCs w:val="18"/>
                <w:color w:val="0000EE"/>
              </w:rPr>
            </w:pPr>
            <w:hyperlink r:id="rId311">
              <w:r>
                <w:rPr>
                  <w:rFonts w:ascii="Arial" w:cs="Arial" w:eastAsia="Arial" w:hAnsi="Arial"/>
                  <w:sz w:val="18"/>
                  <w:szCs w:val="18"/>
                  <w:color w:val="0000EE"/>
                </w:rPr>
                <w:t>issuing bank and swing line lender, Citigroup Global Markets Inc., JPMorgan Chase Bank,</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5"/>
              </w:rPr>
            </w:pPr>
            <w:hyperlink r:id="rId311">
              <w:r>
                <w:rPr>
                  <w:rFonts w:ascii="Arial" w:cs="Arial" w:eastAsia="Arial" w:hAnsi="Arial"/>
                  <w:sz w:val="18"/>
                  <w:szCs w:val="18"/>
                  <w:color w:val="0000EE"/>
                  <w:w w:val="95"/>
                </w:rPr>
                <w:t>N.A., Morgan Stanley Senior Funding, Inc. and Goldman Sachs Bank USA, as joint lead</w:t>
              </w:r>
            </w:hyperlink>
          </w:p>
        </w:tc>
        <w:tc>
          <w:tcPr>
            <w:tcW w:w="140" w:type="dxa"/>
            <w:vAlign w:val="bottom"/>
            <w:tcBorders>
              <w:top w:val="single" w:sz="8" w:color="0000EE"/>
            </w:tcBorders>
            <w:gridSpan w:val="4"/>
          </w:tcPr>
          <w:p>
            <w:pPr>
              <w:spacing w:after="0"/>
              <w:rPr>
                <w:sz w:val="17"/>
                <w:szCs w:val="17"/>
                <w:color w:val="auto"/>
              </w:rPr>
            </w:pPr>
          </w:p>
        </w:tc>
        <w:tc>
          <w:tcPr>
            <w:tcW w:w="400" w:type="dxa"/>
            <w:vAlign w:val="bottom"/>
            <w:gridSpan w:val="13"/>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8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311">
              <w:r>
                <w:rPr>
                  <w:rFonts w:ascii="Arial" w:cs="Arial" w:eastAsia="Arial" w:hAnsi="Arial"/>
                  <w:sz w:val="18"/>
                  <w:szCs w:val="18"/>
                  <w:color w:val="0000EE"/>
                  <w:w w:val="93"/>
                </w:rPr>
                <w:t>arrangers and joint bookrunners, JPMorgan Chase Bank, N.A., as syndication agent, and</w:t>
              </w:r>
            </w:hyperlink>
          </w:p>
        </w:tc>
        <w:tc>
          <w:tcPr>
            <w:tcW w:w="560" w:type="dxa"/>
            <w:vAlign w:val="bottom"/>
            <w:gridSpan w:val="18"/>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60" w:type="dxa"/>
            <w:vAlign w:val="bottom"/>
            <w:tcBorders>
              <w:bottom w:val="single" w:sz="8" w:color="0000EE"/>
            </w:tcBorders>
            <w:gridSpan w:val="25"/>
          </w:tcPr>
          <w:p>
            <w:pPr>
              <w:spacing w:after="0" w:line="196" w:lineRule="exact"/>
              <w:rPr>
                <w:rFonts w:ascii="Arial" w:cs="Arial" w:eastAsia="Arial" w:hAnsi="Arial"/>
                <w:sz w:val="18"/>
                <w:szCs w:val="18"/>
                <w:color w:val="0000EE"/>
                <w:w w:val="94"/>
              </w:rPr>
            </w:pPr>
            <w:hyperlink r:id="rId311">
              <w:r>
                <w:rPr>
                  <w:rFonts w:ascii="Arial" w:cs="Arial" w:eastAsia="Arial" w:hAnsi="Arial"/>
                  <w:sz w:val="18"/>
                  <w:szCs w:val="18"/>
                  <w:color w:val="0000EE"/>
                  <w:w w:val="94"/>
                </w:rPr>
                <w:t>Morgan Stanley Senior Funding, Inc. and Goldman Sachs Bank USA, as documentation agents</w:t>
              </w:r>
            </w:hyperlink>
          </w:p>
        </w:tc>
        <w:tc>
          <w:tcPr>
            <w:tcW w:w="80" w:type="dxa"/>
            <w:vAlign w:val="bottom"/>
            <w:gridSpan w:val="3"/>
          </w:tcPr>
          <w:p>
            <w:pPr>
              <w:spacing w:after="0"/>
              <w:rPr>
                <w:sz w:val="17"/>
                <w:szCs w:val="17"/>
                <w:color w:val="auto"/>
              </w:rPr>
            </w:pPr>
          </w:p>
        </w:tc>
      </w:tr>
      <w:tr>
        <w:trPr>
          <w:trHeight w:val="222"/>
        </w:trPr>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40" w:type="dxa"/>
            <w:vAlign w:val="bottom"/>
            <w:gridSpan w:val="28"/>
          </w:tcPr>
          <w:p>
            <w:pPr>
              <w:spacing w:after="0"/>
              <w:rPr>
                <w:rFonts w:ascii="Arial" w:cs="Arial" w:eastAsia="Arial" w:hAnsi="Arial"/>
                <w:sz w:val="18"/>
                <w:szCs w:val="18"/>
                <w:u w:val="single" w:color="auto"/>
                <w:color w:val="0000EE"/>
                <w:w w:val="98"/>
              </w:rPr>
            </w:pPr>
            <w:hyperlink r:id="rId311">
              <w:r>
                <w:rPr>
                  <w:rFonts w:ascii="Arial" w:cs="Arial" w:eastAsia="Arial" w:hAnsi="Arial"/>
                  <w:sz w:val="18"/>
                  <w:szCs w:val="18"/>
                  <w:u w:val="single" w:color="auto"/>
                  <w:color w:val="0000EE"/>
                  <w:w w:val="98"/>
                </w:rPr>
                <w:t>(incorporated by reference to Exhibit 10.6 to the Company’s Quarterly Report on Form 10-Q</w:t>
              </w:r>
            </w:hyperlink>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gridSpan w:val="28"/>
          </w:tcPr>
          <w:p>
            <w:pPr>
              <w:spacing w:after="0"/>
              <w:rPr>
                <w:rFonts w:ascii="Arial" w:cs="Arial" w:eastAsia="Arial" w:hAnsi="Arial"/>
                <w:sz w:val="18"/>
                <w:szCs w:val="18"/>
                <w:u w:val="single" w:color="auto"/>
                <w:color w:val="0000EE"/>
              </w:rPr>
            </w:pPr>
            <w:hyperlink r:id="rId311">
              <w:r>
                <w:rPr>
                  <w:rFonts w:ascii="Arial" w:cs="Arial" w:eastAsia="Arial" w:hAnsi="Arial"/>
                  <w:sz w:val="18"/>
                  <w:szCs w:val="18"/>
                  <w:u w:val="single" w:color="auto"/>
                  <w:color w:val="0000EE"/>
                </w:rPr>
                <w:t>filed on May 20, 2019 (File No. 001-38860)).</w:t>
              </w:r>
            </w:hyperlink>
          </w:p>
        </w:tc>
      </w:tr>
      <w:tr>
        <w:trPr>
          <w:trHeight w:val="190"/>
        </w:trPr>
        <w:tc>
          <w:tcPr>
            <w:tcW w:w="760" w:type="dxa"/>
            <w:vAlign w:val="bottom"/>
          </w:tcPr>
          <w:p>
            <w:pPr>
              <w:spacing w:after="0" w:line="190" w:lineRule="exact"/>
              <w:rPr>
                <w:rFonts w:ascii="Arial" w:cs="Arial" w:eastAsia="Arial" w:hAnsi="Arial"/>
                <w:sz w:val="18"/>
                <w:szCs w:val="18"/>
                <w:u w:val="single" w:color="auto"/>
                <w:color w:val="0000EE"/>
              </w:rPr>
            </w:pPr>
            <w:hyperlink r:id="rId312">
              <w:r>
                <w:rPr>
                  <w:rFonts w:ascii="Arial" w:cs="Arial" w:eastAsia="Arial" w:hAnsi="Arial"/>
                  <w:sz w:val="18"/>
                  <w:szCs w:val="18"/>
                  <w:u w:val="single" w:color="auto"/>
                  <w:color w:val="0000EE"/>
                </w:rPr>
                <w:t>10.8.1</w:t>
              </w:r>
            </w:hyperlink>
          </w:p>
        </w:tc>
        <w:tc>
          <w:tcPr>
            <w:tcW w:w="220" w:type="dxa"/>
            <w:vAlign w:val="bottom"/>
          </w:tcPr>
          <w:p>
            <w:pPr>
              <w:spacing w:after="0"/>
              <w:rPr>
                <w:sz w:val="16"/>
                <w:szCs w:val="16"/>
                <w:color w:val="auto"/>
              </w:rPr>
            </w:pPr>
          </w:p>
        </w:tc>
        <w:tc>
          <w:tcPr>
            <w:tcW w:w="6880" w:type="dxa"/>
            <w:vAlign w:val="bottom"/>
            <w:tcBorders>
              <w:bottom w:val="single" w:sz="8" w:color="0000EE"/>
            </w:tcBorders>
            <w:gridSpan w:val="16"/>
          </w:tcPr>
          <w:p>
            <w:pPr>
              <w:spacing w:after="0" w:line="190" w:lineRule="exact"/>
              <w:rPr>
                <w:rFonts w:ascii="Arial" w:cs="Arial" w:eastAsia="Arial" w:hAnsi="Arial"/>
                <w:sz w:val="18"/>
                <w:szCs w:val="18"/>
                <w:color w:val="0000EE"/>
                <w:w w:val="94"/>
              </w:rPr>
            </w:pPr>
            <w:hyperlink r:id="rId312">
              <w:r>
                <w:rPr>
                  <w:rFonts w:ascii="Arial" w:cs="Arial" w:eastAsia="Arial" w:hAnsi="Arial"/>
                  <w:sz w:val="18"/>
                  <w:szCs w:val="18"/>
                  <w:color w:val="0000EE"/>
                  <w:w w:val="94"/>
                </w:rPr>
                <w:t>Amendment No.1, dated as of November 7, 2019, among Tradeweb Markets LLC and each</w:t>
              </w:r>
            </w:hyperlink>
          </w:p>
        </w:tc>
        <w:tc>
          <w:tcPr>
            <w:tcW w:w="360" w:type="dxa"/>
            <w:vAlign w:val="bottom"/>
            <w:gridSpan w:val="12"/>
          </w:tcPr>
          <w:p>
            <w:pPr>
              <w:spacing w:after="0"/>
              <w:rPr>
                <w:sz w:val="16"/>
                <w:szCs w:val="16"/>
                <w:color w:val="auto"/>
              </w:rPr>
            </w:pP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20" w:type="dxa"/>
            <w:vAlign w:val="bottom"/>
            <w:tcBorders>
              <w:bottom w:val="single" w:sz="8" w:color="0000EE"/>
            </w:tcBorders>
            <w:gridSpan w:val="23"/>
          </w:tcPr>
          <w:p>
            <w:pPr>
              <w:spacing w:after="0" w:line="196" w:lineRule="exact"/>
              <w:rPr>
                <w:rFonts w:ascii="Arial" w:cs="Arial" w:eastAsia="Arial" w:hAnsi="Arial"/>
                <w:sz w:val="18"/>
                <w:szCs w:val="18"/>
                <w:color w:val="0000EE"/>
                <w:w w:val="95"/>
              </w:rPr>
            </w:pPr>
            <w:hyperlink r:id="rId312">
              <w:r>
                <w:rPr>
                  <w:rFonts w:ascii="Arial" w:cs="Arial" w:eastAsia="Arial" w:hAnsi="Arial"/>
                  <w:sz w:val="18"/>
                  <w:szCs w:val="18"/>
                  <w:color w:val="0000EE"/>
                  <w:w w:val="95"/>
                </w:rPr>
                <w:t>lender party thereto, relating to Credit Agreement, dated as of April 8, 2019, among Tradeweb</w:t>
              </w:r>
            </w:hyperlink>
          </w:p>
        </w:tc>
        <w:tc>
          <w:tcPr>
            <w:tcW w:w="120" w:type="dxa"/>
            <w:vAlign w:val="bottom"/>
            <w:gridSpan w:val="5"/>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80" w:type="dxa"/>
            <w:vAlign w:val="bottom"/>
            <w:tcBorders>
              <w:bottom w:val="single" w:sz="8" w:color="0000EE"/>
            </w:tcBorders>
            <w:gridSpan w:val="22"/>
          </w:tcPr>
          <w:p>
            <w:pPr>
              <w:spacing w:after="0" w:line="196" w:lineRule="exact"/>
              <w:rPr>
                <w:rFonts w:ascii="Arial" w:cs="Arial" w:eastAsia="Arial" w:hAnsi="Arial"/>
                <w:sz w:val="18"/>
                <w:szCs w:val="18"/>
                <w:color w:val="0000EE"/>
                <w:w w:val="96"/>
              </w:rPr>
            </w:pPr>
            <w:hyperlink r:id="rId312">
              <w:r>
                <w:rPr>
                  <w:rFonts w:ascii="Arial" w:cs="Arial" w:eastAsia="Arial" w:hAnsi="Arial"/>
                  <w:sz w:val="18"/>
                  <w:szCs w:val="18"/>
                  <w:color w:val="0000EE"/>
                  <w:w w:val="96"/>
                </w:rPr>
                <w:t>Markets LLC, the lenders party thereto and Citibank, N.A., as administrative agent, collateral</w:t>
              </w:r>
            </w:hyperlink>
          </w:p>
        </w:tc>
        <w:tc>
          <w:tcPr>
            <w:tcW w:w="160" w:type="dxa"/>
            <w:vAlign w:val="bottom"/>
            <w:gridSpan w:val="6"/>
          </w:tcPr>
          <w:p>
            <w:pPr>
              <w:spacing w:after="0"/>
              <w:rPr>
                <w:sz w:val="17"/>
                <w:szCs w:val="17"/>
                <w:color w:val="auto"/>
              </w:rPr>
            </w:pPr>
          </w:p>
        </w:tc>
      </w:tr>
      <w:tr>
        <w:trPr>
          <w:trHeight w:val="222"/>
        </w:trPr>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40" w:type="dxa"/>
            <w:vAlign w:val="bottom"/>
            <w:gridSpan w:val="28"/>
          </w:tcPr>
          <w:p>
            <w:pPr>
              <w:spacing w:after="0"/>
              <w:rPr>
                <w:rFonts w:ascii="Arial" w:cs="Arial" w:eastAsia="Arial" w:hAnsi="Arial"/>
                <w:sz w:val="18"/>
                <w:szCs w:val="18"/>
                <w:u w:val="single" w:color="auto"/>
                <w:color w:val="0000EE"/>
              </w:rPr>
            </w:pPr>
            <w:hyperlink r:id="rId312">
              <w:r>
                <w:rPr>
                  <w:rFonts w:ascii="Arial" w:cs="Arial" w:eastAsia="Arial" w:hAnsi="Arial"/>
                  <w:sz w:val="18"/>
                  <w:szCs w:val="18"/>
                  <w:u w:val="single" w:color="auto"/>
                  <w:color w:val="0000EE"/>
                </w:rPr>
                <w:t>agent, issuing bank and swing line lender (incorporated by reference to Exhibit 10.1 to the</w:t>
              </w:r>
            </w:hyperlink>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gridSpan w:val="28"/>
          </w:tcPr>
          <w:p>
            <w:pPr>
              <w:spacing w:after="0"/>
              <w:rPr>
                <w:rFonts w:ascii="Arial" w:cs="Arial" w:eastAsia="Arial" w:hAnsi="Arial"/>
                <w:sz w:val="18"/>
                <w:szCs w:val="18"/>
                <w:u w:val="single" w:color="auto"/>
                <w:color w:val="0000EE"/>
                <w:w w:val="97"/>
              </w:rPr>
            </w:pPr>
            <w:hyperlink r:id="rId312">
              <w:r>
                <w:rPr>
                  <w:rFonts w:ascii="Arial" w:cs="Arial" w:eastAsia="Arial" w:hAnsi="Arial"/>
                  <w:sz w:val="18"/>
                  <w:szCs w:val="18"/>
                  <w:u w:val="single" w:color="auto"/>
                  <w:color w:val="0000EE"/>
                  <w:w w:val="97"/>
                </w:rPr>
                <w:t>Company’s Quarterly Report on Form 10-Q filed on November 8, 2019 (File No. 001-38860)).</w:t>
              </w:r>
            </w:hyperlink>
          </w:p>
        </w:tc>
      </w:tr>
      <w:tr>
        <w:trPr>
          <w:trHeight w:val="190"/>
        </w:trPr>
        <w:tc>
          <w:tcPr>
            <w:tcW w:w="760" w:type="dxa"/>
            <w:vAlign w:val="bottom"/>
          </w:tcPr>
          <w:p>
            <w:pPr>
              <w:spacing w:after="0" w:line="190" w:lineRule="exact"/>
              <w:rPr>
                <w:rFonts w:ascii="Arial" w:cs="Arial" w:eastAsia="Arial" w:hAnsi="Arial"/>
                <w:sz w:val="18"/>
                <w:szCs w:val="18"/>
                <w:u w:val="single" w:color="auto"/>
                <w:color w:val="0000EE"/>
              </w:rPr>
            </w:pPr>
            <w:hyperlink r:id="rId313">
              <w:r>
                <w:rPr>
                  <w:rFonts w:ascii="Arial" w:cs="Arial" w:eastAsia="Arial" w:hAnsi="Arial"/>
                  <w:sz w:val="18"/>
                  <w:szCs w:val="18"/>
                  <w:u w:val="single" w:color="auto"/>
                  <w:color w:val="0000EE"/>
                </w:rPr>
                <w:t>10.9</w:t>
              </w:r>
            </w:hyperlink>
          </w:p>
        </w:tc>
        <w:tc>
          <w:tcPr>
            <w:tcW w:w="220" w:type="dxa"/>
            <w:vAlign w:val="bottom"/>
          </w:tcPr>
          <w:p>
            <w:pPr>
              <w:spacing w:after="0"/>
              <w:rPr>
                <w:sz w:val="16"/>
                <w:szCs w:val="16"/>
                <w:color w:val="auto"/>
              </w:rPr>
            </w:pPr>
          </w:p>
        </w:tc>
        <w:tc>
          <w:tcPr>
            <w:tcW w:w="6700" w:type="dxa"/>
            <w:vAlign w:val="bottom"/>
            <w:tcBorders>
              <w:bottom w:val="single" w:sz="8" w:color="0000EE"/>
            </w:tcBorders>
            <w:gridSpan w:val="11"/>
          </w:tcPr>
          <w:p>
            <w:pPr>
              <w:spacing w:after="0" w:line="190" w:lineRule="exact"/>
              <w:rPr>
                <w:rFonts w:ascii="Arial" w:cs="Arial" w:eastAsia="Arial" w:hAnsi="Arial"/>
                <w:sz w:val="18"/>
                <w:szCs w:val="18"/>
                <w:color w:val="0000EE"/>
                <w:w w:val="95"/>
              </w:rPr>
            </w:pPr>
            <w:hyperlink r:id="rId313">
              <w:r>
                <w:rPr>
                  <w:rFonts w:ascii="Arial" w:cs="Arial" w:eastAsia="Arial" w:hAnsi="Arial"/>
                  <w:sz w:val="18"/>
                  <w:szCs w:val="18"/>
                  <w:color w:val="0000EE"/>
                  <w:w w:val="95"/>
                </w:rPr>
                <w:t>Security Agreement, dated as of April 8, 2019, among the grantors identified therein and</w:t>
              </w:r>
            </w:hyperlink>
          </w:p>
        </w:tc>
        <w:tc>
          <w:tcPr>
            <w:tcW w:w="540" w:type="dxa"/>
            <w:vAlign w:val="bottom"/>
            <w:gridSpan w:val="17"/>
          </w:tcPr>
          <w:p>
            <w:pPr>
              <w:spacing w:after="0"/>
              <w:rPr>
                <w:sz w:val="16"/>
                <w:szCs w:val="16"/>
                <w:color w:val="auto"/>
              </w:rPr>
            </w:pP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80" w:type="dxa"/>
            <w:vAlign w:val="bottom"/>
            <w:tcBorders>
              <w:bottom w:val="single" w:sz="8" w:color="0000EE"/>
            </w:tcBorders>
            <w:gridSpan w:val="26"/>
          </w:tcPr>
          <w:p>
            <w:pPr>
              <w:spacing w:after="0" w:line="196" w:lineRule="exact"/>
              <w:rPr>
                <w:rFonts w:ascii="Arial" w:cs="Arial" w:eastAsia="Arial" w:hAnsi="Arial"/>
                <w:sz w:val="18"/>
                <w:szCs w:val="18"/>
                <w:color w:val="0000EE"/>
                <w:w w:val="95"/>
              </w:rPr>
            </w:pPr>
            <w:hyperlink r:id="rId313">
              <w:r>
                <w:rPr>
                  <w:rFonts w:ascii="Arial" w:cs="Arial" w:eastAsia="Arial" w:hAnsi="Arial"/>
                  <w:sz w:val="18"/>
                  <w:szCs w:val="18"/>
                  <w:color w:val="0000EE"/>
                  <w:w w:val="95"/>
                </w:rPr>
                <w:t>Citibank, N.A., as collateral agent (incorporated by reference to Exhibit 10.7 to the Company’s</w:t>
              </w:r>
            </w:hyperlink>
          </w:p>
        </w:tc>
        <w:tc>
          <w:tcPr>
            <w:tcW w:w="60" w:type="dxa"/>
            <w:vAlign w:val="bottom"/>
            <w:gridSpan w:val="2"/>
          </w:tcPr>
          <w:p>
            <w:pPr>
              <w:spacing w:after="0"/>
              <w:rPr>
                <w:sz w:val="17"/>
                <w:szCs w:val="17"/>
                <w:color w:val="auto"/>
              </w:rPr>
            </w:pPr>
          </w:p>
        </w:tc>
      </w:tr>
      <w:tr>
        <w:trPr>
          <w:trHeight w:val="236"/>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gridSpan w:val="28"/>
          </w:tcPr>
          <w:p>
            <w:pPr>
              <w:spacing w:after="0"/>
              <w:rPr>
                <w:rFonts w:ascii="Arial" w:cs="Arial" w:eastAsia="Arial" w:hAnsi="Arial"/>
                <w:sz w:val="18"/>
                <w:szCs w:val="18"/>
                <w:u w:val="single" w:color="auto"/>
                <w:color w:val="0000EE"/>
              </w:rPr>
            </w:pPr>
            <w:hyperlink r:id="rId313">
              <w:r>
                <w:rPr>
                  <w:rFonts w:ascii="Arial" w:cs="Arial" w:eastAsia="Arial" w:hAnsi="Arial"/>
                  <w:sz w:val="18"/>
                  <w:szCs w:val="18"/>
                  <w:u w:val="single" w:color="auto"/>
                  <w:color w:val="0000EE"/>
                </w:rPr>
                <w:t>Quarterly Report on Form 10-Q filed on May 20, 2019 (File No. 001-38860)).</w:t>
              </w:r>
            </w:hyperlink>
          </w:p>
        </w:tc>
      </w:tr>
    </w:tbl>
    <w:p>
      <w:pPr>
        <w:spacing w:after="0" w:line="2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7" w:name="page158"/>
    <w:bookmarkEnd w:id="15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60"/>
        <w:spacing w:after="0"/>
        <w:tabs>
          <w:tab w:leader="none" w:pos="52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23495</wp:posOffset>
            </wp:positionV>
            <wp:extent cx="52120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 w:lineRule="exact"/>
        <w:rPr>
          <w:sz w:val="20"/>
          <w:szCs w:val="20"/>
          <w:color w:val="auto"/>
        </w:rPr>
      </w:pPr>
    </w:p>
    <w:p>
      <w:pPr>
        <w:ind w:left="2240" w:right="679" w:hanging="971"/>
        <w:spacing w:after="0" w:line="255" w:lineRule="auto"/>
        <w:tabs>
          <w:tab w:leader="none" w:pos="2220" w:val="left"/>
        </w:tabs>
        <w:rPr>
          <w:rFonts w:ascii="Arial" w:cs="Arial" w:eastAsia="Arial" w:hAnsi="Arial"/>
          <w:sz w:val="18"/>
          <w:szCs w:val="18"/>
          <w:u w:val="single" w:color="auto"/>
          <w:color w:val="0000EE"/>
        </w:rPr>
      </w:pPr>
      <w:hyperlink r:id="rId316">
        <w:r>
          <w:rPr>
            <w:rFonts w:ascii="Arial" w:cs="Arial" w:eastAsia="Arial" w:hAnsi="Arial"/>
            <w:sz w:val="18"/>
            <w:szCs w:val="18"/>
            <w:u w:val="single" w:color="auto"/>
            <w:color w:val="0000EE"/>
          </w:rPr>
          <w:t>10.10+</w:t>
        </w:r>
      </w:hyperlink>
      <w:r>
        <w:rPr>
          <w:rFonts w:ascii="Arial" w:cs="Arial" w:eastAsia="Arial" w:hAnsi="Arial"/>
          <w:sz w:val="18"/>
          <w:szCs w:val="18"/>
          <w:u w:val="single" w:color="auto"/>
          <w:color w:val="0000EE"/>
        </w:rPr>
        <w:tab/>
      </w:r>
      <w:hyperlink r:id="rId316">
        <w:r>
          <w:rPr>
            <w:rFonts w:ascii="Arial" w:cs="Arial" w:eastAsia="Arial" w:hAnsi="Arial"/>
            <w:sz w:val="18"/>
            <w:szCs w:val="18"/>
            <w:u w:val="single" w:color="auto"/>
            <w:color w:val="0000EE"/>
          </w:rPr>
          <w:t>Employment Agreement by and between Lee Olesky and Tradeweb Markets LLC (incorporated</w:t>
        </w:r>
      </w:hyperlink>
      <w:r>
        <w:rPr>
          <w:rFonts w:ascii="Arial" w:cs="Arial" w:eastAsia="Arial" w:hAnsi="Arial"/>
          <w:sz w:val="18"/>
          <w:szCs w:val="18"/>
          <w:u w:val="single" w:color="auto"/>
          <w:color w:val="0000EE"/>
        </w:rPr>
        <w:t xml:space="preserve"> </w:t>
      </w:r>
      <w:hyperlink r:id="rId316">
        <w:r>
          <w:rPr>
            <w:rFonts w:ascii="Arial" w:cs="Arial" w:eastAsia="Arial" w:hAnsi="Arial"/>
            <w:sz w:val="18"/>
            <w:szCs w:val="18"/>
            <w:u w:val="single" w:color="auto"/>
            <w:color w:val="0000EE"/>
          </w:rPr>
          <w:t>by reference to Exhibit 10.8 to the Company’s Registration Statement on Form S-1 (File No.</w:t>
        </w:r>
      </w:hyperlink>
      <w:r>
        <w:rPr>
          <w:rFonts w:ascii="Arial" w:cs="Arial" w:eastAsia="Arial" w:hAnsi="Arial"/>
          <w:sz w:val="18"/>
          <w:szCs w:val="18"/>
          <w:u w:val="single" w:color="auto"/>
          <w:color w:val="0000EE"/>
        </w:rPr>
        <w:t xml:space="preserve"> </w:t>
      </w:r>
      <w:hyperlink r:id="rId316">
        <w:r>
          <w:rPr>
            <w:rFonts w:ascii="Arial" w:cs="Arial" w:eastAsia="Arial" w:hAnsi="Arial"/>
            <w:sz w:val="18"/>
            <w:szCs w:val="18"/>
            <w:u w:val="single" w:color="auto"/>
            <w:color w:val="0000EE"/>
          </w:rPr>
          <w:t>333-230115)).</w:t>
        </w:r>
      </w:hyperlink>
    </w:p>
    <w:p>
      <w:pPr>
        <w:spacing w:after="0" w:line="3" w:lineRule="exact"/>
        <w:rPr>
          <w:rFonts w:ascii="Arial" w:cs="Arial" w:eastAsia="Arial" w:hAnsi="Arial"/>
          <w:sz w:val="18"/>
          <w:szCs w:val="18"/>
          <w:u w:val="single" w:color="auto"/>
          <w:color w:val="0000EE"/>
        </w:rPr>
      </w:pPr>
    </w:p>
    <w:p>
      <w:pPr>
        <w:ind w:left="2240" w:right="679" w:hanging="971"/>
        <w:spacing w:after="0" w:line="255" w:lineRule="auto"/>
        <w:tabs>
          <w:tab w:leader="none" w:pos="2220" w:val="left"/>
        </w:tabs>
        <w:rPr>
          <w:rFonts w:ascii="Arial" w:cs="Arial" w:eastAsia="Arial" w:hAnsi="Arial"/>
          <w:sz w:val="18"/>
          <w:szCs w:val="18"/>
          <w:u w:val="single" w:color="auto"/>
          <w:color w:val="0000EE"/>
        </w:rPr>
      </w:pPr>
      <w:hyperlink r:id="rId317">
        <w:r>
          <w:rPr>
            <w:rFonts w:ascii="Arial" w:cs="Arial" w:eastAsia="Arial" w:hAnsi="Arial"/>
            <w:sz w:val="18"/>
            <w:szCs w:val="18"/>
            <w:u w:val="single" w:color="auto"/>
            <w:color w:val="0000EE"/>
          </w:rPr>
          <w:t>10.11+</w:t>
        </w:r>
      </w:hyperlink>
      <w:r>
        <w:rPr>
          <w:rFonts w:ascii="Arial" w:cs="Arial" w:eastAsia="Arial" w:hAnsi="Arial"/>
          <w:sz w:val="18"/>
          <w:szCs w:val="18"/>
          <w:u w:val="single" w:color="auto"/>
          <w:color w:val="0000EE"/>
        </w:rPr>
        <w:tab/>
      </w:r>
      <w:hyperlink r:id="rId317">
        <w:r>
          <w:rPr>
            <w:rFonts w:ascii="Arial" w:cs="Arial" w:eastAsia="Arial" w:hAnsi="Arial"/>
            <w:sz w:val="18"/>
            <w:szCs w:val="18"/>
            <w:u w:val="single" w:color="auto"/>
            <w:color w:val="0000EE"/>
          </w:rPr>
          <w:t>Employment Agreement by and between William Hult and Tradeweb Markets LLC</w:t>
        </w:r>
      </w:hyperlink>
      <w:r>
        <w:rPr>
          <w:rFonts w:ascii="Arial" w:cs="Arial" w:eastAsia="Arial" w:hAnsi="Arial"/>
          <w:sz w:val="18"/>
          <w:szCs w:val="18"/>
          <w:u w:val="single" w:color="auto"/>
          <w:color w:val="0000EE"/>
        </w:rPr>
        <w:t xml:space="preserve"> </w:t>
      </w:r>
      <w:hyperlink r:id="rId317">
        <w:r>
          <w:rPr>
            <w:rFonts w:ascii="Arial" w:cs="Arial" w:eastAsia="Arial" w:hAnsi="Arial"/>
            <w:sz w:val="18"/>
            <w:szCs w:val="18"/>
            <w:u w:val="single" w:color="auto"/>
            <w:color w:val="0000EE"/>
          </w:rPr>
          <w:t>(incorporated by reference to Exhibit 10.9 to the Company’s Registration Statement on Form S-</w:t>
        </w:r>
      </w:hyperlink>
      <w:hyperlink r:id="rId317">
        <w:r>
          <w:rPr>
            <w:rFonts w:ascii="Arial" w:cs="Arial" w:eastAsia="Arial" w:hAnsi="Arial"/>
            <w:sz w:val="18"/>
            <w:szCs w:val="18"/>
            <w:u w:val="single" w:color="auto"/>
            <w:color w:val="0000EE"/>
          </w:rPr>
          <w:t>1 (File No. 333-230115)).</w:t>
        </w:r>
      </w:hyperlink>
    </w:p>
    <w:p>
      <w:pPr>
        <w:spacing w:after="0" w:line="2" w:lineRule="exact"/>
        <w:rPr>
          <w:rFonts w:ascii="Arial" w:cs="Arial" w:eastAsia="Arial" w:hAnsi="Arial"/>
          <w:sz w:val="18"/>
          <w:szCs w:val="18"/>
          <w:u w:val="single" w:color="auto"/>
          <w:color w:val="0000EE"/>
        </w:rPr>
      </w:pPr>
    </w:p>
    <w:p>
      <w:pPr>
        <w:ind w:left="2240" w:right="899" w:hanging="971"/>
        <w:spacing w:after="0" w:line="260" w:lineRule="auto"/>
        <w:tabs>
          <w:tab w:leader="none" w:pos="2220" w:val="left"/>
        </w:tabs>
        <w:rPr>
          <w:rFonts w:ascii="Arial" w:cs="Arial" w:eastAsia="Arial" w:hAnsi="Arial"/>
          <w:sz w:val="18"/>
          <w:szCs w:val="18"/>
          <w:u w:val="single" w:color="auto"/>
          <w:color w:val="0000EE"/>
        </w:rPr>
      </w:pPr>
      <w:hyperlink r:id="rId318">
        <w:r>
          <w:rPr>
            <w:rFonts w:ascii="Arial" w:cs="Arial" w:eastAsia="Arial" w:hAnsi="Arial"/>
            <w:sz w:val="18"/>
            <w:szCs w:val="18"/>
            <w:u w:val="single" w:color="auto"/>
            <w:color w:val="0000EE"/>
          </w:rPr>
          <w:t>10.12+</w:t>
        </w:r>
      </w:hyperlink>
      <w:r>
        <w:rPr>
          <w:rFonts w:ascii="Arial" w:cs="Arial" w:eastAsia="Arial" w:hAnsi="Arial"/>
          <w:sz w:val="18"/>
          <w:szCs w:val="18"/>
          <w:u w:val="single" w:color="auto"/>
          <w:color w:val="0000EE"/>
        </w:rPr>
        <w:tab/>
      </w:r>
      <w:hyperlink r:id="rId318">
        <w:r>
          <w:rPr>
            <w:rFonts w:ascii="Arial" w:cs="Arial" w:eastAsia="Arial" w:hAnsi="Arial"/>
            <w:sz w:val="18"/>
            <w:szCs w:val="18"/>
            <w:u w:val="single" w:color="auto"/>
            <w:color w:val="0000EE"/>
          </w:rPr>
          <w:t>Amended and Restated Tradeweb Markets Inc. 2018 Share Option Plan (incorporated by</w:t>
        </w:r>
      </w:hyperlink>
      <w:r>
        <w:rPr>
          <w:rFonts w:ascii="Arial" w:cs="Arial" w:eastAsia="Arial" w:hAnsi="Arial"/>
          <w:sz w:val="18"/>
          <w:szCs w:val="18"/>
          <w:u w:val="single" w:color="auto"/>
          <w:color w:val="0000EE"/>
        </w:rPr>
        <w:t xml:space="preserve"> </w:t>
      </w:r>
      <w:hyperlink r:id="rId318">
        <w:r>
          <w:rPr>
            <w:rFonts w:ascii="Arial" w:cs="Arial" w:eastAsia="Arial" w:hAnsi="Arial"/>
            <w:sz w:val="18"/>
            <w:szCs w:val="18"/>
            <w:u w:val="single" w:color="auto"/>
            <w:color w:val="0000EE"/>
          </w:rPr>
          <w:t>reference to Exhibit 10.8 to the Company’s Quarterly Report on Form 10-Q filed on May 20,</w:t>
        </w:r>
      </w:hyperlink>
      <w:r>
        <w:rPr>
          <w:rFonts w:ascii="Arial" w:cs="Arial" w:eastAsia="Arial" w:hAnsi="Arial"/>
          <w:sz w:val="18"/>
          <w:szCs w:val="18"/>
          <w:u w:val="single" w:color="auto"/>
          <w:color w:val="0000EE"/>
        </w:rPr>
        <w:t xml:space="preserve"> </w:t>
      </w:r>
      <w:hyperlink r:id="rId318">
        <w:r>
          <w:rPr>
            <w:rFonts w:ascii="Arial" w:cs="Arial" w:eastAsia="Arial" w:hAnsi="Arial"/>
            <w:sz w:val="18"/>
            <w:szCs w:val="18"/>
            <w:u w:val="single" w:color="auto"/>
            <w:color w:val="0000EE"/>
          </w:rPr>
          <w:t>2019 (File No. 001-38860)).</w:t>
        </w:r>
      </w:hyperlink>
    </w:p>
    <w:p>
      <w:pPr>
        <w:spacing w:after="0" w:line="1" w:lineRule="exact"/>
        <w:rPr>
          <w:rFonts w:ascii="Arial" w:cs="Arial" w:eastAsia="Arial" w:hAnsi="Arial"/>
          <w:sz w:val="18"/>
          <w:szCs w:val="18"/>
          <w:u w:val="single" w:color="auto"/>
          <w:color w:val="0000EE"/>
        </w:rPr>
      </w:pPr>
    </w:p>
    <w:p>
      <w:pPr>
        <w:ind w:left="2240" w:right="859" w:hanging="971"/>
        <w:spacing w:after="0" w:line="260" w:lineRule="auto"/>
        <w:tabs>
          <w:tab w:leader="none" w:pos="2220" w:val="left"/>
        </w:tabs>
        <w:rPr>
          <w:rFonts w:ascii="Arial" w:cs="Arial" w:eastAsia="Arial" w:hAnsi="Arial"/>
          <w:sz w:val="18"/>
          <w:szCs w:val="18"/>
          <w:u w:val="single" w:color="auto"/>
          <w:color w:val="0000EE"/>
        </w:rPr>
      </w:pPr>
      <w:hyperlink r:id="rId319">
        <w:r>
          <w:rPr>
            <w:rFonts w:ascii="Arial" w:cs="Arial" w:eastAsia="Arial" w:hAnsi="Arial"/>
            <w:sz w:val="18"/>
            <w:szCs w:val="18"/>
            <w:u w:val="single" w:color="auto"/>
            <w:color w:val="0000EE"/>
          </w:rPr>
          <w:t>10.13+</w:t>
        </w:r>
      </w:hyperlink>
      <w:r>
        <w:rPr>
          <w:rFonts w:ascii="Arial" w:cs="Arial" w:eastAsia="Arial" w:hAnsi="Arial"/>
          <w:sz w:val="18"/>
          <w:szCs w:val="18"/>
          <w:u w:val="single" w:color="auto"/>
          <w:color w:val="0000EE"/>
        </w:rPr>
        <w:tab/>
      </w:r>
      <w:hyperlink r:id="rId319">
        <w:r>
          <w:rPr>
            <w:rFonts w:ascii="Arial" w:cs="Arial" w:eastAsia="Arial" w:hAnsi="Arial"/>
            <w:sz w:val="18"/>
            <w:szCs w:val="18"/>
            <w:u w:val="single" w:color="auto"/>
            <w:color w:val="0000EE"/>
          </w:rPr>
          <w:t>Form of Option Agreement under the Amended and Restated Tradeweb Markets Inc. 2018</w:t>
        </w:r>
      </w:hyperlink>
      <w:r>
        <w:rPr>
          <w:rFonts w:ascii="Arial" w:cs="Arial" w:eastAsia="Arial" w:hAnsi="Arial"/>
          <w:sz w:val="18"/>
          <w:szCs w:val="18"/>
          <w:u w:val="single" w:color="auto"/>
          <w:color w:val="0000EE"/>
        </w:rPr>
        <w:t xml:space="preserve"> </w:t>
      </w:r>
      <w:hyperlink r:id="rId319">
        <w:r>
          <w:rPr>
            <w:rFonts w:ascii="Arial" w:cs="Arial" w:eastAsia="Arial" w:hAnsi="Arial"/>
            <w:sz w:val="18"/>
            <w:szCs w:val="18"/>
            <w:u w:val="single" w:color="auto"/>
            <w:color w:val="0000EE"/>
          </w:rPr>
          <w:t>Share Option Plan (incorporated by reference to Exhibit 10.11 to the Company’s Registration</w:t>
        </w:r>
      </w:hyperlink>
      <w:r>
        <w:rPr>
          <w:rFonts w:ascii="Arial" w:cs="Arial" w:eastAsia="Arial" w:hAnsi="Arial"/>
          <w:sz w:val="18"/>
          <w:szCs w:val="18"/>
          <w:u w:val="single" w:color="auto"/>
          <w:color w:val="0000EE"/>
        </w:rPr>
        <w:t xml:space="preserve"> </w:t>
      </w:r>
      <w:hyperlink r:id="rId319">
        <w:r>
          <w:rPr>
            <w:rFonts w:ascii="Arial" w:cs="Arial" w:eastAsia="Arial" w:hAnsi="Arial"/>
            <w:sz w:val="18"/>
            <w:szCs w:val="18"/>
            <w:u w:val="single" w:color="auto"/>
            <w:color w:val="0000EE"/>
          </w:rPr>
          <w:t>Statement on Form S-1 (File No. 333-230115)).</w:t>
        </w:r>
      </w:hyperlink>
    </w:p>
    <w:p>
      <w:pPr>
        <w:spacing w:after="0" w:line="2" w:lineRule="exact"/>
        <w:rPr>
          <w:rFonts w:ascii="Arial" w:cs="Arial" w:eastAsia="Arial" w:hAnsi="Arial"/>
          <w:sz w:val="18"/>
          <w:szCs w:val="18"/>
          <w:u w:val="single" w:color="auto"/>
          <w:color w:val="0000EE"/>
        </w:rPr>
      </w:pPr>
    </w:p>
    <w:p>
      <w:pPr>
        <w:ind w:left="1260"/>
        <w:spacing w:after="0"/>
        <w:tabs>
          <w:tab w:leader="none" w:pos="2220" w:val="left"/>
        </w:tabs>
        <w:rPr>
          <w:rFonts w:ascii="Arial" w:cs="Arial" w:eastAsia="Arial" w:hAnsi="Arial"/>
          <w:sz w:val="17"/>
          <w:szCs w:val="17"/>
          <w:u w:val="single" w:color="auto"/>
          <w:color w:val="0000EE"/>
        </w:rPr>
      </w:pPr>
      <w:hyperlink r:id="rId320">
        <w:r>
          <w:rPr>
            <w:rFonts w:ascii="Arial" w:cs="Arial" w:eastAsia="Arial" w:hAnsi="Arial"/>
            <w:sz w:val="18"/>
            <w:szCs w:val="18"/>
            <w:u w:val="single" w:color="auto"/>
            <w:color w:val="0000EE"/>
          </w:rPr>
          <w:t>10.14+</w:t>
        </w:r>
      </w:hyperlink>
      <w:r>
        <w:rPr>
          <w:rFonts w:ascii="Arial" w:cs="Arial" w:eastAsia="Arial" w:hAnsi="Arial"/>
          <w:sz w:val="18"/>
          <w:szCs w:val="18"/>
          <w:u w:val="single" w:color="auto"/>
          <w:color w:val="0000EE"/>
        </w:rPr>
        <w:tab/>
      </w:r>
      <w:hyperlink r:id="rId320">
        <w:r>
          <w:rPr>
            <w:rFonts w:ascii="Arial" w:cs="Arial" w:eastAsia="Arial" w:hAnsi="Arial"/>
            <w:sz w:val="17"/>
            <w:szCs w:val="17"/>
            <w:u w:val="single" w:color="auto"/>
            <w:color w:val="0000EE"/>
          </w:rPr>
          <w:t>Amended &amp; Restated Tradeweb Markets Inc. PRSU Plan (incorporated by reference to</w:t>
        </w:r>
      </w:hyperlink>
    </w:p>
    <w:p>
      <w:pPr>
        <w:spacing w:after="0" w:line="23" w:lineRule="exact"/>
        <w:rPr>
          <w:sz w:val="20"/>
          <w:szCs w:val="20"/>
          <w:color w:val="auto"/>
        </w:rPr>
      </w:pPr>
    </w:p>
    <w:p>
      <w:pPr>
        <w:ind w:left="2240"/>
        <w:spacing w:after="0"/>
        <w:rPr>
          <w:rFonts w:ascii="Arial" w:cs="Arial" w:eastAsia="Arial" w:hAnsi="Arial"/>
          <w:sz w:val="17"/>
          <w:szCs w:val="17"/>
          <w:u w:val="single" w:color="auto"/>
          <w:color w:val="0000EE"/>
        </w:rPr>
      </w:pPr>
      <w:hyperlink r:id="rId320">
        <w:r>
          <w:rPr>
            <w:rFonts w:ascii="Arial" w:cs="Arial" w:eastAsia="Arial" w:hAnsi="Arial"/>
            <w:sz w:val="17"/>
            <w:szCs w:val="17"/>
            <w:u w:val="single" w:color="auto"/>
            <w:color w:val="0000EE"/>
          </w:rPr>
          <w:t>Exhibit 10.9 to the Company’s Quarterly Report on Form 10-Q filed on May 20, 2019 (File No.</w:t>
        </w:r>
      </w:hyperlink>
    </w:p>
    <w:p>
      <w:pPr>
        <w:spacing w:after="0" w:line="21" w:lineRule="exact"/>
        <w:rPr>
          <w:sz w:val="20"/>
          <w:szCs w:val="20"/>
          <w:color w:val="auto"/>
        </w:rPr>
      </w:pPr>
    </w:p>
    <w:p>
      <w:pPr>
        <w:ind w:left="2240"/>
        <w:spacing w:after="0"/>
        <w:rPr>
          <w:rFonts w:ascii="Arial" w:cs="Arial" w:eastAsia="Arial" w:hAnsi="Arial"/>
          <w:sz w:val="18"/>
          <w:szCs w:val="18"/>
          <w:u w:val="single" w:color="auto"/>
          <w:color w:val="0000EE"/>
        </w:rPr>
      </w:pPr>
      <w:hyperlink r:id="rId320">
        <w:r>
          <w:rPr>
            <w:rFonts w:ascii="Arial" w:cs="Arial" w:eastAsia="Arial" w:hAnsi="Arial"/>
            <w:sz w:val="18"/>
            <w:szCs w:val="18"/>
            <w:u w:val="single" w:color="auto"/>
            <w:color w:val="0000EE"/>
          </w:rPr>
          <w:t>001-38860)).</w:t>
        </w:r>
      </w:hyperlink>
    </w:p>
    <w:p>
      <w:pPr>
        <w:spacing w:after="0" w:line="22" w:lineRule="exact"/>
        <w:rPr>
          <w:sz w:val="20"/>
          <w:szCs w:val="20"/>
          <w:color w:val="auto"/>
        </w:rPr>
      </w:pPr>
    </w:p>
    <w:p>
      <w:pPr>
        <w:jc w:val="both"/>
        <w:ind w:left="2240" w:right="799" w:hanging="971"/>
        <w:spacing w:after="0" w:line="260" w:lineRule="auto"/>
        <w:tabs>
          <w:tab w:leader="none" w:pos="2220" w:val="left"/>
        </w:tabs>
        <w:rPr>
          <w:rFonts w:ascii="Arial" w:cs="Arial" w:eastAsia="Arial" w:hAnsi="Arial"/>
          <w:sz w:val="18"/>
          <w:szCs w:val="18"/>
          <w:u w:val="single" w:color="auto"/>
          <w:color w:val="0000EE"/>
        </w:rPr>
      </w:pPr>
      <w:hyperlink r:id="rId321">
        <w:r>
          <w:rPr>
            <w:rFonts w:ascii="Arial" w:cs="Arial" w:eastAsia="Arial" w:hAnsi="Arial"/>
            <w:sz w:val="18"/>
            <w:szCs w:val="18"/>
            <w:u w:val="single" w:color="auto"/>
            <w:color w:val="0000EE"/>
          </w:rPr>
          <w:t>10.15+</w:t>
        </w:r>
      </w:hyperlink>
      <w:r>
        <w:rPr>
          <w:rFonts w:ascii="Arial" w:cs="Arial" w:eastAsia="Arial" w:hAnsi="Arial"/>
          <w:sz w:val="18"/>
          <w:szCs w:val="18"/>
          <w:u w:val="single" w:color="auto"/>
          <w:color w:val="0000EE"/>
        </w:rPr>
        <w:tab/>
      </w:r>
      <w:hyperlink r:id="rId321">
        <w:r>
          <w:rPr>
            <w:rFonts w:ascii="Arial" w:cs="Arial" w:eastAsia="Arial" w:hAnsi="Arial"/>
            <w:sz w:val="18"/>
            <w:szCs w:val="18"/>
            <w:u w:val="single" w:color="auto"/>
            <w:color w:val="0000EE"/>
          </w:rPr>
          <w:t>Form of PRSU Agreement under the Amended &amp; Restated Tradeweb Markets Inc. PRSU Plan</w:t>
        </w:r>
      </w:hyperlink>
      <w:r>
        <w:rPr>
          <w:rFonts w:ascii="Arial" w:cs="Arial" w:eastAsia="Arial" w:hAnsi="Arial"/>
          <w:sz w:val="18"/>
          <w:szCs w:val="18"/>
          <w:u w:val="single" w:color="auto"/>
          <w:color w:val="0000EE"/>
        </w:rPr>
        <w:t xml:space="preserve"> </w:t>
      </w:r>
      <w:hyperlink r:id="rId321">
        <w:r>
          <w:rPr>
            <w:rFonts w:ascii="Arial" w:cs="Arial" w:eastAsia="Arial" w:hAnsi="Arial"/>
            <w:sz w:val="18"/>
            <w:szCs w:val="18"/>
            <w:u w:val="single" w:color="auto"/>
            <w:color w:val="0000EE"/>
          </w:rPr>
          <w:t>(incorporated by reference to Exhibit 10.13 to the Company’s Registration Statement on Form</w:t>
        </w:r>
      </w:hyperlink>
      <w:r>
        <w:rPr>
          <w:rFonts w:ascii="Arial" w:cs="Arial" w:eastAsia="Arial" w:hAnsi="Arial"/>
          <w:sz w:val="18"/>
          <w:szCs w:val="18"/>
          <w:u w:val="single" w:color="auto"/>
          <w:color w:val="0000EE"/>
        </w:rPr>
        <w:t xml:space="preserve"> </w:t>
      </w:r>
      <w:hyperlink r:id="rId321">
        <w:r>
          <w:rPr>
            <w:rFonts w:ascii="Arial" w:cs="Arial" w:eastAsia="Arial" w:hAnsi="Arial"/>
            <w:sz w:val="18"/>
            <w:szCs w:val="18"/>
            <w:u w:val="single" w:color="auto"/>
            <w:color w:val="0000EE"/>
          </w:rPr>
          <w:t>S-1 (File No. 333-230115)).</w:t>
        </w:r>
      </w:hyperlink>
    </w:p>
    <w:p>
      <w:pPr>
        <w:spacing w:after="0" w:line="2" w:lineRule="exact"/>
        <w:rPr>
          <w:rFonts w:ascii="Arial" w:cs="Arial" w:eastAsia="Arial" w:hAnsi="Arial"/>
          <w:sz w:val="18"/>
          <w:szCs w:val="18"/>
          <w:u w:val="single" w:color="auto"/>
          <w:color w:val="0000EE"/>
        </w:rPr>
      </w:pPr>
    </w:p>
    <w:p>
      <w:pPr>
        <w:ind w:left="2240" w:right="919" w:hanging="971"/>
        <w:spacing w:after="0" w:line="260" w:lineRule="auto"/>
        <w:tabs>
          <w:tab w:leader="none" w:pos="2220" w:val="left"/>
        </w:tabs>
        <w:rPr>
          <w:rFonts w:ascii="Arial" w:cs="Arial" w:eastAsia="Arial" w:hAnsi="Arial"/>
          <w:sz w:val="18"/>
          <w:szCs w:val="18"/>
          <w:u w:val="single" w:color="auto"/>
          <w:color w:val="0000EE"/>
        </w:rPr>
      </w:pPr>
      <w:hyperlink r:id="rId322">
        <w:r>
          <w:rPr>
            <w:rFonts w:ascii="Arial" w:cs="Arial" w:eastAsia="Arial" w:hAnsi="Arial"/>
            <w:sz w:val="18"/>
            <w:szCs w:val="18"/>
            <w:u w:val="single" w:color="auto"/>
            <w:color w:val="0000EE"/>
          </w:rPr>
          <w:t>10.16+</w:t>
        </w:r>
      </w:hyperlink>
      <w:r>
        <w:rPr>
          <w:rFonts w:ascii="Arial" w:cs="Arial" w:eastAsia="Arial" w:hAnsi="Arial"/>
          <w:sz w:val="18"/>
          <w:szCs w:val="18"/>
          <w:u w:val="single" w:color="auto"/>
          <w:color w:val="0000EE"/>
        </w:rPr>
        <w:tab/>
      </w:r>
      <w:hyperlink r:id="rId322">
        <w:r>
          <w:rPr>
            <w:rFonts w:ascii="Arial" w:cs="Arial" w:eastAsia="Arial" w:hAnsi="Arial"/>
            <w:sz w:val="18"/>
            <w:szCs w:val="18"/>
            <w:u w:val="single" w:color="auto"/>
            <w:color w:val="0000EE"/>
          </w:rPr>
          <w:t>Tradeweb Markets Inc. 2019 Omnibus Equity Incentive Plan (incorporated by reference to</w:t>
        </w:r>
      </w:hyperlink>
      <w:r>
        <w:rPr>
          <w:rFonts w:ascii="Arial" w:cs="Arial" w:eastAsia="Arial" w:hAnsi="Arial"/>
          <w:sz w:val="18"/>
          <w:szCs w:val="18"/>
          <w:u w:val="single" w:color="auto"/>
          <w:color w:val="0000EE"/>
        </w:rPr>
        <w:t xml:space="preserve"> </w:t>
      </w:r>
      <w:hyperlink r:id="rId322">
        <w:r>
          <w:rPr>
            <w:rFonts w:ascii="Arial" w:cs="Arial" w:eastAsia="Arial" w:hAnsi="Arial"/>
            <w:sz w:val="18"/>
            <w:szCs w:val="18"/>
            <w:u w:val="single" w:color="auto"/>
            <w:color w:val="0000EE"/>
          </w:rPr>
          <w:t>Exhibit 10.10 to the Company’s Quarterly Report on Form 10-Q filed on May 20, 2019 (File</w:t>
        </w:r>
      </w:hyperlink>
      <w:r>
        <w:rPr>
          <w:rFonts w:ascii="Arial" w:cs="Arial" w:eastAsia="Arial" w:hAnsi="Arial"/>
          <w:sz w:val="18"/>
          <w:szCs w:val="18"/>
          <w:u w:val="single" w:color="auto"/>
          <w:color w:val="0000EE"/>
        </w:rPr>
        <w:t xml:space="preserve"> </w:t>
      </w:r>
      <w:hyperlink r:id="rId322">
        <w:r>
          <w:rPr>
            <w:rFonts w:ascii="Arial" w:cs="Arial" w:eastAsia="Arial" w:hAnsi="Arial"/>
            <w:sz w:val="18"/>
            <w:szCs w:val="18"/>
            <w:u w:val="single" w:color="auto"/>
            <w:color w:val="0000EE"/>
          </w:rPr>
          <w:t>No. 001-38860)).</w:t>
        </w:r>
      </w:hyperlink>
    </w:p>
    <w:p>
      <w:pPr>
        <w:spacing w:after="0" w:line="2" w:lineRule="exact"/>
        <w:rPr>
          <w:rFonts w:ascii="Arial" w:cs="Arial" w:eastAsia="Arial" w:hAnsi="Arial"/>
          <w:sz w:val="18"/>
          <w:szCs w:val="18"/>
          <w:u w:val="single" w:color="auto"/>
          <w:color w:val="0000EE"/>
        </w:rPr>
      </w:pPr>
    </w:p>
    <w:p>
      <w:pPr>
        <w:ind w:left="2240" w:right="799" w:hanging="971"/>
        <w:spacing w:after="0" w:line="260" w:lineRule="auto"/>
        <w:tabs>
          <w:tab w:leader="none" w:pos="2220" w:val="left"/>
        </w:tabs>
        <w:rPr>
          <w:rFonts w:ascii="Arial" w:cs="Arial" w:eastAsia="Arial" w:hAnsi="Arial"/>
          <w:sz w:val="18"/>
          <w:szCs w:val="18"/>
          <w:u w:val="single" w:color="auto"/>
          <w:color w:val="0000EE"/>
        </w:rPr>
      </w:pPr>
      <w:hyperlink r:id="rId323">
        <w:r>
          <w:rPr>
            <w:rFonts w:ascii="Arial" w:cs="Arial" w:eastAsia="Arial" w:hAnsi="Arial"/>
            <w:sz w:val="18"/>
            <w:szCs w:val="18"/>
            <w:u w:val="single" w:color="auto"/>
            <w:color w:val="0000EE"/>
          </w:rPr>
          <w:t>10.17+</w:t>
        </w:r>
      </w:hyperlink>
      <w:r>
        <w:rPr>
          <w:rFonts w:ascii="Arial" w:cs="Arial" w:eastAsia="Arial" w:hAnsi="Arial"/>
          <w:sz w:val="18"/>
          <w:szCs w:val="18"/>
          <w:u w:val="single" w:color="auto"/>
          <w:color w:val="0000EE"/>
        </w:rPr>
        <w:tab/>
      </w:r>
      <w:hyperlink r:id="rId323">
        <w:r>
          <w:rPr>
            <w:rFonts w:ascii="Arial" w:cs="Arial" w:eastAsia="Arial" w:hAnsi="Arial"/>
            <w:sz w:val="18"/>
            <w:szCs w:val="18"/>
            <w:u w:val="single" w:color="auto"/>
            <w:color w:val="0000EE"/>
          </w:rPr>
          <w:t>Form of Director RSU Agreement under the Tradeweb Markets Inc. 2019 Omnibus Equity</w:t>
        </w:r>
      </w:hyperlink>
      <w:r>
        <w:rPr>
          <w:rFonts w:ascii="Arial" w:cs="Arial" w:eastAsia="Arial" w:hAnsi="Arial"/>
          <w:sz w:val="18"/>
          <w:szCs w:val="18"/>
          <w:u w:val="single" w:color="auto"/>
          <w:color w:val="0000EE"/>
        </w:rPr>
        <w:t xml:space="preserve"> </w:t>
      </w:r>
      <w:hyperlink r:id="rId323">
        <w:r>
          <w:rPr>
            <w:rFonts w:ascii="Arial" w:cs="Arial" w:eastAsia="Arial" w:hAnsi="Arial"/>
            <w:sz w:val="18"/>
            <w:szCs w:val="18"/>
            <w:u w:val="single" w:color="auto"/>
            <w:color w:val="0000EE"/>
          </w:rPr>
          <w:t>Incentive Plan (incorporated by reference to Exhibit 10.11 to the Company’s Quarterly Report</w:t>
        </w:r>
      </w:hyperlink>
      <w:r>
        <w:rPr>
          <w:rFonts w:ascii="Arial" w:cs="Arial" w:eastAsia="Arial" w:hAnsi="Arial"/>
          <w:sz w:val="18"/>
          <w:szCs w:val="18"/>
          <w:u w:val="single" w:color="auto"/>
          <w:color w:val="0000EE"/>
        </w:rPr>
        <w:t xml:space="preserve"> </w:t>
      </w:r>
      <w:hyperlink r:id="rId323">
        <w:r>
          <w:rPr>
            <w:rFonts w:ascii="Arial" w:cs="Arial" w:eastAsia="Arial" w:hAnsi="Arial"/>
            <w:sz w:val="18"/>
            <w:szCs w:val="18"/>
            <w:u w:val="single" w:color="auto"/>
            <w:color w:val="0000EE"/>
          </w:rPr>
          <w:t>on Form 10-Q filed on May 20, 2019 (File No. 001-38860)).</w:t>
        </w:r>
      </w:hyperlink>
    </w:p>
    <w:p>
      <w:pPr>
        <w:spacing w:after="0" w:line="2" w:lineRule="exact"/>
        <w:rPr>
          <w:rFonts w:ascii="Arial" w:cs="Arial" w:eastAsia="Arial" w:hAnsi="Arial"/>
          <w:sz w:val="18"/>
          <w:szCs w:val="18"/>
          <w:u w:val="single" w:color="auto"/>
          <w:color w:val="0000EE"/>
        </w:rPr>
      </w:pPr>
    </w:p>
    <w:p>
      <w:pPr>
        <w:ind w:left="2240" w:right="1119" w:hanging="971"/>
        <w:spacing w:after="0" w:line="258" w:lineRule="auto"/>
        <w:tabs>
          <w:tab w:leader="none" w:pos="2220" w:val="left"/>
        </w:tabs>
        <w:rPr>
          <w:rFonts w:ascii="Arial" w:cs="Arial" w:eastAsia="Arial" w:hAnsi="Arial"/>
          <w:sz w:val="18"/>
          <w:szCs w:val="18"/>
          <w:u w:val="single" w:color="auto"/>
          <w:color w:val="0000EE"/>
        </w:rPr>
      </w:pPr>
      <w:hyperlink r:id="rId324">
        <w:r>
          <w:rPr>
            <w:rFonts w:ascii="Arial" w:cs="Arial" w:eastAsia="Arial" w:hAnsi="Arial"/>
            <w:sz w:val="18"/>
            <w:szCs w:val="18"/>
            <w:u w:val="single" w:color="auto"/>
            <w:color w:val="0000EE"/>
          </w:rPr>
          <w:t>10.18†</w:t>
        </w:r>
      </w:hyperlink>
      <w:r>
        <w:rPr>
          <w:rFonts w:ascii="Arial" w:cs="Arial" w:eastAsia="Arial" w:hAnsi="Arial"/>
          <w:sz w:val="18"/>
          <w:szCs w:val="18"/>
          <w:u w:val="single" w:color="auto"/>
          <w:color w:val="0000EE"/>
        </w:rPr>
        <w:tab/>
      </w:r>
      <w:hyperlink r:id="rId324">
        <w:r>
          <w:rPr>
            <w:rFonts w:ascii="Arial" w:cs="Arial" w:eastAsia="Arial" w:hAnsi="Arial"/>
            <w:sz w:val="18"/>
            <w:szCs w:val="18"/>
            <w:u w:val="single" w:color="auto"/>
            <w:color w:val="0000EE"/>
          </w:rPr>
          <w:t>Second Amended &amp; Restated Market Data Agreement, dated November 1, 2018, by and</w:t>
        </w:r>
      </w:hyperlink>
      <w:r>
        <w:rPr>
          <w:rFonts w:ascii="Arial" w:cs="Arial" w:eastAsia="Arial" w:hAnsi="Arial"/>
          <w:sz w:val="18"/>
          <w:szCs w:val="18"/>
          <w:u w:val="single" w:color="auto"/>
          <w:color w:val="0000EE"/>
        </w:rPr>
        <w:t xml:space="preserve"> </w:t>
      </w:r>
      <w:hyperlink r:id="rId324">
        <w:r>
          <w:rPr>
            <w:rFonts w:ascii="Arial" w:cs="Arial" w:eastAsia="Arial" w:hAnsi="Arial"/>
            <w:sz w:val="18"/>
            <w:szCs w:val="18"/>
            <w:u w:val="single" w:color="auto"/>
            <w:color w:val="0000EE"/>
          </w:rPr>
          <w:t>between Tradeweb Markets LLC, Thomson Reuters (Markets) LLC and Thomson Reuters</w:t>
        </w:r>
      </w:hyperlink>
      <w:r>
        <w:rPr>
          <w:rFonts w:ascii="Arial" w:cs="Arial" w:eastAsia="Arial" w:hAnsi="Arial"/>
          <w:sz w:val="18"/>
          <w:szCs w:val="18"/>
          <w:u w:val="single" w:color="auto"/>
          <w:color w:val="0000EE"/>
        </w:rPr>
        <w:t xml:space="preserve"> </w:t>
      </w:r>
      <w:hyperlink r:id="rId324">
        <w:r>
          <w:rPr>
            <w:rFonts w:ascii="Arial" w:cs="Arial" w:eastAsia="Arial" w:hAnsi="Arial"/>
            <w:sz w:val="18"/>
            <w:szCs w:val="18"/>
            <w:u w:val="single" w:color="auto"/>
            <w:color w:val="0000EE"/>
          </w:rPr>
          <w:t>(GRC) Inc. (incorporated by reference to Exhibit 10.14 to the Company’s Registration</w:t>
        </w:r>
      </w:hyperlink>
      <w:r>
        <w:rPr>
          <w:rFonts w:ascii="Arial" w:cs="Arial" w:eastAsia="Arial" w:hAnsi="Arial"/>
          <w:sz w:val="18"/>
          <w:szCs w:val="18"/>
          <w:u w:val="single" w:color="auto"/>
          <w:color w:val="0000EE"/>
        </w:rPr>
        <w:t xml:space="preserve"> </w:t>
      </w:r>
      <w:hyperlink r:id="rId324">
        <w:r>
          <w:rPr>
            <w:rFonts w:ascii="Arial" w:cs="Arial" w:eastAsia="Arial" w:hAnsi="Arial"/>
            <w:sz w:val="18"/>
            <w:szCs w:val="18"/>
            <w:u w:val="single" w:color="auto"/>
            <w:color w:val="0000EE"/>
          </w:rPr>
          <w:t>Statement on Form S-1 (File No. 333-230115)).</w:t>
        </w:r>
      </w:hyperlink>
    </w:p>
    <w:p>
      <w:pPr>
        <w:spacing w:after="0" w:line="1" w:lineRule="exact"/>
        <w:rPr>
          <w:rFonts w:ascii="Arial" w:cs="Arial" w:eastAsia="Arial" w:hAnsi="Arial"/>
          <w:sz w:val="18"/>
          <w:szCs w:val="18"/>
          <w:u w:val="single" w:color="auto"/>
          <w:color w:val="0000EE"/>
        </w:rPr>
      </w:pPr>
    </w:p>
    <w:p>
      <w:pPr>
        <w:jc w:val="center"/>
        <w:ind w:right="99"/>
        <w:spacing w:after="0"/>
        <w:tabs>
          <w:tab w:leader="none" w:pos="420" w:val="left"/>
        </w:tabs>
        <w:rPr>
          <w:rFonts w:ascii="Arial" w:cs="Arial" w:eastAsia="Arial" w:hAnsi="Arial"/>
          <w:sz w:val="17"/>
          <w:szCs w:val="17"/>
          <w:u w:val="single" w:color="auto"/>
          <w:color w:val="0000EE"/>
        </w:rPr>
      </w:pPr>
      <w:hyperlink r:id="rId325">
        <w:r>
          <w:rPr>
            <w:rFonts w:ascii="Arial" w:cs="Arial" w:eastAsia="Arial" w:hAnsi="Arial"/>
            <w:sz w:val="18"/>
            <w:szCs w:val="18"/>
            <w:u w:val="single" w:color="auto"/>
            <w:color w:val="0000EE"/>
          </w:rPr>
          <w:t>10.19+</w:t>
        </w:r>
      </w:hyperlink>
      <w:r>
        <w:rPr>
          <w:rFonts w:ascii="Arial" w:cs="Arial" w:eastAsia="Arial" w:hAnsi="Arial"/>
          <w:sz w:val="18"/>
          <w:szCs w:val="18"/>
          <w:u w:val="single" w:color="auto"/>
          <w:color w:val="0000EE"/>
        </w:rPr>
        <w:tab/>
      </w:r>
      <w:hyperlink r:id="rId325">
        <w:r>
          <w:rPr>
            <w:rFonts w:ascii="Arial" w:cs="Arial" w:eastAsia="Arial" w:hAnsi="Arial"/>
            <w:sz w:val="17"/>
            <w:szCs w:val="17"/>
            <w:u w:val="single" w:color="auto"/>
            <w:color w:val="0000EE"/>
          </w:rPr>
          <w:t>Form of Indemnification Agreement (incorporated by reference to Exhibit 10.16 to the</w:t>
        </w:r>
      </w:hyperlink>
    </w:p>
    <w:p>
      <w:pPr>
        <w:spacing w:after="0" w:line="23" w:lineRule="exact"/>
        <w:rPr>
          <w:sz w:val="20"/>
          <w:szCs w:val="20"/>
          <w:color w:val="auto"/>
        </w:rPr>
      </w:pPr>
    </w:p>
    <w:p>
      <w:pPr>
        <w:jc w:val="center"/>
        <w:ind w:right="199"/>
        <w:spacing w:after="0"/>
        <w:rPr>
          <w:rFonts w:ascii="Arial" w:cs="Arial" w:eastAsia="Arial" w:hAnsi="Arial"/>
          <w:sz w:val="18"/>
          <w:szCs w:val="18"/>
          <w:u w:val="single" w:color="auto"/>
          <w:color w:val="0000EE"/>
        </w:rPr>
      </w:pPr>
      <w:hyperlink r:id="rId325">
        <w:r>
          <w:rPr>
            <w:rFonts w:ascii="Arial" w:cs="Arial" w:eastAsia="Arial" w:hAnsi="Arial"/>
            <w:sz w:val="18"/>
            <w:szCs w:val="18"/>
            <w:u w:val="single" w:color="auto"/>
            <w:color w:val="0000EE"/>
          </w:rPr>
          <w:t>Company’s Registration Statement on Form S-1 (File No. 333-230115)).</w:t>
        </w:r>
      </w:hyperlink>
    </w:p>
    <w:p>
      <w:pPr>
        <w:spacing w:after="0" w:line="22" w:lineRule="exact"/>
        <w:rPr>
          <w:sz w:val="20"/>
          <w:szCs w:val="20"/>
          <w:color w:val="auto"/>
        </w:rPr>
      </w:pPr>
    </w:p>
    <w:p>
      <w:pPr>
        <w:ind w:left="2240" w:right="919" w:hanging="971"/>
        <w:spacing w:after="0" w:line="266" w:lineRule="auto"/>
        <w:tabs>
          <w:tab w:leader="none" w:pos="2220" w:val="left"/>
        </w:tabs>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16.1</w:t>
        </w:r>
      </w:hyperlink>
      <w:r>
        <w:rPr>
          <w:rFonts w:ascii="Arial" w:cs="Arial" w:eastAsia="Arial" w:hAnsi="Arial"/>
          <w:sz w:val="18"/>
          <w:szCs w:val="18"/>
          <w:u w:val="single" w:color="auto"/>
          <w:color w:val="0000EE"/>
        </w:rPr>
        <w:tab/>
      </w:r>
      <w:hyperlink w:anchor="page202">
        <w:r>
          <w:rPr>
            <w:rFonts w:ascii="Arial" w:cs="Arial" w:eastAsia="Arial" w:hAnsi="Arial"/>
            <w:sz w:val="18"/>
            <w:szCs w:val="18"/>
            <w:u w:val="single" w:color="auto"/>
            <w:color w:val="0000EE"/>
          </w:rPr>
          <w:t>Letter of PricewaterhouseCoopers LLP, dated April 20, 2020, regarding change in Tradeweb</w:t>
        </w:r>
      </w:hyperlink>
      <w:r>
        <w:rPr>
          <w:rFonts w:ascii="Arial" w:cs="Arial" w:eastAsia="Arial" w:hAnsi="Arial"/>
          <w:sz w:val="18"/>
          <w:szCs w:val="18"/>
          <w:u w:val="single" w:color="auto"/>
          <w:color w:val="0000EE"/>
        </w:rPr>
        <w:t xml:space="preserve"> </w:t>
      </w:r>
      <w:hyperlink w:anchor="page202">
        <w:r>
          <w:rPr>
            <w:rFonts w:ascii="Arial" w:cs="Arial" w:eastAsia="Arial" w:hAnsi="Arial"/>
            <w:sz w:val="18"/>
            <w:szCs w:val="18"/>
            <w:u w:val="single" w:color="auto"/>
            <w:color w:val="0000EE"/>
          </w:rPr>
          <w:t>Markets LLC’s independent registered public accounting firm.</w:t>
        </w:r>
      </w:hyperlink>
    </w:p>
    <w:p>
      <w:pPr>
        <w:ind w:left="2240" w:right="739" w:hanging="971"/>
        <w:spacing w:after="0" w:line="290" w:lineRule="auto"/>
        <w:tabs>
          <w:tab w:leader="none" w:pos="2220" w:val="left"/>
        </w:tabs>
        <w:rPr>
          <w:rFonts w:ascii="Arial" w:cs="Arial" w:eastAsia="Arial" w:hAnsi="Arial"/>
          <w:sz w:val="17"/>
          <w:szCs w:val="17"/>
          <w:u w:val="single" w:color="auto"/>
          <w:color w:val="0000EE"/>
        </w:rPr>
      </w:pPr>
      <w:hyperlink r:id="rId326">
        <w:r>
          <w:rPr>
            <w:rFonts w:ascii="Arial" w:cs="Arial" w:eastAsia="Arial" w:hAnsi="Arial"/>
            <w:sz w:val="18"/>
            <w:szCs w:val="18"/>
            <w:u w:val="single" w:color="auto"/>
            <w:color w:val="0000EE"/>
          </w:rPr>
          <w:t>21.1</w:t>
        </w:r>
      </w:hyperlink>
      <w:r>
        <w:rPr>
          <w:rFonts w:ascii="Arial" w:cs="Arial" w:eastAsia="Arial" w:hAnsi="Arial"/>
          <w:sz w:val="18"/>
          <w:szCs w:val="18"/>
          <w:u w:val="single" w:color="auto"/>
          <w:color w:val="0000EE"/>
        </w:rPr>
        <w:tab/>
      </w:r>
      <w:hyperlink r:id="rId326">
        <w:r>
          <w:rPr>
            <w:rFonts w:ascii="Arial" w:cs="Arial" w:eastAsia="Arial" w:hAnsi="Arial"/>
            <w:sz w:val="17"/>
            <w:szCs w:val="17"/>
            <w:u w:val="single" w:color="auto"/>
            <w:color w:val="0000EE"/>
          </w:rPr>
          <w:t>List of Subsidiaries of Tradeweb Markets Inc. (incorporated by reference to Exhibit 21.1 to the</w:t>
        </w:r>
      </w:hyperlink>
      <w:r>
        <w:rPr>
          <w:rFonts w:ascii="Arial" w:cs="Arial" w:eastAsia="Arial" w:hAnsi="Arial"/>
          <w:sz w:val="17"/>
          <w:szCs w:val="17"/>
          <w:u w:val="single" w:color="auto"/>
          <w:color w:val="0000EE"/>
        </w:rPr>
        <w:t xml:space="preserve"> </w:t>
      </w:r>
      <w:hyperlink r:id="rId326">
        <w:r>
          <w:rPr>
            <w:rFonts w:ascii="Arial" w:cs="Arial" w:eastAsia="Arial" w:hAnsi="Arial"/>
            <w:sz w:val="17"/>
            <w:szCs w:val="17"/>
            <w:u w:val="single" w:color="auto"/>
            <w:color w:val="0000EE"/>
          </w:rPr>
          <w:t>Company’s Annual Report on Form 10-K/A filed on March 4, 2020 (File No. 001-38860)).</w:t>
        </w:r>
      </w:hyperlink>
    </w:p>
    <w:p>
      <w:pPr>
        <w:ind w:left="1260"/>
        <w:spacing w:after="0"/>
        <w:tabs>
          <w:tab w:leader="none" w:pos="2220" w:val="left"/>
        </w:tabs>
        <w:rPr>
          <w:rFonts w:ascii="Arial" w:cs="Arial" w:eastAsia="Arial" w:hAnsi="Arial"/>
          <w:sz w:val="17"/>
          <w:szCs w:val="17"/>
          <w:u w:val="single" w:color="auto"/>
          <w:color w:val="0000EE"/>
        </w:rPr>
      </w:pPr>
      <w:hyperlink w:anchor="page204">
        <w:r>
          <w:rPr>
            <w:rFonts w:ascii="Arial" w:cs="Arial" w:eastAsia="Arial" w:hAnsi="Arial"/>
            <w:sz w:val="18"/>
            <w:szCs w:val="18"/>
            <w:u w:val="single" w:color="auto"/>
            <w:color w:val="0000EE"/>
          </w:rPr>
          <w:t>23.1</w:t>
        </w:r>
      </w:hyperlink>
      <w:r>
        <w:rPr>
          <w:rFonts w:ascii="Arial" w:cs="Arial" w:eastAsia="Arial" w:hAnsi="Arial"/>
          <w:sz w:val="18"/>
          <w:szCs w:val="18"/>
          <w:u w:val="single" w:color="auto"/>
          <w:color w:val="0000EE"/>
        </w:rPr>
        <w:tab/>
      </w:r>
      <w:hyperlink w:anchor="page204">
        <w:r>
          <w:rPr>
            <w:rFonts w:ascii="Arial" w:cs="Arial" w:eastAsia="Arial" w:hAnsi="Arial"/>
            <w:sz w:val="17"/>
            <w:szCs w:val="17"/>
            <w:u w:val="single" w:color="auto"/>
            <w:color w:val="0000EE"/>
          </w:rPr>
          <w:t>Consent of Deloitte &amp; Touche LLP.</w:t>
        </w:r>
      </w:hyperlink>
    </w:p>
    <w:p>
      <w:pPr>
        <w:spacing w:after="0" w:line="36" w:lineRule="exact"/>
        <w:rPr>
          <w:sz w:val="20"/>
          <w:szCs w:val="20"/>
          <w:color w:val="auto"/>
        </w:rPr>
      </w:pPr>
    </w:p>
    <w:p>
      <w:pPr>
        <w:ind w:left="1260"/>
        <w:spacing w:after="0"/>
        <w:tabs>
          <w:tab w:leader="none" w:pos="2220" w:val="left"/>
        </w:tabs>
        <w:rPr>
          <w:rFonts w:ascii="Arial" w:cs="Arial" w:eastAsia="Arial" w:hAnsi="Arial"/>
          <w:sz w:val="16"/>
          <w:szCs w:val="16"/>
          <w:u w:val="single" w:color="auto"/>
          <w:color w:val="0000EE"/>
        </w:rPr>
      </w:pPr>
      <w:hyperlink w:anchor="page205">
        <w:r>
          <w:rPr>
            <w:rFonts w:ascii="Arial" w:cs="Arial" w:eastAsia="Arial" w:hAnsi="Arial"/>
            <w:sz w:val="18"/>
            <w:szCs w:val="18"/>
            <w:u w:val="single" w:color="auto"/>
            <w:color w:val="0000EE"/>
          </w:rPr>
          <w:t>23.2</w:t>
        </w:r>
      </w:hyperlink>
      <w:r>
        <w:rPr>
          <w:rFonts w:ascii="Arial" w:cs="Arial" w:eastAsia="Arial" w:hAnsi="Arial"/>
          <w:sz w:val="18"/>
          <w:szCs w:val="18"/>
          <w:u w:val="single" w:color="auto"/>
          <w:color w:val="0000EE"/>
        </w:rPr>
        <w:tab/>
      </w:r>
      <w:hyperlink w:anchor="page205">
        <w:r>
          <w:rPr>
            <w:rFonts w:ascii="Arial" w:cs="Arial" w:eastAsia="Arial" w:hAnsi="Arial"/>
            <w:sz w:val="16"/>
            <w:szCs w:val="16"/>
            <w:u w:val="single" w:color="auto"/>
            <w:color w:val="0000EE"/>
          </w:rPr>
          <w:t>Consent of PricewaterhouseCoopers LLP.</w:t>
        </w:r>
      </w:hyperlink>
    </w:p>
    <w:p>
      <w:pPr>
        <w:spacing w:after="0" w:line="36" w:lineRule="exact"/>
        <w:rPr>
          <w:sz w:val="20"/>
          <w:szCs w:val="20"/>
          <w:color w:val="auto"/>
        </w:rPr>
      </w:pPr>
    </w:p>
    <w:p>
      <w:pPr>
        <w:ind w:left="1260"/>
        <w:spacing w:after="0"/>
        <w:tabs>
          <w:tab w:leader="none" w:pos="2220" w:val="left"/>
        </w:tabs>
        <w:rPr>
          <w:rFonts w:ascii="Arial" w:cs="Arial" w:eastAsia="Arial" w:hAnsi="Arial"/>
          <w:sz w:val="17"/>
          <w:szCs w:val="17"/>
          <w:u w:val="single" w:color="auto"/>
          <w:color w:val="0000EE"/>
        </w:rPr>
      </w:pPr>
      <w:hyperlink w:anchor="page200">
        <w:r>
          <w:rPr>
            <w:rFonts w:ascii="Arial" w:cs="Arial" w:eastAsia="Arial" w:hAnsi="Arial"/>
            <w:sz w:val="18"/>
            <w:szCs w:val="18"/>
            <w:u w:val="single" w:color="auto"/>
            <w:color w:val="0000EE"/>
          </w:rPr>
          <w:t>23.3</w:t>
        </w:r>
      </w:hyperlink>
      <w:r>
        <w:rPr>
          <w:rFonts w:ascii="Arial" w:cs="Arial" w:eastAsia="Arial" w:hAnsi="Arial"/>
          <w:sz w:val="18"/>
          <w:szCs w:val="18"/>
          <w:u w:val="single" w:color="auto"/>
          <w:color w:val="0000EE"/>
        </w:rPr>
        <w:tab/>
      </w:r>
      <w:hyperlink w:anchor="page200">
        <w:r>
          <w:rPr>
            <w:rFonts w:ascii="Arial" w:cs="Arial" w:eastAsia="Arial" w:hAnsi="Arial"/>
            <w:sz w:val="17"/>
            <w:szCs w:val="17"/>
            <w:u w:val="single" w:color="auto"/>
            <w:color w:val="0000EE"/>
          </w:rPr>
          <w:t>Consent of Fried, Frank, Harris, Shriver &amp; Jacobson LLP (included in Exhibit 5.1).</w:t>
        </w:r>
      </w:hyperlink>
    </w:p>
    <w:p>
      <w:pPr>
        <w:spacing w:after="0" w:line="36" w:lineRule="exact"/>
        <w:rPr>
          <w:sz w:val="20"/>
          <w:szCs w:val="20"/>
          <w:color w:val="auto"/>
        </w:rPr>
      </w:pPr>
    </w:p>
    <w:p>
      <w:pPr>
        <w:ind w:left="1260"/>
        <w:spacing w:after="0"/>
        <w:tabs>
          <w:tab w:leader="none" w:pos="2220" w:val="left"/>
        </w:tabs>
        <w:rPr>
          <w:rFonts w:ascii="Arial" w:cs="Arial" w:eastAsia="Arial" w:hAnsi="Arial"/>
          <w:sz w:val="17"/>
          <w:szCs w:val="17"/>
          <w:u w:val="single" w:color="auto"/>
          <w:color w:val="0000EE"/>
        </w:rPr>
      </w:pPr>
      <w:hyperlink w:anchor="page158">
        <w:r>
          <w:rPr>
            <w:rFonts w:ascii="Arial" w:cs="Arial" w:eastAsia="Arial" w:hAnsi="Arial"/>
            <w:sz w:val="18"/>
            <w:szCs w:val="18"/>
            <w:u w:val="single" w:color="auto"/>
            <w:color w:val="0000EE"/>
          </w:rPr>
          <w:t>24.1</w:t>
        </w:r>
      </w:hyperlink>
      <w:r>
        <w:rPr>
          <w:rFonts w:ascii="Arial" w:cs="Arial" w:eastAsia="Arial" w:hAnsi="Arial"/>
          <w:sz w:val="18"/>
          <w:szCs w:val="18"/>
          <w:u w:val="single" w:color="auto"/>
          <w:color w:val="0000EE"/>
        </w:rPr>
        <w:tab/>
      </w:r>
      <w:hyperlink w:anchor="page158">
        <w:r>
          <w:rPr>
            <w:rFonts w:ascii="Arial" w:cs="Arial" w:eastAsia="Arial" w:hAnsi="Arial"/>
            <w:sz w:val="17"/>
            <w:szCs w:val="17"/>
            <w:u w:val="single" w:color="auto"/>
            <w:color w:val="0000EE"/>
          </w:rPr>
          <w:t>Power of Attorney (included in signature pages 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186055</wp:posOffset>
            </wp:positionV>
            <wp:extent cx="123444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620" w:hanging="352"/>
        <w:spacing w:after="0"/>
        <w:tabs>
          <w:tab w:leader="none" w:pos="16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131" w:lineRule="exact"/>
        <w:rPr>
          <w:sz w:val="20"/>
          <w:szCs w:val="20"/>
          <w:color w:val="auto"/>
        </w:rPr>
      </w:pPr>
    </w:p>
    <w:p>
      <w:pPr>
        <w:ind w:left="1620" w:right="1159" w:hanging="352"/>
        <w:spacing w:after="0" w:line="277" w:lineRule="auto"/>
        <w:tabs>
          <w:tab w:leader="none" w:pos="16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and separately filed with the SEC pursuant to a request for confidential treatment which has been granted by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left="1260" w:right="1260" w:firstLine="36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New York, State of New York, on this 20th day of April, 2020.</w:t>
      </w:r>
    </w:p>
    <w:p>
      <w:pPr>
        <w:spacing w:after="0" w:line="9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Tradeweb Markets Inc.</w:t>
      </w:r>
    </w:p>
    <w:p>
      <w:pPr>
        <w:spacing w:after="0" w:line="27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31750</wp:posOffset>
            </wp:positionV>
            <wp:extent cx="25114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Lee Olesky</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Executive Officer</w:t>
      </w:r>
    </w:p>
    <w:p>
      <w:pPr>
        <w:spacing w:after="0" w:line="130" w:lineRule="exact"/>
        <w:rPr>
          <w:sz w:val="20"/>
          <w:szCs w:val="20"/>
          <w:color w:val="auto"/>
        </w:rPr>
      </w:pPr>
    </w:p>
    <w:p>
      <w:pPr>
        <w:ind w:left="1260" w:right="1340" w:firstLine="360"/>
        <w:spacing w:after="0" w:line="269" w:lineRule="auto"/>
        <w:rPr>
          <w:sz w:val="20"/>
          <w:szCs w:val="20"/>
          <w:color w:val="auto"/>
        </w:rPr>
      </w:pPr>
      <w:r>
        <w:rPr>
          <w:rFonts w:ascii="Arial" w:cs="Arial" w:eastAsia="Arial" w:hAnsi="Arial"/>
          <w:sz w:val="17"/>
          <w:szCs w:val="17"/>
          <w:color w:val="auto"/>
        </w:rPr>
        <w:t>KNOW ALL PERSONS BY THESE PRESENTS, that each individual whose signature appears below constitutes and appoints each of Lee Olesky, Robert Warshaw and Douglas Friedman, or any of them, each acting alone, his or her true and lawful attorney-in-fact and agent, with full powers of substitution and resubstitution, for him or her and in his or her name, place and stead, in any and all capacities, to sign any or all amendments (including post-effective amendments) to this registration statement and any subsequent registration statement filed pursuant to Rule 462 under the Securities Act of 1933, as amended, and to file the same, with all exhibits thereto, and other documents in connection therewith, with the Securities and Exchange Commission, granting unto said attorneys-in-fact and agents, and each of them, acting alone, full power and authority to do and perform each and every act and thing requisite and necessary to be done in connection therewith, as fully to all intents and purposes as he or she might or could do in person, and hereby ratifying and confirming all that said attorneys-in-fact and agents or any of them, or their substitute or substitutes, may lawfully do or cause to be done by virtue hereof.</w:t>
      </w:r>
    </w:p>
    <w:p>
      <w:pPr>
        <w:spacing w:after="0" w:line="71" w:lineRule="exact"/>
        <w:rPr>
          <w:sz w:val="20"/>
          <w:szCs w:val="20"/>
          <w:color w:val="auto"/>
        </w:rPr>
      </w:pPr>
    </w:p>
    <w:p>
      <w:pPr>
        <w:ind w:left="1260" w:right="140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2060" w:type="dxa"/>
            <w:vAlign w:val="bottom"/>
          </w:tcPr>
          <w:p>
            <w:pPr>
              <w:ind w:left="720"/>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6"/>
                <w:szCs w:val="16"/>
                <w:color w:val="auto"/>
              </w:rPr>
            </w:pPr>
          </w:p>
        </w:tc>
        <w:tc>
          <w:tcPr>
            <w:tcW w:w="3880" w:type="dxa"/>
            <w:vAlign w:val="bottom"/>
            <w:gridSpan w:val="2"/>
          </w:tcPr>
          <w:p>
            <w:pPr>
              <w:ind w:left="1680"/>
              <w:spacing w:after="0"/>
              <w:rPr>
                <w:sz w:val="20"/>
                <w:szCs w:val="20"/>
                <w:color w:val="auto"/>
              </w:rPr>
            </w:pPr>
            <w:r>
              <w:rPr>
                <w:rFonts w:ascii="Arial" w:cs="Arial" w:eastAsia="Arial" w:hAnsi="Arial"/>
                <w:sz w:val="14"/>
                <w:szCs w:val="14"/>
                <w:b w:val="1"/>
                <w:bCs w:val="1"/>
                <w:color w:val="auto"/>
              </w:rPr>
              <w:t>Title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126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 Lee Olesky</w:t>
            </w:r>
          </w:p>
        </w:tc>
        <w:tc>
          <w:tcPr>
            <w:tcW w:w="2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Chief Executive Officer (Principal Executive</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April 20, 2020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220" w:type="dxa"/>
            <w:vAlign w:val="bottom"/>
            <w:vMerge w:val="restart"/>
          </w:tcPr>
          <w:p>
            <w:pPr>
              <w:spacing w:after="0"/>
              <w:rPr>
                <w:sz w:val="5"/>
                <w:szCs w:val="5"/>
                <w:color w:val="auto"/>
              </w:rPr>
            </w:pPr>
          </w:p>
        </w:tc>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Officer) and Director</w:t>
            </w:r>
          </w:p>
        </w:tc>
        <w:tc>
          <w:tcPr>
            <w:tcW w:w="20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2060" w:type="dxa"/>
            <w:vAlign w:val="bottom"/>
            <w:vMerge w:val="restart"/>
          </w:tcPr>
          <w:p>
            <w:pPr>
              <w:spacing w:after="0"/>
              <w:rPr>
                <w:sz w:val="20"/>
                <w:szCs w:val="20"/>
                <w:color w:val="auto"/>
              </w:rPr>
            </w:pPr>
            <w:r>
              <w:rPr>
                <w:rFonts w:ascii="Arial" w:cs="Arial" w:eastAsia="Arial" w:hAnsi="Arial"/>
                <w:sz w:val="18"/>
                <w:szCs w:val="18"/>
                <w:color w:val="auto"/>
              </w:rPr>
              <w:t>Lee Olesky</w:t>
            </w:r>
          </w:p>
        </w:tc>
        <w:tc>
          <w:tcPr>
            <w:tcW w:w="220" w:type="dxa"/>
            <w:vAlign w:val="bottom"/>
            <w:vMerge w:val="continue"/>
          </w:tcPr>
          <w:p>
            <w:pPr>
              <w:spacing w:after="0"/>
              <w:rPr>
                <w:sz w:val="12"/>
                <w:szCs w:val="12"/>
                <w:color w:val="auto"/>
              </w:rPr>
            </w:pPr>
          </w:p>
        </w:tc>
        <w:tc>
          <w:tcPr>
            <w:tcW w:w="3880" w:type="dxa"/>
            <w:vAlign w:val="bottom"/>
            <w:gridSpan w:val="2"/>
            <w:vMerge w:val="continue"/>
          </w:tcPr>
          <w:p>
            <w:pPr>
              <w:spacing w:after="0"/>
              <w:rPr>
                <w:sz w:val="12"/>
                <w:szCs w:val="12"/>
                <w:color w:val="auto"/>
              </w:rPr>
            </w:pPr>
          </w:p>
        </w:tc>
        <w:tc>
          <w:tcPr>
            <w:tcW w:w="2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260" w:type="dxa"/>
            <w:vAlign w:val="bottom"/>
          </w:tcPr>
          <w:p>
            <w:pPr>
              <w:spacing w:after="0"/>
              <w:rPr>
                <w:sz w:val="8"/>
                <w:szCs w:val="8"/>
                <w:color w:val="auto"/>
              </w:rPr>
            </w:pPr>
          </w:p>
        </w:tc>
        <w:tc>
          <w:tcPr>
            <w:tcW w:w="20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260" w:type="dxa"/>
            <w:vAlign w:val="bottom"/>
          </w:tcPr>
          <w:p>
            <w:pPr>
              <w:spacing w:after="0"/>
              <w:rPr>
                <w:sz w:val="23"/>
                <w:szCs w:val="23"/>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 Robert Warshaw</w:t>
            </w:r>
          </w:p>
        </w:tc>
        <w:tc>
          <w:tcPr>
            <w:tcW w:w="220" w:type="dxa"/>
            <w:vAlign w:val="bottom"/>
          </w:tcPr>
          <w:p>
            <w:pPr>
              <w:spacing w:after="0"/>
              <w:rPr>
                <w:sz w:val="23"/>
                <w:szCs w:val="23"/>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April 20, 2020</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220" w:type="dxa"/>
            <w:vAlign w:val="bottom"/>
            <w:vMerge w:val="restart"/>
          </w:tcPr>
          <w:p>
            <w:pPr>
              <w:spacing w:after="0"/>
              <w:rPr>
                <w:sz w:val="5"/>
                <w:szCs w:val="5"/>
                <w:color w:val="auto"/>
              </w:rPr>
            </w:pPr>
          </w:p>
        </w:tc>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Officer and Principal Accounting Officer)</w:t>
            </w:r>
          </w:p>
        </w:tc>
        <w:tc>
          <w:tcPr>
            <w:tcW w:w="20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2060" w:type="dxa"/>
            <w:vAlign w:val="bottom"/>
            <w:vMerge w:val="restart"/>
          </w:tcPr>
          <w:p>
            <w:pPr>
              <w:spacing w:after="0"/>
              <w:rPr>
                <w:sz w:val="20"/>
                <w:szCs w:val="20"/>
                <w:color w:val="auto"/>
              </w:rPr>
            </w:pPr>
            <w:r>
              <w:rPr>
                <w:rFonts w:ascii="Arial" w:cs="Arial" w:eastAsia="Arial" w:hAnsi="Arial"/>
                <w:sz w:val="18"/>
                <w:szCs w:val="18"/>
                <w:color w:val="auto"/>
              </w:rPr>
              <w:t>Robert Warshaw</w:t>
            </w:r>
          </w:p>
        </w:tc>
        <w:tc>
          <w:tcPr>
            <w:tcW w:w="220" w:type="dxa"/>
            <w:vAlign w:val="bottom"/>
            <w:vMerge w:val="continue"/>
          </w:tcPr>
          <w:p>
            <w:pPr>
              <w:spacing w:after="0"/>
              <w:rPr>
                <w:sz w:val="12"/>
                <w:szCs w:val="12"/>
                <w:color w:val="auto"/>
              </w:rPr>
            </w:pPr>
          </w:p>
        </w:tc>
        <w:tc>
          <w:tcPr>
            <w:tcW w:w="3880" w:type="dxa"/>
            <w:vAlign w:val="bottom"/>
            <w:gridSpan w:val="2"/>
            <w:vMerge w:val="continue"/>
          </w:tcPr>
          <w:p>
            <w:pPr>
              <w:spacing w:after="0"/>
              <w:rPr>
                <w:sz w:val="12"/>
                <w:szCs w:val="12"/>
                <w:color w:val="auto"/>
              </w:rPr>
            </w:pPr>
          </w:p>
        </w:tc>
        <w:tc>
          <w:tcPr>
            <w:tcW w:w="2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20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 Steven Berns</w:t>
            </w:r>
          </w:p>
        </w:tc>
        <w:tc>
          <w:tcPr>
            <w:tcW w:w="2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rPr>
              <w:t>April 20, 2020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Steven Berns</w:t>
            </w: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 Martin Brand</w:t>
            </w:r>
          </w:p>
        </w:tc>
        <w:tc>
          <w:tcPr>
            <w:tcW w:w="2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April 20, 2020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Martin Brand</w:t>
            </w: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 John G. Finley</w:t>
            </w:r>
          </w:p>
        </w:tc>
        <w:tc>
          <w:tcPr>
            <w:tcW w:w="2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April 20, 2020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John G. Finley</w:t>
            </w: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 Scott C. Ganeles</w:t>
            </w:r>
          </w:p>
        </w:tc>
        <w:tc>
          <w:tcPr>
            <w:tcW w:w="2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April 20, 2020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Scott C. Ganeles</w:t>
            </w: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 William Hult</w:t>
            </w:r>
          </w:p>
        </w:tc>
        <w:tc>
          <w:tcPr>
            <w:tcW w:w="2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April 20, 2020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William Hult</w:t>
            </w: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 Paula B. Madoff</w:t>
            </w:r>
          </w:p>
        </w:tc>
        <w:tc>
          <w:tcPr>
            <w:tcW w:w="2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April 20, 2020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Paula B. Madoff</w:t>
            </w: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 Thomas Pluta</w:t>
            </w:r>
          </w:p>
        </w:tc>
        <w:tc>
          <w:tcPr>
            <w:tcW w:w="2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April 20, 2020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Thomas Pluta</w:t>
            </w: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 Debra Walton</w:t>
            </w:r>
          </w:p>
        </w:tc>
        <w:tc>
          <w:tcPr>
            <w:tcW w:w="2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April 20, 2020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Debra Walton</w:t>
            </w: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 Brian West</w:t>
            </w:r>
          </w:p>
        </w:tc>
        <w:tc>
          <w:tcPr>
            <w:tcW w:w="2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April 20, 2020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Brian West</w:t>
            </w: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gridSpan w:val="2"/>
          </w:tcPr>
          <w:p>
            <w:pPr>
              <w:ind w:left="1700"/>
              <w:spacing w:after="0"/>
              <w:rPr>
                <w:sz w:val="20"/>
                <w:szCs w:val="20"/>
                <w:color w:val="auto"/>
              </w:rPr>
            </w:pPr>
            <w:r>
              <w:rPr>
                <w:rFonts w:ascii="Arial" w:cs="Arial" w:eastAsia="Arial" w:hAnsi="Arial"/>
                <w:sz w:val="18"/>
                <w:szCs w:val="18"/>
                <w:color w:val="auto"/>
              </w:rPr>
              <w:t>II-6</w:t>
            </w:r>
          </w:p>
        </w:tc>
        <w:tc>
          <w:tcPr>
            <w:tcW w:w="2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159" w:name="page160"/>
    <w:bookmarkEnd w:id="159"/>
    <w:p>
      <w:pPr>
        <w:ind w:left="10240"/>
        <w:spacing w:after="0"/>
        <w:rPr>
          <w:sz w:val="20"/>
          <w:szCs w:val="20"/>
          <w:color w:val="auto"/>
        </w:rPr>
      </w:pPr>
      <w:r>
        <w:rPr>
          <w:rFonts w:ascii="Arial" w:cs="Arial" w:eastAsia="Arial" w:hAnsi="Arial"/>
          <w:sz w:val="19"/>
          <w:szCs w:val="19"/>
          <w:b w:val="1"/>
          <w:bCs w:val="1"/>
          <w:color w:val="auto"/>
        </w:rPr>
        <w:t>Exhibit 1.1</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Common Stock, par value $0.00001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Tradeweb Markets Inc., a Delaware corporation (the “Company”), proposes, subject to the terms and conditions stated in this agreement (this “Agreement”), to issue and sell to the several Underwriters named in Schedule I hereto (the “Underwriters”), for whom you are acting as representatives (the “Representatives”), an aggregate of [·] shares of Class A common stock, par value $0.00001 per share (the “Class A Common Stock”), of the Company (the “Firm Shares”) and, at the election of the Underwriters, up to [·] additional shares of Class A Common Stock of the Company (the “Optional Shares”). The Firm Shares and the Optional Shares that the Underwriters elect to purchase pursuant to Section 2 hereof are herein collectively called the “Shares.”</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avoidance of doubt, it shall be understood and agreed that any and all references in this Agreement to “subsidiaries” of the Company shall be deemed to include Tradeweb Markets LLC, a Delaware limited liability company (“TWM LLC”),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0" w:name="page161"/>
    <w:bookmarkEnd w:id="160"/>
    <w:p>
      <w:pPr>
        <w:ind w:left="-20" w:firstLine="656"/>
        <w:spacing w:after="0" w:line="277" w:lineRule="auto"/>
        <w:tabs>
          <w:tab w:leader="none" w:pos="130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Each of the Company and TWM LLC (each, a “Tradeweb Party” and collectively, the “Tradeweb Parties”), jointly and severally, represents and warrants to, and agrees with, each of the Underwriters that:</w:t>
      </w:r>
    </w:p>
    <w:p>
      <w:pPr>
        <w:spacing w:after="0" w:line="170" w:lineRule="exact"/>
        <w:rPr>
          <w:sz w:val="20"/>
          <w:szCs w:val="20"/>
          <w:color w:val="auto"/>
        </w:rPr>
      </w:pPr>
    </w:p>
    <w:p>
      <w:pPr>
        <w:jc w:val="both"/>
        <w:ind w:left="320" w:firstLine="316"/>
        <w:spacing w:after="0" w:line="284" w:lineRule="auto"/>
        <w:tabs>
          <w:tab w:leader="none" w:pos="1299"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 registration statement on Form S-1 (File No. 333-[·]) (the “Initial Registration Statement”) in respect of the Shares has been filed with the Securities and Exchange Commission (the “Commission”); the Initial Registration Statement and any post-effective amendment thereto, each in the form heretofore delivered to you and to you for each of the other Underwriters, including all documents incorporated by reference in the prospectus included therein, but excluding exhibits to the Initial Registration Statement,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heretofore been filed with the Commission; and no stop order suspending the effectiveness of the Initial Registration Statement, any post-effective amendment thereto or the Rule 462(b) Registration Statement, if any, has been issued and no proceeding for that purpose has been initiated or, to the knowledge of the Company, threatened by the Commission (any preliminary prospectus included in the Initial Registration Statement or filed with the Commission pursuant to Rule 424(a) of the rules and regulations of the Commission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and any documents incorporated therein pursuant to Item 12 of Form S-1 under the Act,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1(a)(iv) hereof) is hereinafter called the “Pricing Prospectus”; such final prospectus, in the form first filed pursuant to Rule 424(b) under the Act, is hereinafter called the “Prospectus”; any “issuer free writing prospectus” as defined in Rule 433 under the Act relating to the Shares is hereinafter called an “Issuer Free Writing Prospectus”; any oral or written communication with potential investors undertaken in reliance on Section 5(d) of the Act is hereinafter called a “Section 5(d) Communication”; any Section 5(d) Communication that is a written communication within the meaning of Rule 405 under the Act is hereinafter called a “Section 5(d) Writing”; any reference to a Registration Statement, any Preliminary Prospectus or the Prospectus shall be deemed to refer to and include any documents incorporated by reference therein pursuant to Form S-1 under the Act as of the date of such Registration Statement, the Pricing Prospectus or the Prospectus, as the case may be;</w:t>
      </w:r>
    </w:p>
    <w:p>
      <w:pPr>
        <w:spacing w:after="0" w:line="392" w:lineRule="exact"/>
        <w:rPr>
          <w:rFonts w:ascii="Arial" w:cs="Arial" w:eastAsia="Arial" w:hAnsi="Arial"/>
          <w:sz w:val="16"/>
          <w:szCs w:val="16"/>
          <w:color w:val="auto"/>
        </w:rPr>
      </w:pPr>
    </w:p>
    <w:p>
      <w:pPr>
        <w:jc w:val="both"/>
        <w:ind w:left="320" w:firstLine="316"/>
        <w:spacing w:after="0" w:line="272" w:lineRule="auto"/>
        <w:tabs>
          <w:tab w:leader="none" w:pos="1346"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No order preventing or suspending the use of any Preliminary Prospectus or any Issuer Free Writing Prospectus has been issued by the Commission, and the Pricing Prospectus, at the time of filing thereof, conformed in all material respects to the requirements of the Act and the rules and regulations of the Commission thereunder, and did not contain an untrue statement of a material fact or omit to state a material fact necessary in order to make the statements therein, in the light of the circumstances under which they were made, not misleading; provided, however, that this representation and warranty shall not apply to any statements or omissions made in reliance upon and in conformity with information furnished in writing to the Company by an Underwriter through the Representatives expressly for use therein, it being understood and agreed that the only such information furnished by any Underwriter consists solely of the information described as such in Section 9(b) hereof;</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61" w:name="page162"/>
    <w:bookmarkEnd w:id="161"/>
    <w:p>
      <w:pPr>
        <w:ind w:firstLine="316"/>
        <w:spacing w:after="0" w:line="277" w:lineRule="auto"/>
        <w:tabs>
          <w:tab w:leader="none" w:pos="97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From the time of initial confidential submission of the Registration Statement to the Commission through the date hereof, the Company has been and is an “emerging growth company,” as defined in Section 2(a) of the Act (an “Emerging Growth Company”);</w:t>
      </w:r>
    </w:p>
    <w:p>
      <w:pPr>
        <w:spacing w:after="0" w:line="170" w:lineRule="exact"/>
        <w:rPr>
          <w:rFonts w:ascii="Arial" w:cs="Arial" w:eastAsia="Arial" w:hAnsi="Arial"/>
          <w:sz w:val="18"/>
          <w:szCs w:val="18"/>
          <w:color w:val="auto"/>
        </w:rPr>
      </w:pPr>
    </w:p>
    <w:p>
      <w:pPr>
        <w:jc w:val="both"/>
        <w:ind w:firstLine="316"/>
        <w:spacing w:after="0" w:line="287" w:lineRule="auto"/>
        <w:tabs>
          <w:tab w:leader="none" w:pos="93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For the purposes of this Agreement, the “Applicable Time” is [--:--] [a.m./p.m.] (Eastern time) on the date of this Agreement; the Pricing Prospectus, as supplemented by the information listed on Schedule II(b) hereto, taken together (collectively, the “Pricing Disclosure Package”), as of the Applicable Time, did not include any untrue statement of a material fact or omit to state any material fact necessary in order to make the statements therein, in the light of the circumstances under which they were made, not misleading; and each Issuer Free Writing Prospectus listed on Schedule II(a) hereto does not conflict with the information contained in the Registration Statement, the Pricing Prospectus or the Prospectus and each such Issuer Free Writing Prospectus and each Section 5(d) Writing listed on Schedule II(c) hereto, each as supplemented by and taken together with the Pricing Disclosure Package, as of the Applicable Time, did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information furnished in writing to the Company by an Underwriter through the Representatives expressly for use therein, it being understood and agreed that the only such information furnished by any Underwriter consists solely of the information described as such in Section 9(b) hereof;</w:t>
      </w:r>
    </w:p>
    <w:p>
      <w:pPr>
        <w:spacing w:after="0" w:line="171" w:lineRule="exact"/>
        <w:rPr>
          <w:rFonts w:ascii="Arial" w:cs="Arial" w:eastAsia="Arial" w:hAnsi="Arial"/>
          <w:sz w:val="16"/>
          <w:szCs w:val="16"/>
          <w:color w:val="auto"/>
        </w:rPr>
      </w:pPr>
    </w:p>
    <w:p>
      <w:pPr>
        <w:jc w:val="both"/>
        <w:ind w:firstLine="316"/>
        <w:spacing w:after="0" w:line="259" w:lineRule="auto"/>
        <w:tabs>
          <w:tab w:leader="none" w:pos="92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documents incorporated by reference in the Pricing Prospectus and the Prospectus, as the case may be, when they were filed with the Commission, conformed in all material respects to the requirements of the Exchange Act, and none of such documents contained an untrue statement of a material fact or omitted to state a material fact necessary to make the statements therein, in the light of the circumstances under which they were made, not misleading;</w:t>
      </w:r>
    </w:p>
    <w:p>
      <w:pPr>
        <w:spacing w:after="0" w:line="186" w:lineRule="exact"/>
        <w:rPr>
          <w:rFonts w:ascii="Arial" w:cs="Arial" w:eastAsia="Arial" w:hAnsi="Arial"/>
          <w:sz w:val="18"/>
          <w:szCs w:val="18"/>
          <w:color w:val="auto"/>
        </w:rPr>
      </w:pPr>
    </w:p>
    <w:p>
      <w:pPr>
        <w:jc w:val="both"/>
        <w:ind w:firstLine="316"/>
        <w:spacing w:after="0" w:line="269" w:lineRule="auto"/>
        <w:tabs>
          <w:tab w:leader="none" w:pos="907"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Registration Statement conforms, and the Prospectus and any further amendments or supplements to the Registration Statement or the Prospectus will conform, in all material respects to the applicable requirements of the Act and the rules and regulations of the Commission thereunder. As of the applicable effective date as to each part of the Registration Statement and any amendment thereto, the Registration Statement did not and will not contain an untrue statement of a material fact or omit to state a material fact required to be stated therein or necessary to make the statements therein not misleading; and as of the applicable filing date of the Prospectus and any amendment or supplement thereto, the Prospectus will not contain an untrue statement of a material fact or omit to state a material fact necessary in order to make the statements therein, in the light of the circumstances under which they were made, not misleading; provided, however, in each case, that this representation and warranty shall not apply to any statements or omissions made in reliance upon and in conformity with information furnished in writing to the Company by an Underwriter through the Representatives expressly for use therein, it being understood and agreed that the only such information furnished by any Underwriter consists solely of the information described as such in Section 9(b) hereof;</w:t>
      </w:r>
    </w:p>
    <w:p>
      <w:pPr>
        <w:spacing w:after="0" w:line="185" w:lineRule="exact"/>
        <w:rPr>
          <w:rFonts w:ascii="Arial" w:cs="Arial" w:eastAsia="Arial" w:hAnsi="Arial"/>
          <w:sz w:val="17"/>
          <w:szCs w:val="17"/>
          <w:color w:val="auto"/>
        </w:rPr>
      </w:pPr>
    </w:p>
    <w:p>
      <w:pPr>
        <w:jc w:val="both"/>
        <w:ind w:firstLine="316"/>
        <w:spacing w:after="0" w:line="289" w:lineRule="auto"/>
        <w:tabs>
          <w:tab w:leader="none" w:pos="95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Each Tradeweb Party (i) has been duly incorporated or formed, as applicable, and is validly existing as a corporation or limited liability company, as applicable, in good standing under the laws of the State of Delaware, (ii) has corporate power or limited liability company power, as applicable, and authority (x) to own, lease and operate its properties and to conduct its business as described in the Registration Statement, the Pricing Prospectus and the Prospectus, as applicable and (y) to enter into and perform its obligations under this Agreement and (iii) is duly qualified as a foreign entity to transact business and is in good standing or equivalent status in each jurisdiction in which such qualification is required, whether by reason of the ownership or leasing of property or the conduct of business, except, in the case of clauses (ii) and (iii) where the failure to have such power or authority or be so qualified or in good standing would not, individually or in the aggregate, reasonably be expected to result in a material adverse effect on the condition (financial or otherwise), business or results of operations, whether or not arising from transactions in the ordinary course of business, of the Company and its subsidiaries, taken as a whole (any such change, a “Material Adverse Effect”);</w:t>
      </w:r>
    </w:p>
    <w:p>
      <w:pPr>
        <w:spacing w:after="0" w:line="38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162" w:name="page163"/>
    <w:bookmarkEnd w:id="162"/>
    <w:p>
      <w:pPr>
        <w:jc w:val="both"/>
        <w:ind w:firstLine="316"/>
        <w:spacing w:after="0" w:line="253" w:lineRule="auto"/>
        <w:tabs>
          <w:tab w:leader="none" w:pos="94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Schedule III to this Agreement includes a true and complete list of each “significant subsidiary” (as such term is defined in Rule 1-02 of Regulation S-X) of the Company (each a “Subsidiary” and collectively, the “Subsidiaries”); each Subsidiary, other than TWM LLC, (i) has been duly organized and is validly existing as a corporation, limited liability company or other legal entity, as applicable, in good standing (to the extent such concept exists in the applicable jurisdiction) under the laws of its jurisdiction of incorporation or formation, (ii) has the power and authority to own its properties and conduct its business as described in the Registration Statement, the Pricing Prospectus and the Prospectus and (iii) has been duly qualified as a foreign corporation or other entity, as the case may be, for the transaction of business and is in good standing (to the extent such concept exists in the applicable jurisdiction) under the laws of each other jurisdiction in which it owns or leases properties or conducts any business so as to require such qualification, except, in the case of clauses (ii) and (iii), where the failure to be so organized and in existence, to have such power or authority or to be so qualified or in good standing would not, individually or in the aggregate, reasonably be expected to have a Material Adverse Effect;</w:t>
      </w:r>
    </w:p>
    <w:p>
      <w:pPr>
        <w:spacing w:after="0" w:line="194" w:lineRule="exact"/>
        <w:rPr>
          <w:rFonts w:ascii="Arial" w:cs="Arial" w:eastAsia="Arial" w:hAnsi="Arial"/>
          <w:sz w:val="18"/>
          <w:szCs w:val="18"/>
          <w:color w:val="auto"/>
        </w:rPr>
      </w:pPr>
    </w:p>
    <w:p>
      <w:pPr>
        <w:jc w:val="both"/>
        <w:ind w:firstLine="316"/>
        <w:spacing w:after="0" w:line="270" w:lineRule="auto"/>
        <w:tabs>
          <w:tab w:leader="none" w:pos="113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sustained since the date of the latest audited financial statements included or incorporated by reference in the Pricing Prospectus, any material loss or material interference with the business of the Company and its Subsidiaries, considered as a whole, from fire, explosion, flood or other calamity, whether or not covered by insurance, or from any labor dispute or court or governmental action, order or decree, otherwise than as set forth or contemplated in the Pricing Prospectus; and, since the respective dates as of which information is given in the Pricing Prospectus, (i) there has been no Material Adverse Effect and (ii) the Company and its subsidiaries, considered as one entity, have not (x) incurred any material liability or obligation (whether indirect, direct or contingent) that would, individually or in the aggregate, reasonably be expected to have a Material Adverse Effect, or (y) except as otherwise disclosed in the Pricing Prospectus, entered into any material transaction or agreement, in each case, not in the ordinary course of business, except for transactions and agreements related to the issuance and sale of the Shares and the use of the net proceeds therefrom, including this Agreement;</w:t>
      </w:r>
    </w:p>
    <w:p>
      <w:pPr>
        <w:spacing w:after="0" w:line="180" w:lineRule="exact"/>
        <w:rPr>
          <w:rFonts w:ascii="Arial" w:cs="Arial" w:eastAsia="Arial" w:hAnsi="Arial"/>
          <w:sz w:val="17"/>
          <w:szCs w:val="17"/>
          <w:color w:val="auto"/>
        </w:rPr>
      </w:pPr>
    </w:p>
    <w:p>
      <w:pPr>
        <w:jc w:val="both"/>
        <w:ind w:firstLine="316"/>
        <w:spacing w:after="0" w:line="263" w:lineRule="auto"/>
        <w:tabs>
          <w:tab w:leader="none" w:pos="108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Company and its Subsidiaries have good and marketable title to all the properties and assets reflected as owned in the financial statements referred to in Section 1(a)(xxiii) hereof, and hold any leased real or personal property under valid and enforceable leases, except, in each case, as would not reasonably be expected to result in a Material Adverse Effect;</w:t>
      </w:r>
    </w:p>
    <w:p>
      <w:pPr>
        <w:spacing w:after="0" w:line="183" w:lineRule="exact"/>
        <w:rPr>
          <w:rFonts w:ascii="Arial" w:cs="Arial" w:eastAsia="Arial" w:hAnsi="Arial"/>
          <w:sz w:val="18"/>
          <w:szCs w:val="18"/>
          <w:color w:val="auto"/>
        </w:rPr>
      </w:pPr>
    </w:p>
    <w:p>
      <w:pPr>
        <w:jc w:val="both"/>
        <w:ind w:firstLine="316"/>
        <w:spacing w:after="0" w:line="271" w:lineRule="auto"/>
        <w:tabs>
          <w:tab w:leader="none" w:pos="94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As of [·], the Company has an authorized capitalization as set forth in the Pricing Prospectus and, after giving effect to the issuance of the Firm Shares and the use of the net proceeds therefrom as described in the Registration Statement, the Pricing Prospectus and the Prospectus, the Company would have an authorized capitalization as set forth under the pro forma column of the capitalization table in the section entitled “Capitalization”; all of the issued shares of capital stock of the Company (including the Shares) have been duly and validly authorized and, when issued and delivered against payment therefor as provided herein, will be validly issued, fully paid and non-assessable and will conform in all material respects to the description of capital stock contained in the Pricing Prospectus and the Prospectus; and all of the issued equity interests of TWM LLC and its Subsidiaries have been duly authorized and issued, and except as otherwise disclosed in the Pricing Prospectus and the Prospectus, are owned directly or indirectly by TWM LLC, free and clear of all liens, encumbrances, equities or claims;</w:t>
      </w:r>
    </w:p>
    <w:p>
      <w:pPr>
        <w:spacing w:after="0" w:line="39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163" w:name="page164"/>
    <w:bookmarkEnd w:id="163"/>
    <w:p>
      <w:pPr>
        <w:ind w:left="940" w:hanging="624"/>
        <w:spacing w:after="0"/>
        <w:tabs>
          <w:tab w:leader="none" w:pos="9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316"/>
        <w:spacing w:after="0" w:line="255" w:lineRule="auto"/>
        <w:tabs>
          <w:tab w:leader="none" w:pos="95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None of the Company or its subsidiaries is in violation of its charter or by-laws or similar organizational documents, as applicable, or is in default (“Default”) under any indenture, mortgage, loan or credit agreement, note, contract, lease or other instrument to which the Company or its subsidiaries is a party or by which the Company or its subsidiaries may be bound, or to which any of their respective property or assets is subject (each, an “Existing Instrument”), except for such Defaults as would not, individually or in the aggregate, reasonably be expected to result in a Material Adverse Effect or that would not reasonably be expected to adversely affect the consummation of the transactions herein contemplated or any of the Tradeweb Parties’ obligations under this Agreement;</w:t>
      </w:r>
    </w:p>
    <w:p>
      <w:pPr>
        <w:spacing w:after="0" w:line="192" w:lineRule="exact"/>
        <w:rPr>
          <w:rFonts w:ascii="Arial" w:cs="Arial" w:eastAsia="Arial" w:hAnsi="Arial"/>
          <w:sz w:val="18"/>
          <w:szCs w:val="18"/>
          <w:color w:val="auto"/>
        </w:rPr>
      </w:pPr>
    </w:p>
    <w:p>
      <w:pPr>
        <w:jc w:val="both"/>
        <w:ind w:firstLine="316"/>
        <w:spacing w:after="0" w:line="267" w:lineRule="auto"/>
        <w:tabs>
          <w:tab w:leader="none" w:pos="93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execution and delivery of this Agreement, the issuance and sale of the Shares to be sold by the Company and the compliance by the Tradeweb Parties with this Agreement and the consummation of the transactions herein contemplated (i) will not result in any violation of the charters or by-laws or similar organizational document of any Tradeweb Party, (ii) will not conflict with or constitute a breach of, or Default under, or result in the creation or imposition of any lien, charge or encumbrance upon any property or assets of the Company or its subsidiaries pursuant to, or require the consent (except as shall have been obtained prior to the Time of Delivery) of any other party to, any Existing Instrument and (iii) will not result in any violation of any law, administrative regulation or administrative or court decree of any Governmental Authority (as defined below) applicable to the Company or its subsidiaries, except, in the case of clauses (ii) and (iii), for such conflicts, breaches, Defaults, liens, charges, encumbrances or violations as would not, individually or in the aggregate, reasonably be expected to result in a Material Adverse Effect or that would not reasonably be expected to adversely affect the consummation of the transactions contemplated herein by the Tradeweb Parties or any of their obligations under this Agreement; and no consent, approval, authorization or other order of, or registration, qualification or filing with, any self-regulatory organization, court, administrative agency or commission, or other governmental agency, authority or instrumentality having supervisory or regulatory authority with respect to the Company or its subsidiaries (each, a “Governmental Authority”) is required for the issuance and sale of the Shares by the Company or the consummation by the Tradeweb Parties of the transactions contemplated by this Agreement, except for (i) the registration under the Act of the Shares, (ii) the approval by the Financial Industry Regulatory Authority, Inc. (“FINRA”) of the underwriting terms and arrangements, (iii) such consents, approvals, authorizations, orders, registrations, qualifications or filings as may be required under state securities or Blue Sky laws in connection with the purchase and distribution of the Shares by the Underwriters and (iv) as shall have been obtained or made prior to the Time of Delivery, except where the failure to obtain such consents, approvals, authorizations, orders, registrations or qualifications or make such filings would not impair, in any material respect, the ability of the Company to issue and sell the Shares, the consummation by the Tradeweb Parties of the transactions contemplated by this Agreement and would not, individually or in the aggregate, reasonably be expected to have a Material Adverse Effect;</w:t>
      </w: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164" w:name="page165"/>
    <w:bookmarkEnd w:id="164"/>
    <w:p>
      <w:pPr>
        <w:jc w:val="both"/>
        <w:ind w:firstLine="316"/>
        <w:spacing w:after="0" w:line="275" w:lineRule="auto"/>
        <w:tabs>
          <w:tab w:leader="none" w:pos="101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statements set forth in the Pricing Prospectus and the Prospectus under the caption “Description of Capital Stock,” insofar as they purport to constitute a summary of the terms of the Class A Common Stock, fairly summarize such terms in all material respects; and the statements set forth in the Pricing Prospectus and the Prospectus under the caption “Material U.S. Federal Tax Considerations for Non-U.S. Holders of Our Common Stock”, insofar as they purport to describe the provisions of the laws and documents referred to therein, and subject to the limitations, qualifications, assumptions and statements of the Company’s beliefs set forth therein, are accurate in all material respects;</w:t>
      </w:r>
    </w:p>
    <w:p>
      <w:pPr>
        <w:spacing w:after="0" w:line="176" w:lineRule="exact"/>
        <w:rPr>
          <w:rFonts w:ascii="Arial" w:cs="Arial" w:eastAsia="Arial" w:hAnsi="Arial"/>
          <w:sz w:val="17"/>
          <w:szCs w:val="17"/>
          <w:color w:val="auto"/>
        </w:rPr>
      </w:pPr>
    </w:p>
    <w:p>
      <w:pPr>
        <w:jc w:val="both"/>
        <w:ind w:firstLine="316"/>
        <w:spacing w:after="0" w:line="267" w:lineRule="auto"/>
        <w:tabs>
          <w:tab w:leader="none" w:pos="98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Except as otherwise disclosed in the Pricing Prospectus and the Prospectus, there are no material legal, governmental, or self-regulatory actions, suits or proceedings pending or, to the Tradeweb Parties’ knowledge, threatened, by a Governmental Authority or others (i) against or affecting the Company or its subsidiaries or (ii) which has as the subject thereof any property owned or leased by the Company or its subsidiaries that, in the case of clauses (i) and (ii) would reasonably be expected to result in a Material Adverse Effect or would materially and adversely affect the consummation of the transactions contemplated by this Agreement; such legal, governmental or self-regulatory proceedings include, but are not limited to, (i) any investigation with respect to any cease-and-desist order, consent agreement, any commitment letter or similar undertaking, memorandum of understanding or other regulatory enforcement action, proceeding or order or (ii) any directive by the Commission, FINRA or any other applicable Governmental Authority that currently restricts in any material respect the conduct of the business of the Company or its Subsidiaries or that relates to their capital adequacy, their management or their business. There is no unresolved violation, criticism or exception by any Governmental Authority with respect to any report or statement relating to any examinations of the Company or any of its subsidiaries which would, singly or in the aggregate, reasonably be expected to have a Material Adverse Effect. None of the Company or its Subsidiaries or any of their respective officers, directors or employees has been the subject of any disciplinary proceedings or orders of any Governmental Authority arising under applicable laws or regulations which would be required to be disclosed on the registration form of a Regulated Entity (as defined below), except as disclosed thereon, and no such disciplinary proceeding or order is pending or, to the knowledge of the Tradeweb Parties, threatened nor, to the knowledge of the Tradeweb Parties, do grounds exist for any such material action by any Governmental Authority; and except as disclosed on such registration form, neither the Company nor any of its Subsidiaries nor any of their respective officers, directors or employees has been enjoined by the order, judgment or decree of any Governmental Authority from engaging in or continuing any conduct or practice in connection with any activity carried out by the Company or its Subsidiaries.</w:t>
      </w:r>
    </w:p>
    <w:p>
      <w:pPr>
        <w:spacing w:after="0" w:line="189" w:lineRule="exact"/>
        <w:rPr>
          <w:rFonts w:ascii="Arial" w:cs="Arial" w:eastAsia="Arial" w:hAnsi="Arial"/>
          <w:sz w:val="17"/>
          <w:szCs w:val="17"/>
          <w:color w:val="auto"/>
        </w:rPr>
      </w:pPr>
    </w:p>
    <w:p>
      <w:pPr>
        <w:jc w:val="both"/>
        <w:ind w:firstLine="316"/>
        <w:spacing w:after="0" w:line="263" w:lineRule="auto"/>
        <w:tabs>
          <w:tab w:leader="none" w:pos="94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None of the Tradeweb Parties is, nor after giving effect to the offering and sale of the Shares and the application of the proceeds thereof as described in the Registration Statement, the Pricing Prospectus and the Prospectus will be, required to register as an “investment company” within the meaning of the Investment Company Act of 1940, as amended;</w:t>
      </w:r>
    </w:p>
    <w:p>
      <w:pPr>
        <w:spacing w:after="0" w:line="183" w:lineRule="exact"/>
        <w:rPr>
          <w:rFonts w:ascii="Arial" w:cs="Arial" w:eastAsia="Arial" w:hAnsi="Arial"/>
          <w:sz w:val="18"/>
          <w:szCs w:val="18"/>
          <w:color w:val="auto"/>
        </w:rPr>
      </w:pPr>
    </w:p>
    <w:p>
      <w:pPr>
        <w:ind w:firstLine="316"/>
        <w:spacing w:after="0" w:line="277" w:lineRule="auto"/>
        <w:tabs>
          <w:tab w:leader="none" w:pos="100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At the time of filing the Initial Registration Statement, the Company was not and is not an “ineligible issuer,” as defined in Rule 405 under the Act;</w:t>
      </w:r>
    </w:p>
    <w:p>
      <w:pPr>
        <w:spacing w:after="0" w:line="170" w:lineRule="exact"/>
        <w:rPr>
          <w:rFonts w:ascii="Arial" w:cs="Arial" w:eastAsia="Arial" w:hAnsi="Arial"/>
          <w:sz w:val="18"/>
          <w:szCs w:val="18"/>
          <w:color w:val="auto"/>
        </w:rPr>
      </w:pPr>
    </w:p>
    <w:p>
      <w:pPr>
        <w:jc w:val="both"/>
        <w:ind w:firstLine="316"/>
        <w:spacing w:after="0" w:line="263" w:lineRule="auto"/>
        <w:tabs>
          <w:tab w:leader="none" w:pos="109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Deloitte &amp; Touche LLP, who have expressed their opinion with respect to certain financial statements (which term as used in this Agreement includes the related notes thereto) of the Company included in the Registration Statement, are independent with respect to the Company and its subsidiaries within the applicable rules and regulations of the Commission and as required by the Act;</w:t>
      </w:r>
    </w:p>
    <w:p>
      <w:pPr>
        <w:spacing w:after="0" w:line="40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165" w:name="page166"/>
    <w:bookmarkEnd w:id="165"/>
    <w:p>
      <w:pPr>
        <w:jc w:val="both"/>
        <w:ind w:firstLine="316"/>
        <w:spacing w:after="0" w:line="311" w:lineRule="auto"/>
        <w:tabs>
          <w:tab w:leader="none" w:pos="1003" w:val="left"/>
        </w:tabs>
        <w:numPr>
          <w:ilvl w:val="0"/>
          <w:numId w:val="123"/>
        </w:numPr>
        <w:rPr>
          <w:rFonts w:ascii="Arial" w:cs="Arial" w:eastAsia="Arial" w:hAnsi="Arial"/>
          <w:sz w:val="16"/>
          <w:szCs w:val="16"/>
          <w:color w:val="auto"/>
        </w:rPr>
      </w:pPr>
      <w:r>
        <w:rPr>
          <w:rFonts w:ascii="Arial" w:cs="Arial" w:eastAsia="Arial" w:hAnsi="Arial"/>
          <w:sz w:val="16"/>
          <w:szCs w:val="16"/>
          <w:color w:val="auto"/>
        </w:rPr>
        <w:t>PricewaterhouseCoopers LLP, who have expressed their opinion with respect to certain financial statements (which term as used in this Agreement includes the related notes thereto) of TWM LLC included in the Registration Statement, were independent with respect to TWM LLC and its subsidiaries within the applicable rules and regulations of the Commission and as required by the Act during the periods covered by their audit;</w:t>
      </w:r>
    </w:p>
    <w:p>
      <w:pPr>
        <w:spacing w:after="0" w:line="148" w:lineRule="exact"/>
        <w:rPr>
          <w:rFonts w:ascii="Arial" w:cs="Arial" w:eastAsia="Arial" w:hAnsi="Arial"/>
          <w:sz w:val="16"/>
          <w:szCs w:val="16"/>
          <w:color w:val="auto"/>
        </w:rPr>
      </w:pPr>
    </w:p>
    <w:p>
      <w:pPr>
        <w:jc w:val="both"/>
        <w:ind w:firstLine="316"/>
        <w:spacing w:after="0" w:line="253" w:lineRule="auto"/>
        <w:tabs>
          <w:tab w:leader="none" w:pos="107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 maintains a system of internal controls over financial reporting (as such term is defined in Rule 13a-15(f) under the Exchange Act that has been designed by the Company’s principal executive officer and principal financial officer, or under their supervision,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(“U.S. GAAP”); (iii) access to assets is permitted only in accordance with management’s general or specific authorization; (iv) the recorded accountability for assets is compared with existing assets at reasonable intervals and appropriate action is taken with respect to any differences; the Company is not aware of any material weaknesses in its internal control over financial reporting; and (v) the interactive data in eXtensible Business Reporting Language included in the Registration Statement is prepared in accordance with the Commission’s rules and guidelines applicable thereto;</w:t>
      </w:r>
    </w:p>
    <w:p>
      <w:pPr>
        <w:spacing w:after="0" w:line="196" w:lineRule="exact"/>
        <w:rPr>
          <w:rFonts w:ascii="Arial" w:cs="Arial" w:eastAsia="Arial" w:hAnsi="Arial"/>
          <w:sz w:val="18"/>
          <w:szCs w:val="18"/>
          <w:color w:val="auto"/>
        </w:rPr>
      </w:pPr>
    </w:p>
    <w:p>
      <w:pPr>
        <w:jc w:val="both"/>
        <w:ind w:firstLine="316"/>
        <w:spacing w:after="0" w:line="301" w:lineRule="auto"/>
        <w:tabs>
          <w:tab w:leader="none" w:pos="95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Company maintains disclosure controls and procedures (as such term is defined in Rule 13a-15(e) under the Exchange Act) that have been designed to ensure that material information relating to the Company and its subsidiaries is made known to the Company’s principal executive officer and principal financial officer by others within the Company or any of its subsidiaries; and such disclosure controls and procedures are reasonably effective to perform the functions for which they were established subject to the limitations of any such control system;</w:t>
      </w:r>
    </w:p>
    <w:p>
      <w:pPr>
        <w:spacing w:after="0" w:line="157" w:lineRule="exact"/>
        <w:rPr>
          <w:rFonts w:ascii="Arial" w:cs="Arial" w:eastAsia="Arial" w:hAnsi="Arial"/>
          <w:sz w:val="16"/>
          <w:szCs w:val="16"/>
          <w:color w:val="auto"/>
        </w:rPr>
      </w:pPr>
    </w:p>
    <w:p>
      <w:pPr>
        <w:ind w:firstLine="316"/>
        <w:spacing w:after="0" w:line="277" w:lineRule="auto"/>
        <w:tabs>
          <w:tab w:leader="none" w:pos="97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each of the Tradeweb Parties, and conforms in all material respects to the description thereof contained in the Pricing Prospectus;</w:t>
      </w:r>
    </w:p>
    <w:p>
      <w:pPr>
        <w:spacing w:after="0" w:line="170" w:lineRule="exact"/>
        <w:rPr>
          <w:rFonts w:ascii="Arial" w:cs="Arial" w:eastAsia="Arial" w:hAnsi="Arial"/>
          <w:sz w:val="18"/>
          <w:szCs w:val="18"/>
          <w:color w:val="auto"/>
        </w:rPr>
      </w:pPr>
    </w:p>
    <w:p>
      <w:pPr>
        <w:jc w:val="both"/>
        <w:ind w:firstLine="316"/>
        <w:spacing w:after="0" w:line="287" w:lineRule="auto"/>
        <w:tabs>
          <w:tab w:leader="none" w:pos="107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consolidated historical financial statements of the Company and TWM LLC, as applicable, and their respective consolidated subsidiaries, and the related notes thereto included or incorporated by reference in the Registration Statement, the Pricing Prospectus and the Prospectus present fairly in all material respects the consolidated financial position of the Company and TWM LLC, as applicable, and their respective consolidated subsidiaries as of the dates indicated and the results of their operations and cash flows for the periods specified in conformity with U.S. GAAP applied on a consistent basis throughout the periods involved (except as otherwise stated therein). The historical financial data of the Company and TWM LLC, as applicable, and their respective subsidiaries, included in the Registration Statement, the Pricing Prospectus and the Prospectus under the captions “Summary—Summary Historical and Pro Forma Consolidated Financial and Other Data” and “Selected Historical Consolidated Financial and Other Data” present fairly in all material respects the information set forth therein on a basis consistent with that of the audited financial statements of the Company and TWM LLC, as applicable, contained or incorporated by reference in the Registration Statement, the Pricing Prospectus and the Prospectus. The interactive data in eXtensible Business Reporting Language included in the Registration Statement, fairly presents the information called for in all material respects and has been prepared in accordance with the Commission's rules and guidelines applicable thereto;</w:t>
      </w:r>
    </w:p>
    <w:p>
      <w:pPr>
        <w:spacing w:after="0" w:line="38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166" w:name="page167"/>
    <w:bookmarkEnd w:id="166"/>
    <w:p>
      <w:pPr>
        <w:jc w:val="both"/>
        <w:ind w:firstLine="316"/>
        <w:spacing w:after="0" w:line="255" w:lineRule="auto"/>
        <w:tabs>
          <w:tab w:leader="none" w:pos="94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pro forma financial statements and the related notes thereto included under the caption “Unaudited Pro Forma Consolidated Financial Information” present fairly in all material respects the information contained therein, have been prepared in all material respects in accordance with the Commission’s rules and guidelines with respect to pro forma financial statements, except as otherwise disclosed in the Registration Statement, the Pricing Prospectus and the Prospectus, and the assumptions used in the preparation thereof are believed by the Tradeweb Parties to be reasonable and the adjustments used therein are believed by the Tradeweb Parties to be appropriate to give effect to the transactions and circumstances referred to therein;</w:t>
      </w:r>
    </w:p>
    <w:p>
      <w:pPr>
        <w:spacing w:after="0" w:line="192" w:lineRule="exact"/>
        <w:rPr>
          <w:rFonts w:ascii="Arial" w:cs="Arial" w:eastAsia="Arial" w:hAnsi="Arial"/>
          <w:sz w:val="18"/>
          <w:szCs w:val="18"/>
          <w:color w:val="auto"/>
        </w:rPr>
      </w:pPr>
    </w:p>
    <w:p>
      <w:pPr>
        <w:jc w:val="both"/>
        <w:ind w:firstLine="316"/>
        <w:spacing w:after="0" w:line="263" w:lineRule="auto"/>
        <w:tabs>
          <w:tab w:leader="none" w:pos="102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 transaction has occurred between or among the Company, TWM LLC and any of their officers or directors, stockholders or any affiliate or affiliates of the foregoing that is required to be described in the Registration Statement, the Pricing Prospectus and the Prospectus and is not so described;</w:t>
      </w:r>
    </w:p>
    <w:p>
      <w:pPr>
        <w:spacing w:after="0" w:line="183" w:lineRule="exact"/>
        <w:rPr>
          <w:rFonts w:ascii="Arial" w:cs="Arial" w:eastAsia="Arial" w:hAnsi="Arial"/>
          <w:sz w:val="18"/>
          <w:szCs w:val="18"/>
          <w:color w:val="auto"/>
        </w:rPr>
      </w:pPr>
    </w:p>
    <w:p>
      <w:pPr>
        <w:jc w:val="both"/>
        <w:ind w:firstLine="316"/>
        <w:spacing w:after="0" w:line="263" w:lineRule="auto"/>
        <w:tabs>
          <w:tab w:leader="none" w:pos="99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There are no contracts or other documents that are required under the Act and the rules and regulations promulgated thereunder to be described in the Registration Statement, the Pricing Prospectus or the Prospectus or to be filed as an exhibit to the Registration Statement that have not been described or filed as an exhibit as required;</w:t>
      </w:r>
    </w:p>
    <w:p>
      <w:pPr>
        <w:spacing w:after="0" w:line="183" w:lineRule="exact"/>
        <w:rPr>
          <w:rFonts w:ascii="Arial" w:cs="Arial" w:eastAsia="Arial" w:hAnsi="Arial"/>
          <w:sz w:val="18"/>
          <w:szCs w:val="18"/>
          <w:color w:val="auto"/>
        </w:rPr>
      </w:pPr>
    </w:p>
    <w:p>
      <w:pPr>
        <w:jc w:val="both"/>
        <w:ind w:firstLine="316"/>
        <w:spacing w:after="0" w:line="267" w:lineRule="auto"/>
        <w:tabs>
          <w:tab w:leader="none" w:pos="961" w:val="left"/>
        </w:tabs>
        <w:numPr>
          <w:ilvl w:val="0"/>
          <w:numId w:val="124"/>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reasonably be expected to result in a Material Adverse Effect or as disclosed in the Registration Statement, the Pricing Prospectus and the Prospectus: (i) the Company and its subsidiaries, and their respective operations, are in compliance with all applicable federal, state, local and foreign laws and regulations relating to pollution or protection of the environment and of human health (as it relates to exposure to Materials of Environmental Concern (as defined below), including, without limitation, laws and regulations relating to emissions, discharges, releases or threatened releases of chemicals, pollutants, contaminants, wastes, toxic substances, hazardous substances, petroleum and petroleum products in any form (collectively, “Materials of Environmental Concern”), or otherwise relating to the use, generation, treatment, storage, disposal, transport or handling of Materials of Environmental Concern (collectively, “Environmental Laws”), (ii) there is no claim, action or cause of action filed with a court or governmental authority, no investigation with respect to which the Company and its subsidiaries have received notice, and no notice by any person or entity alleging violation of or actual or potential liability on the part of any of the Company or its subsidiaries, in each case, under the Environmental Laws (collectively, “Environmental Claims”), pending or, to the knowledge of the Tradeweb Parties, threatened against the Company and its subsidiaries or, to the knowledge of the Tradeweb Parties, any person or entity whose liability for any Environmental Claim that the Company and its subsidiaries have retained or assumed either contractually or by operation of law; and (iii) to the knowledge of the Tradeweb Parties, there are no past or present actions, activities, circumstances, conditions, events or occurrences, including, without limitation, the release, emission, discharge, presence or disposal of any Materials of Environmental Concern, that reasonably would be expected to result in a violation of or liability of the Company or its subsidiaries under any Environmental Law or form the basis of an Environmental Claim against the Company or its subsidiaries or against any person or entity whose liability for any Environmental Claim that the Company and its subsidiaries have retained or assumed either contractually or by operation of law;</w:t>
      </w:r>
    </w:p>
    <w:p>
      <w:pPr>
        <w:spacing w:after="0" w:line="200" w:lineRule="exact"/>
        <w:rPr>
          <w:sz w:val="20"/>
          <w:szCs w:val="20"/>
          <w:color w:val="auto"/>
        </w:rPr>
      </w:pPr>
    </w:p>
    <w:p>
      <w:pPr>
        <w:spacing w:after="0" w:line="20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167" w:name="page168"/>
    <w:bookmarkEnd w:id="167"/>
    <w:p>
      <w:pPr>
        <w:ind w:firstLine="316"/>
        <w:spacing w:after="0" w:line="342" w:lineRule="auto"/>
        <w:tabs>
          <w:tab w:leader="none" w:pos="1024"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Company is in compliance with all provisions of the Sarbanes-Oxley Act of 2002 (the “Sarbanes-Oxley Act”) and all rules and regulations promulgated thereunder or implementing the provisions thereof that are then in effect and with which the Company is required to comply;</w:t>
      </w:r>
    </w:p>
    <w:p>
      <w:pPr>
        <w:spacing w:after="0" w:line="123" w:lineRule="exact"/>
        <w:rPr>
          <w:rFonts w:ascii="Arial" w:cs="Arial" w:eastAsia="Arial" w:hAnsi="Arial"/>
          <w:sz w:val="16"/>
          <w:szCs w:val="16"/>
          <w:color w:val="auto"/>
        </w:rPr>
      </w:pPr>
    </w:p>
    <w:p>
      <w:pPr>
        <w:jc w:val="both"/>
        <w:ind w:firstLine="316"/>
        <w:spacing w:after="0" w:line="254" w:lineRule="auto"/>
        <w:tabs>
          <w:tab w:leader="none" w:pos="103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Except as otherwise disclosed in the Pricing Prospectus and the Prospectus, the Company and its subsidiaries own or possess or have a license for sufficient trademarks, trade names, patent rights, copyrights, trade secrets and other similar rights (collectively, “Intellectual Property Rights”) reasonably necessary to conduct their businesses as currently conducted and as described in the Registration Statement, the Pricing Prospectus and the Prospectus, except where the failure to so own or possess or have a license would not reasonably be expected to result in a Material Adverse Effect. Neither the Company nor any of its subsidiaries has received any notice of infringement with asserted Intellectual Property Rights of others, which is still unresolved and which alleged infringement, if the subject of an unfavorable decision, would reasonably be expected to result in a Material Adverse Effect;</w:t>
      </w:r>
    </w:p>
    <w:p>
      <w:pPr>
        <w:spacing w:after="0" w:line="194" w:lineRule="exact"/>
        <w:rPr>
          <w:rFonts w:ascii="Arial" w:cs="Arial" w:eastAsia="Arial" w:hAnsi="Arial"/>
          <w:sz w:val="18"/>
          <w:szCs w:val="18"/>
          <w:color w:val="auto"/>
        </w:rPr>
      </w:pPr>
    </w:p>
    <w:p>
      <w:pPr>
        <w:jc w:val="both"/>
        <w:ind w:firstLine="316"/>
        <w:spacing w:after="0" w:line="267" w:lineRule="auto"/>
        <w:tabs>
          <w:tab w:leader="none" w:pos="1111" w:val="left"/>
        </w:tabs>
        <w:numPr>
          <w:ilvl w:val="0"/>
          <w:numId w:val="125"/>
        </w:numPr>
        <w:rPr>
          <w:rFonts w:ascii="Arial" w:cs="Arial" w:eastAsia="Arial" w:hAnsi="Arial"/>
          <w:sz w:val="17"/>
          <w:szCs w:val="17"/>
          <w:color w:val="auto"/>
        </w:rPr>
      </w:pPr>
      <w:r>
        <w:rPr>
          <w:rFonts w:ascii="Arial" w:cs="Arial" w:eastAsia="Arial" w:hAnsi="Arial"/>
          <w:sz w:val="17"/>
          <w:szCs w:val="17"/>
          <w:color w:val="auto"/>
        </w:rPr>
        <w:t>Except as would not, either individually or in the aggregate, be reasonably expected to result in a Material Adverse Effect, (i) the Company and its subsidiaries and any “employee benefit plan” (as defined under Section 3(3) of the Employee Retirement Income Security Act of 1974, as amended, and the regulations and published interpretations thereunder (collectively, “ERISA”)) (“Plan”) established or maintained by the Company and its subsidiaries or their respective ERISA Affiliates (as defined below) are in compliance with ERISA; (ii) no “reportable event” (as defined under ERISA) has occurred or is reasonably expected to occur with respect to any Plan subject to Title IV of ERISA (“Pension Plan”) established or maintained by the Company and its subsidiaries or any of their respective ERISA Affiliates; (iii) no Pension Plan established or maintained by the Company and its subsidiaries or any of their respective ERISA Affiliates, if such Pension Plan were terminated, would have any “amount of unfunded benefit liabilities” (as defined under ERISA); (iv) no failure to satisfy the minimum funding standard under Section 412 of the Code (as defined below), whether or not waived, has occurred or is reasonably expected to occur with respect to any Pension Plan established or maintained by the Company, its subsidiaries or any of their respective ERISA Affiliates; (v) none of the Company, its subsidiaries nor any of their respective ERISA Affiliates has incurred or reasonably expects to incur any liability under (A) Title IV of ERISA (including any liability under Section 4062(e) of ERISA) with respect to termination of, or withdrawal from, any “employee benefit plan” or (B) Section 430, 4971, 4975 or 4980B of the Code and (vi) each Plan established or maintained by the Company and its subsidiaries or any of their respective ERISA Affiliates that is intended to be qualified under Section 401 of the Code has received a current favorable Internal Revenue Service (“IRS”) determination letter or is comprised of a master, prototype or volume submitter plan that has received such a favorable letter from the IRS and, to the knowledge of the Tradeweb Parties, no event, whether by action or failure to act, has occurred since the date of such qualification that would materially and adversely affect such qualification. “ERISA Affiliate” means, with respect to the Company or a subsidiary of the Company, any member of any group of organizations described in Section 414 of the Internal Revenue Code of 1986, as amended, and the regulations and published interpretations thereunder (collectively, the “Code”) of which the Company and its subsidiaries are a member;</w:t>
      </w:r>
    </w:p>
    <w:p>
      <w:pPr>
        <w:spacing w:after="0" w:line="188" w:lineRule="exact"/>
        <w:rPr>
          <w:rFonts w:ascii="Arial" w:cs="Arial" w:eastAsia="Arial" w:hAnsi="Arial"/>
          <w:sz w:val="17"/>
          <w:szCs w:val="17"/>
          <w:color w:val="auto"/>
        </w:rPr>
      </w:pPr>
    </w:p>
    <w:p>
      <w:pPr>
        <w:jc w:val="both"/>
        <w:ind w:firstLine="316"/>
        <w:spacing w:after="0" w:line="254" w:lineRule="auto"/>
        <w:tabs>
          <w:tab w:leader="none" w:pos="103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result in a Material Adverse Effect, (I) there is (a) no unfair labor practice complaint pending or, to the Tradeweb Parties’ knowledge, threatened against the Company or any of its subsidiaries before the National Labor Relations Board, and no grievance or arbitration proceeding arising out of or under collective bargaining agreements pending or, to the Tradeweb Parties’ knowledge, threatened against the Company or any of its subsidiaries, (b) no strike, labor dispute, slowdown or stoppage pending or, to the Tradeweb Parties’ knowledge, threatened against any of its subsidiaries and (c) no union representation question existing with respect to the employees of the Company or any of its subsidiaries and, to the Tradeweb Parties’ knowledge, no union organizing activities taking place and (II) there has been no violation of any federal, state or local law relating to discrimination in hiring, promotion or pay of employees or of any applicable wage or hour laws;</w:t>
      </w:r>
    </w:p>
    <w:p>
      <w:pPr>
        <w:spacing w:after="0" w:line="200" w:lineRule="exact"/>
        <w:rPr>
          <w:sz w:val="20"/>
          <w:szCs w:val="20"/>
          <w:color w:val="auto"/>
        </w:rPr>
      </w:pPr>
    </w:p>
    <w:p>
      <w:pPr>
        <w:spacing w:after="0" w:line="20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168" w:name="page169"/>
    <w:bookmarkEnd w:id="168"/>
    <w:p>
      <w:pPr>
        <w:ind w:firstLine="316"/>
        <w:spacing w:after="0" w:line="277" w:lineRule="auto"/>
        <w:tabs>
          <w:tab w:leader="none" w:pos="104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Company and its subsidiaries taken as a whole are insured against such losses and risks and in such amounts as are prudent and customary in the businesses in which they are engaged or as required by law;</w:t>
      </w:r>
    </w:p>
    <w:p>
      <w:pPr>
        <w:spacing w:after="0" w:line="170" w:lineRule="exact"/>
        <w:rPr>
          <w:rFonts w:ascii="Arial" w:cs="Arial" w:eastAsia="Arial" w:hAnsi="Arial"/>
          <w:sz w:val="18"/>
          <w:szCs w:val="18"/>
          <w:color w:val="auto"/>
        </w:rPr>
      </w:pPr>
    </w:p>
    <w:p>
      <w:pPr>
        <w:jc w:val="both"/>
        <w:ind w:firstLine="316"/>
        <w:spacing w:after="0" w:line="255" w:lineRule="auto"/>
        <w:tabs>
          <w:tab w:leader="none" w:pos="97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Company and its subsidiaries possess such valid and current certificates, authorizations or permits issued by the appropriate state, federal or foreign regulatory agencies or bodies necessary to conduct their respective businesses and as described in the Registration Statement, the Pricing Prospectus and the Prospectus, except as would not reasonably be expected to result in a Material Adverse Effect, and none of the Company or its subsidiaries have received any notice of proceedings relating to the revocation or modification of, or non-compliance with, any such certificate, authorization or permit which, singly or in the aggregate, if the subject of an unfavorable decision, ruling or finding, would reasonably be expected to result in a Material Adverse Effect;</w:t>
      </w:r>
    </w:p>
    <w:p>
      <w:pPr>
        <w:spacing w:after="0" w:line="192" w:lineRule="exact"/>
        <w:rPr>
          <w:rFonts w:ascii="Arial" w:cs="Arial" w:eastAsia="Arial" w:hAnsi="Arial"/>
          <w:sz w:val="18"/>
          <w:szCs w:val="18"/>
          <w:color w:val="auto"/>
        </w:rPr>
      </w:pPr>
    </w:p>
    <w:p>
      <w:pPr>
        <w:jc w:val="both"/>
        <w:ind w:firstLine="316"/>
        <w:spacing w:after="0" w:line="279" w:lineRule="auto"/>
        <w:tabs>
          <w:tab w:leader="none" w:pos="1006"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computers, computer software, firmware, middleware, servers, workstations, routers, hubs, switches, data communications lines, cables and links and all other information technology equipment owned, licensed, leased or otherwise used by the Company and its subsidiaries operate in a manner that permits the Company and its subsidiaries to conduct their respective businesses as currently conducted, except in each case as would not, individually or in the aggregate, reasonably be expected to have a Material Adverse Effect;</w:t>
      </w:r>
    </w:p>
    <w:p>
      <w:pPr>
        <w:spacing w:after="0" w:line="171" w:lineRule="exact"/>
        <w:rPr>
          <w:rFonts w:ascii="Arial" w:cs="Arial" w:eastAsia="Arial" w:hAnsi="Arial"/>
          <w:sz w:val="17"/>
          <w:szCs w:val="17"/>
          <w:color w:val="auto"/>
        </w:rPr>
      </w:pPr>
    </w:p>
    <w:p>
      <w:pPr>
        <w:jc w:val="both"/>
        <w:ind w:firstLine="316"/>
        <w:spacing w:after="0" w:line="269" w:lineRule="auto"/>
        <w:tabs>
          <w:tab w:leader="none" w:pos="947" w:val="left"/>
        </w:tabs>
        <w:numPr>
          <w:ilvl w:val="0"/>
          <w:numId w:val="126"/>
        </w:numPr>
        <w:rPr>
          <w:rFonts w:ascii="Arial" w:cs="Arial" w:eastAsia="Arial" w:hAnsi="Arial"/>
          <w:sz w:val="17"/>
          <w:szCs w:val="17"/>
          <w:color w:val="auto"/>
        </w:rPr>
      </w:pPr>
      <w:r>
        <w:rPr>
          <w:rFonts w:ascii="Arial" w:cs="Arial" w:eastAsia="Arial" w:hAnsi="Arial"/>
          <w:sz w:val="17"/>
          <w:szCs w:val="17"/>
          <w:color w:val="auto"/>
        </w:rPr>
        <w:t>Except as disclosed in the Pricing Prospectus and the Prospectus or as would not, individually or in the aggregate, reasonably be expected to have a Material Adverse Effect, (I)(x) to the Tradeweb Parties’ knowledge, there has been no security breach or other compromise of, or relating to, the Company or any of its subsidiaries’ information technology and computer systems, networks, hardware, software, data (including the data of their respective customers, employees, suppliers, vendors and any third party data maintained by or on behalf of them), equipment or technology (collectively, “IT Systems and Data”) and (y) neither the Company nor any of its subsidiaries have been notified of, or have knowledge of, any event or condition that would reasonably be expected to result in, a security breach or other compromise to their IT Systems and Data; (II)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and (III) the Company and its subsidiaries have implemented reasonable backup and disaster recovery technology consistent in all material respects with industry standards and practices;</w:t>
      </w:r>
    </w:p>
    <w:p>
      <w:pPr>
        <w:spacing w:after="0" w:line="39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169" w:name="page170"/>
    <w:bookmarkEnd w:id="169"/>
    <w:p>
      <w:pPr>
        <w:jc w:val="both"/>
        <w:ind w:firstLine="316"/>
        <w:spacing w:after="0" w:line="284" w:lineRule="auto"/>
        <w:tabs>
          <w:tab w:leader="none" w:pos="104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Each of Dealerweb Inc., Tradeweb LLC and Tradeweb Direct LLC (the “Broker-Dealers”) is registered as a broker-dealer with the Commission, each of Dealerweb Inc., Tradeweb LLC, Tradeweb Europe Limited, TW SEF LLC and DW SEF is registered with the CFTC (the “CFTC Registrants” and, together with the Broker-Dealers, the “U.S.-Regulated Entities”) and each subsidiary of the Company, is a member in good standing of each self-regulatory organization of which it is required to be a member, and is duly registered or qualified as a broker-dealer or other regulated entity in each jurisdiction where the conduct of its business requires such registration or qualification, and such registrations, memberships or qualifications have not been suspended, revoked or rescinded and remain in full force and effect, except in each case as would not, individually or in the aggregate, reasonably be expected to have a Material Adverse Effect. All persons associated with any of the U.S.-Regulated Entities or any other regulated subsidiary (including foreign subsidiaries) of the Company (the “Regulated Entities”) are duly registered with any self-regulatory organization and each jurisdiction where the association of such persons with any of the Regulated Entities requires such registration, and such registrations have not been suspended, revoked or rescinded and remain in full force and effect, except in each case as would not, individually or in the aggregate, reasonably be expected to have a Material Adverse Effect. Other than with respect to customers that are subsidiaries of the Company, the business activities engaged in by each Regulated Entity do not involve the handling of customer funds or securities. The operations of each Regulated Entity have been conducted in compliance with applicable requirements of the Exchange Act, the Commodity Exchange Act (“CEA”) and other applicable laws and the rules and regulations of the Commission, the CFTC and each applicable self-regulatory organization and state securities regulatory authority, including, with respect to the Broker-Dealers, the implementation and maintenance of risk management controls and supervisory procedures in compliance with Rule 15c3-5 under the Exchange Act, except in each case as would not, individually or in the aggregate, reasonably be expected to have a Material Adverse Effect. None of the Company, any of its subsidiaries or, to the Company’s or its subsidiaries’ knowledge, any of their respective Associated Persons (as defined under the CEA, the Exchange Act or the by-laws of FINRA or NFA, as applicable) is (i) ineligible or disqualified pursuant to either the Exchange Act or the CEA, as applicable, to serve as an introducing broker or broker-dealer or as a person “associated” with an introducing broker or broker-dealer, (ii) subject to “statutory disqualification” (as such term is defined in the Exchange Act or the CEA, as applicable) or (iii) subject to a disqualification that would be a basis for censure or suspension or revocation of registration as an introducing broker or securities broker-dealer under the Exchange Act or the CEA, as applicable, or similar state law;</w:t>
      </w:r>
    </w:p>
    <w:p>
      <w:pPr>
        <w:spacing w:after="0" w:line="178" w:lineRule="exact"/>
        <w:rPr>
          <w:rFonts w:ascii="Arial" w:cs="Arial" w:eastAsia="Arial" w:hAnsi="Arial"/>
          <w:sz w:val="16"/>
          <w:szCs w:val="16"/>
          <w:color w:val="auto"/>
        </w:rPr>
      </w:pPr>
    </w:p>
    <w:p>
      <w:pPr>
        <w:jc w:val="both"/>
        <w:ind w:firstLine="316"/>
        <w:spacing w:after="0" w:line="289" w:lineRule="auto"/>
        <w:tabs>
          <w:tab w:leader="none" w:pos="99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Company and each of its subsidiaries, if applicable, have duly filed with the Commission and FINRA, as the case may be, in correct form the reports, data, other information returns and other applications required to be filed under applicable laws and regulations and such reports, data, other information returns and other applications were complete and accurate and in compliance with the requirements of applicable laws and regulations as of the time of filing, except in each case as would not reasonably be expected to result in a Material Adverse Effect; the Company and its subsidiaries have previously delivered or made available to each Underwriter, to the extent such Underwriter has requested the same, accurate and complete copies in all material respects of all such reports, data, other information returns and other applications; and except as disclosed in the Registration Statement, the Pricing Prospectus and the Prospectus, neither the Company nor any of its applicable subsidiaries (i) is subject to any formal or informal enforcement or supervisory action by the Commission or FINRA, or (ii) expects to be subject to any formal or informal enforcement or supervisory action by the Commission or FINRA that would be reasonably expected to result in a Material Adverse Effect;</w:t>
      </w:r>
    </w:p>
    <w:p>
      <w:pPr>
        <w:spacing w:after="0" w:line="166" w:lineRule="exact"/>
        <w:rPr>
          <w:rFonts w:ascii="Arial" w:cs="Arial" w:eastAsia="Arial" w:hAnsi="Arial"/>
          <w:sz w:val="16"/>
          <w:szCs w:val="16"/>
          <w:color w:val="auto"/>
        </w:rPr>
      </w:pPr>
    </w:p>
    <w:p>
      <w:pPr>
        <w:jc w:val="both"/>
        <w:ind w:firstLine="316"/>
        <w:spacing w:after="0" w:line="263" w:lineRule="auto"/>
        <w:tabs>
          <w:tab w:leader="none" w:pos="99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Except as described in the Registration Statement, the Pricing Prospectus and the Prospectus, there are no persons with registration rights or other similar rights to have any securities registered pursuant to the Registration Statement or otherwise registered by the Company under the Act, except as have been validly waived or complied with;</w:t>
      </w:r>
    </w:p>
    <w:p>
      <w:pPr>
        <w:spacing w:after="0" w:line="40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170" w:name="page171"/>
    <w:bookmarkEnd w:id="170"/>
    <w:p>
      <w:pPr>
        <w:jc w:val="both"/>
        <w:ind w:firstLine="324"/>
        <w:spacing w:after="0" w:line="277" w:lineRule="auto"/>
        <w:rPr>
          <w:sz w:val="20"/>
          <w:szCs w:val="20"/>
          <w:color w:val="auto"/>
        </w:rPr>
      </w:pPr>
      <w:r>
        <w:rPr>
          <w:rFonts w:ascii="Arial" w:cs="Arial" w:eastAsia="Arial" w:hAnsi="Arial"/>
          <w:sz w:val="18"/>
          <w:szCs w:val="18"/>
          <w:color w:val="auto"/>
        </w:rPr>
        <w:t>(xl) The holders of outstanding shares of the Company’s capital stock are not entitled to preemptive or other rights to subscribe for the Shares that have not been complied with or otherwise validly waived;</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(xli) None of the Company and its subsidiaries or, to the knowledge of the Tradeweb Parties, any director, officer, agent, employee, controlled affiliate or other person associated with or acting on behalf of the Company or its subsidiaries has (a) used any corporate funds for any unlawful contribution, gift, entertainment or other unlawful expense relating to political activity; (b) made any direct or indirect unlawful payment to any foreign or domestic government official or employee from corporate funds; (c) (x) taken or is aware of any action, directly or indirectly, that could result in a violation by such persons of any provision of the Foreign Corrupt Practices Act of 1977, as amended and the rules and regulations thereunder (“FCPA”), the U.K. Bribery Act 2010, as amended and the rules and regulations thereunder (“UK Act”), or similar applicable law of any other jurisdiction or the rules and regulations thereunder or (y) taken or is aware of any action, directly or indirectly, that could result in a sanction for violation by such persons of any provision of the FCPA, the UK Act or similar applicable law of any other jurisdiction; or (d) made any bribe, rebate, payoff, influence payment, kickback or other unlawful payment in violation of the FCPA, the UK Act, or similar applicable law of any other jurisdiction. The Company and its subsidiaries have instituted and maintain policies and procedures designed to ensure continued compliance with the FCPA, the UK Act and similar applicable laws of any other jurisdiction and the rules and regulations thereunder. No part of the proceeds of the offering of the Shares will be used in violation of the FCPA, the UK Act or similar applicable law of any other jurisdiction or the rules or regulations thereunder;</w:t>
      </w:r>
    </w:p>
    <w:p>
      <w:pPr>
        <w:spacing w:after="0" w:line="18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(xlii) The operations of the Company and its subsidiaries are and have been conducted at all times in compliance with all applicable financial recordkeeping and reporting requirements of the Currency and Foreign Transactions Reporting Act of 1970, as amended, and the money laundering statutes of all jurisdictions where the Company or any of its subsidiaries conducts business and the rules and regulations thereunder and any related or similar rules, regulations or guidelines issued, administered or enforced by any Governmental Authority (collectively, the “Money Laundering Laws”) and no action, suit or proceeding by or before any Governmental Authority or arbitrator involving the Company or any of its subsidiaries with respect to compliance with the Money Laundering Laws is pending or, to the knowledge of the Tradeweb Parties, threatened;</w:t>
      </w:r>
    </w:p>
    <w:p>
      <w:pPr>
        <w:spacing w:after="0" w:line="16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(xliii) None of the Company and its subsidiaries or, to the knowledge of the Tradeweb Parties, any director, officer, agent, employee or controlled affiliate of the Company or its subsidiaries (a) is currently subject to any sanctions administered or enforced by the United States (including any administered or enforced by the Office of Foreign Assets Control of the U.S. Treasury Department, the U.S. Department of State or the Bureau of Industry and Security of the U.S. Department of Commerce), the United Nations Security Council, the European Union, the United Kingdom (including sanctions administered or controlled by Her Majesty’s Treasury) or other relevant sanctions authority (collectively, “Sanctions” and such persons, “Sanctioned Persons”) or (b) will use the proceeds of the offering of the Shares, or lend, contribute or otherwise make available such proceeds to any subsidiary, joint venture partner or other individual or entity in any manner that will result in a violation of any Sanctions by, or could result in the imposition of Sanctions against, any person (including any person participating in the offering of the Shares, whether as underwriter, advisor, investor or otherwise);</w:t>
      </w:r>
    </w:p>
    <w:p>
      <w:pPr>
        <w:spacing w:after="0" w:line="200" w:lineRule="exact"/>
        <w:rPr>
          <w:sz w:val="20"/>
          <w:szCs w:val="20"/>
          <w:color w:val="auto"/>
        </w:rPr>
      </w:pPr>
    </w:p>
    <w:p>
      <w:pPr>
        <w:spacing w:after="0" w:line="21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171" w:name="page172"/>
    <w:bookmarkEnd w:id="171"/>
    <w:p>
      <w:pPr>
        <w:jc w:val="both"/>
        <w:ind w:firstLine="324"/>
        <w:spacing w:after="0" w:line="275" w:lineRule="auto"/>
        <w:rPr>
          <w:sz w:val="20"/>
          <w:szCs w:val="20"/>
          <w:color w:val="auto"/>
        </w:rPr>
      </w:pPr>
      <w:r>
        <w:rPr>
          <w:rFonts w:ascii="Arial" w:cs="Arial" w:eastAsia="Arial" w:hAnsi="Arial"/>
          <w:sz w:val="17"/>
          <w:szCs w:val="17"/>
          <w:color w:val="auto"/>
        </w:rPr>
        <w:t>(xliv) None of the Company and its subsidiaries or, to the knowledge of the Tradeweb Parties, any director, officer, agent, employee or controlled affiliate of the Company or its subsidiaries, is an individual or entity that is, or is 50% or more owned or otherwise controlled by or is acting on behalf of an individual or entity that is: (i) the subject of any Sanctions; or (ii) located, organized or resident in a country or territory that is, or whose government is, the subject of Sanctions that broadly prohibit dealings with that country or territory (currently, the Crimea region of Ukraine, Cuba, Iran, North Korea, and Syria) (collectively, “Sanctioned Countries” and each, a “Sanctioned Country”);</w:t>
      </w:r>
    </w:p>
    <w:p>
      <w:pPr>
        <w:spacing w:after="0" w:line="1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(xlv) None of the Company nor any of its subsidiaries has engaged in any dealings or transactions with or for the benefit of a Sanctioned Person, or with or in a Sanctioned Country, in the preceding 3 years, nor do the Company or any of its subsidiaries have any plans to increase their dealings or transactions with Sanctioned Persons, or with or in Sanctioned Countries, in each case except as permitted by applicable law;</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(xlvi) None of the Company or any of its subsidiaries has taken or will take, directly or indirectly, any action that is designed to or that might reasonably be expected to cause or result in unlawful stabilization or manipulation of the price of any security of the Company to facilitate the sale or resale of the Shares;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(xlvii) The statistical and market related data included in the Registration Statement, the Pricing Prospectus and the Prospectus are based on or derived from sources that the Company believes to be reliable and accurate in all material respects and represent their good faith estimates that are made on the basis of data derived from such sources;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(xlviii) There are (and prior to the Time of Delivery, will be) no debt securities or preferred stock issued or guaranteed by the Company or any of its subsidiaries that are rated by a “nationally recognized statistical rating organization”, as such term is defined in Section 3(a)(62) under the Exchange Act;</w:t>
      </w:r>
    </w:p>
    <w:p>
      <w:pPr>
        <w:spacing w:after="0" w:line="18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(xlix) Except for any failures or exceptions that would not, individually or in the aggregate, reasonably be expected to result in a Material Adverse Effect: (i) the Company and each of its subsidiaries has timely filed (taking into account valid extensions) all federal, state, local and foreign tax returns required to be filed by it in any jurisdiction and have paid all taxes (and any related interest, penalties and additions to tax) required to be paid by them (whether or not shown on a tax return and including in its capacity as a withholding agent) except for any taxes being contested in good faith by appropriate proceedings and for which adequate reserves have been provided in accordance with U.S. GAAP; (ii) there are no current, pending or, to the knowledge of the Tradeweb Parties, threatened tax audits, assessments or other claims or proceedings with respect to the Company or any of its subsidiaries; and (iii) the Company and each of its subsidiaries has made adequate charges, accruals and reserves in the applicable financial statements in respect of all federal, state, local and foreign taxes in any jurisdiction (and any related interest, penalties and additions to tax) for all periods as to which the tax liability of the Company and its subsidiaries (as applicable) has not been finally determined;</w:t>
      </w:r>
    </w:p>
    <w:p>
      <w:pPr>
        <w:spacing w:after="0" w:line="166" w:lineRule="exact"/>
        <w:rPr>
          <w:sz w:val="20"/>
          <w:szCs w:val="20"/>
          <w:color w:val="auto"/>
        </w:rPr>
      </w:pPr>
    </w:p>
    <w:p>
      <w:pPr>
        <w:jc w:val="both"/>
        <w:ind w:firstLine="316"/>
        <w:spacing w:after="0" w:line="263" w:lineRule="auto"/>
        <w:tabs>
          <w:tab w:leader="none" w:pos="94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Other than New York State stock transfer tax, there are no transfer taxes or other similar fees or charges under U.S. federal law or the laws of any state or any political subdivision thereof required to be paid in connection with the execution and delivery of this Agreement or the sale by the Company of the Shares; and</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(li) Neither the Company nor any of its subsidiaries is a party to any contract, agreement or understanding with any person (other than this Agreement) that would give rise to a valid claim against any of them or any Underwriter for a brokerage commission, finder’s fee or like payment in connection with the offering and sale of the Shares.</w:t>
      </w:r>
    </w:p>
    <w:p>
      <w:pPr>
        <w:spacing w:after="0" w:line="40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172" w:name="page173"/>
    <w:bookmarkEnd w:id="172"/>
    <w:p>
      <w:pPr>
        <w:jc w:val="both"/>
        <w:ind w:firstLine="656"/>
        <w:spacing w:after="0" w:line="270" w:lineRule="auto"/>
        <w:tabs>
          <w:tab w:leader="none" w:pos="149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Subject to the terms and conditions herein set forth, (a) the Company agrees to sell to each of the Underwriters, and each of the Underwriters agrees, severally and not jointly, to purchase from the Company, at a purchase price per share of $[·], the number of Firm Shares set forth opposite the name of such Underwriter in Schedule I hereto and (b) in the event and to the extent that the Underwriters shall exercise the election to purchase Optional Shares as provided below, the Company agrees to sell to each of the Underwriters, and each of the Underwriters agrees, severally and not jointly, to purchase from the Company, at the purchase price per share set forth in clause 2 of this Section 2,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that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8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hereby grants to the Underwriters the right to purchase at their election up to [·] Optional Shares, at the purchase price per share set forth in the paragraph above,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given within a period of 30 calendar days after the date of this Agreement and setting forth the aggregate number of Optional Shares to be purchased and the date on which such Optional Shares are to be delivered, as determined by</w:t>
      </w:r>
    </w:p>
    <w:p>
      <w:pPr>
        <w:spacing w:after="0" w:line="13"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you but in no event earlier than the First Time of Delivery (as defined in Section 4 hereof) or, unless you and the Company otherwise agree in writing, no earlier than two or later than ten business days after the date of such notice.</w:t>
      </w:r>
    </w:p>
    <w:p>
      <w:pPr>
        <w:spacing w:after="0" w:line="156" w:lineRule="exact"/>
        <w:rPr>
          <w:sz w:val="20"/>
          <w:szCs w:val="20"/>
          <w:color w:val="auto"/>
        </w:rPr>
      </w:pPr>
    </w:p>
    <w:p>
      <w:pPr>
        <w:ind w:firstLine="656"/>
        <w:spacing w:after="0" w:line="277" w:lineRule="auto"/>
        <w:tabs>
          <w:tab w:leader="none" w:pos="124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Upon the authorization by the Representatives of the release of the Firm Shares, the several Underwriters propose to offer the Firm Shares for sale upon the terms and conditions set forth in the Prospectus.</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269"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 The Shares to be purchased by each Underwriter hereunder, in book-entry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forty-eight hours in advance. To the extent the Shares are delivered in certificated form and not in book-entry form through the facilities of DTC, the Company will cause the certificates representing the Shares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Shares, 9:30 a.m., New York time, on [·], 2020, or such other time and date as the Representatives and the Company may agree upon in writing, and, with respect to the Optional Shares, 9:30 a.m., New York time, on the date specified by the Representatives in each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each such time and date for delivery of the Optional Shares, if not the First Time of Delivery, is herein called the “Second Time of Delivery,” and each such time and date for delivery is herein called a “Time of Delivery.”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3" w:name="page174"/>
    <w:bookmarkEnd w:id="173"/>
    <w:p>
      <w:pPr>
        <w:jc w:val="both"/>
        <w:ind w:left="-20" w:firstLine="656"/>
        <w:spacing w:after="0" w:line="271" w:lineRule="auto"/>
        <w:tabs>
          <w:tab w:leader="none" w:pos="1252"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documents to be delivered at each Time of Delivery by or on behalf of the parties hereto pursuant to Section 8 hereof, including the cross receipt for the Shares and any additional documents requested by the Underwriters pursuant to Section 8(k) hereof will be delivered at the offices of Davis Polk &amp; Wardwell LLP, 450 Lexington Avenue, New York, New York 10017 (the “Closing Location”), and the Shares will be delivered through the facilities of DTC in the case of book-entry shares or at the Designated Office in the case of certificated Shares, all at such Time of Delivery. A meeting will be held at the Closing Location at 2:00 p.m., New York City time, on the New York Business Day immediately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that is not a day on which banking institutions in New York are generally authorized or obligated by law or executive order to close.</w:t>
      </w:r>
    </w:p>
    <w:p>
      <w:pPr>
        <w:spacing w:after="0" w:line="178" w:lineRule="exact"/>
        <w:rPr>
          <w:sz w:val="20"/>
          <w:szCs w:val="20"/>
          <w:color w:val="auto"/>
        </w:rPr>
      </w:pPr>
    </w:p>
    <w:p>
      <w:pPr>
        <w:ind w:left="1220" w:hanging="584"/>
        <w:spacing w:after="0"/>
        <w:tabs>
          <w:tab w:leader="none" w:pos="12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Company agrees with each of the Underwriters:</w:t>
      </w:r>
    </w:p>
    <w:p>
      <w:pPr>
        <w:spacing w:after="0" w:line="225" w:lineRule="exact"/>
        <w:rPr>
          <w:sz w:val="20"/>
          <w:szCs w:val="20"/>
          <w:color w:val="auto"/>
        </w:rPr>
      </w:pPr>
    </w:p>
    <w:p>
      <w:pPr>
        <w:jc w:val="both"/>
        <w:ind w:left="-20" w:firstLine="656"/>
        <w:spacing w:after="0" w:line="287" w:lineRule="auto"/>
        <w:tabs>
          <w:tab w:leader="none" w:pos="126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reasonably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to advise you,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relating to the Shares or suspending any such qualification, to promptly use its best efforts to obtain the withdrawal of such order;</w:t>
      </w:r>
    </w:p>
    <w:p>
      <w:pPr>
        <w:spacing w:after="0" w:line="167" w:lineRule="exact"/>
        <w:rPr>
          <w:rFonts w:ascii="Arial" w:cs="Arial" w:eastAsia="Arial" w:hAnsi="Arial"/>
          <w:sz w:val="16"/>
          <w:szCs w:val="16"/>
          <w:color w:val="auto"/>
        </w:rPr>
      </w:pPr>
    </w:p>
    <w:p>
      <w:pPr>
        <w:jc w:val="both"/>
        <w:ind w:left="-20" w:firstLine="656"/>
        <w:spacing w:after="0" w:line="257" w:lineRule="auto"/>
        <w:tabs>
          <w:tab w:leader="none" w:pos="136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Promptly from time to time to take such action as you may reasonably request to qualify the Shares for offering and sale under the securities laws of such jurisdictions as you may reasonably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or to file a general consent to service of process in any jurisdiction, to qualify in any jurisdiction as a broker-dealer or to subject itself to taxation in any jurisdiction if it is not otherwise so subject;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74" w:name="page175"/>
    <w:bookmarkEnd w:id="174"/>
    <w:p>
      <w:pPr>
        <w:jc w:val="both"/>
        <w:ind w:left="-8" w:firstLine="656"/>
        <w:spacing w:after="0" w:line="286" w:lineRule="auto"/>
        <w:tabs>
          <w:tab w:leader="none" w:pos="1206" w:val="left"/>
        </w:tabs>
        <w:numPr>
          <w:ilvl w:val="1"/>
          <w:numId w:val="134"/>
        </w:numPr>
        <w:rPr>
          <w:rFonts w:ascii="Arial" w:cs="Arial" w:eastAsia="Arial" w:hAnsi="Arial"/>
          <w:sz w:val="16"/>
          <w:szCs w:val="16"/>
          <w:color w:val="auto"/>
        </w:rPr>
      </w:pPr>
      <w:r>
        <w:rPr>
          <w:rFonts w:ascii="Arial" w:cs="Arial" w:eastAsia="Arial" w:hAnsi="Arial"/>
          <w:sz w:val="16"/>
          <w:szCs w:val="16"/>
          <w:color w:val="auto"/>
        </w:rPr>
        <w:t>Prior to 10:00 a.m., New York City time, on the second New York Business Day next succeeding the date of this Agreement (or such other time as may be agreed to by the Company and the Representatives)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you and upon your request to prepare and furnish without charge to each Underwriter and to any dealer in securities as many written and electronic copies as you may from time to time reasonably request of an amended Prospectus or a supplement to the Prospectus that will correct such statement or omission or effect such compliance; and in case any Underwriter is required under the Act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reasonably request of an amended or supplemented Prospectus complying with Section 10(a)(3) of the Act;</w:t>
      </w:r>
    </w:p>
    <w:p>
      <w:pPr>
        <w:spacing w:after="0" w:line="170" w:lineRule="exact"/>
        <w:rPr>
          <w:rFonts w:ascii="Arial" w:cs="Arial" w:eastAsia="Arial" w:hAnsi="Arial"/>
          <w:sz w:val="16"/>
          <w:szCs w:val="16"/>
          <w:color w:val="auto"/>
        </w:rPr>
      </w:pPr>
    </w:p>
    <w:p>
      <w:pPr>
        <w:jc w:val="both"/>
        <w:ind w:left="-8" w:firstLine="656"/>
        <w:spacing w:after="0" w:line="263" w:lineRule="auto"/>
        <w:tabs>
          <w:tab w:leader="none" w:pos="1462"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To make generally available to the Company’s securityholders as soon as practicable (which may be satisfied by filing with the Commission’s EDGAR system), an earnings statement of the Company and its subsidiaries (which need not be audited) complying with Section 11(a) of the Act and the rules and regulations of the Commission thereunder (including, at the option of the Company, Rule 158);</w:t>
      </w:r>
    </w:p>
    <w:p>
      <w:pPr>
        <w:spacing w:after="0" w:line="183" w:lineRule="exact"/>
        <w:rPr>
          <w:rFonts w:ascii="Arial" w:cs="Arial" w:eastAsia="Arial" w:hAnsi="Arial"/>
          <w:sz w:val="18"/>
          <w:szCs w:val="18"/>
          <w:color w:val="auto"/>
        </w:rPr>
      </w:pPr>
    </w:p>
    <w:p>
      <w:pPr>
        <w:jc w:val="both"/>
        <w:ind w:left="-8" w:firstLine="656"/>
        <w:spacing w:after="0" w:line="282" w:lineRule="auto"/>
        <w:tabs>
          <w:tab w:leader="none" w:pos="1283" w:val="left"/>
        </w:tabs>
        <w:numPr>
          <w:ilvl w:val="1"/>
          <w:numId w:val="134"/>
        </w:numPr>
        <w:rPr>
          <w:rFonts w:ascii="Arial" w:cs="Arial" w:eastAsia="Arial" w:hAnsi="Arial"/>
          <w:sz w:val="16"/>
          <w:szCs w:val="16"/>
          <w:color w:val="auto"/>
        </w:rPr>
      </w:pPr>
      <w:r>
        <w:rPr>
          <w:rFonts w:ascii="Arial" w:cs="Arial" w:eastAsia="Arial" w:hAnsi="Arial"/>
          <w:sz w:val="16"/>
          <w:szCs w:val="16"/>
          <w:color w:val="auto"/>
        </w:rPr>
        <w:t>During the period beginning from the date hereof and continuing to and including the date 60 days after the date of the Prospectus (the “Company Lock-Up Period”), not to, and to cause TWM LLC not to, (i) offer, sell, contract to sell, pledge, grant any option to purchase, make any short sale or otherwise transfer or dispose of, directly or indirectly, or publicly file with the Commission a registration statement under the Act relating to, any securities of the Company that are substantially similar to the Shares (except the filing by the Company of any registration statement on Form S-8 (or any successor form) with the Commission relating to the offering of securities pursuant to the terms of such stock option or similar plans), including but not limited to any options or warrants to purchase shares of Class A Common Stock, Class B common stock, par value $0.00001 per share (the “Class B Common Stock”), Class C common stock, par value $0.00001 per share (the “Class C Common Stock”), or Class D common stock, par value $0.00001 per share (the “Class D Common Stock” and together with the Class A Common Stock, Class B Common Stock and Class C Common Stock, the “Common Stock”) or any securities that are convertible into or exchangeable for, or that represent the right to receive, shares of any series of Common Stock (including, without limitation, limited liability company interests in TWM LLC, or the LLC Units) or any such substantially similar securities, or publicly disclose the intention to make any offer, sale, pledge, disposition or filing or (ii) enter into any swap or other agreement that transfers, in whole or in part, any of the economic consequences of ownership of the shares of any series of Common Stock or any such other securities, whether any such transaction described in clauses (i) or (ii) above is to be settled by delivery of shares of Common Stock or such other securities, in cash or otherwise (other than in the case of clauses (i) and (ii), (A) the Shares to be sold hereunder, (B) the issuance of options to purchase shares of any series of Common Stock and other equity incentive compensation, including restricted stock or restricted stock units, under stock option or similar plans described in the Registration Statement, Pricing Prospectus and Prospectus, (C) any shares of any series of Common Stock issued upon the exercise of options granted under such stock option or similar plans described in the Registration Statement, Pricing Prospectus and Prospectus, (D) shares of any series of Common Stock or any such substantially similar securities to be issued upon the conversion or exchange of convertible or exchangeable securities outstanding as of the date of this Agreement (including for the avoidance of doubt, (x) Class A Common Stock issuable in exchange for LLC Units or Class B Common Stock and</w:t>
      </w:r>
    </w:p>
    <w:p>
      <w:pPr>
        <w:spacing w:after="0" w:line="10" w:lineRule="exact"/>
        <w:rPr>
          <w:rFonts w:ascii="Arial" w:cs="Arial" w:eastAsia="Arial" w:hAnsi="Arial"/>
          <w:sz w:val="16"/>
          <w:szCs w:val="16"/>
          <w:color w:val="auto"/>
        </w:rPr>
      </w:pPr>
    </w:p>
    <w:p>
      <w:pPr>
        <w:jc w:val="both"/>
        <w:ind w:left="-8" w:firstLine="8"/>
        <w:spacing w:after="0" w:line="252" w:lineRule="auto"/>
        <w:tabs>
          <w:tab w:leader="none" w:pos="25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Class B Common Stock issuable in exchange for LLC Units), and (E) the issuance of up to 5% of the outstanding shares of Class A Common Stock (assuming all outstanding LLC Units and all outstanding shares of Class B Common Stock are exchanged for, in each case, newly issued shares of Class A Common Stock on a one-to-one basis) or any such substantially similar securities in connection with the acquisition of, a joint venture with or a merger with, another company, and the filing of a registration statement with respect thereto, provided that, in the case of this clause (F) each recipient of such Class A Common Stock shall execute and deliver to the Representatives, on or prior to the issuance of such Class A Common Stock, a lock-up agreement substantially to the effect set forth in Annex II), without the prior written consent of J.P. Morgan Securities LLC, Barclays Capital Inc., Citigroup Global Markets Inc., Goldman Sachs &amp; Co. LLC and Morgan Stanley;</w:t>
      </w: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75" w:name="page176"/>
    <w:bookmarkEnd w:id="175"/>
    <w:p>
      <w:pPr>
        <w:jc w:val="both"/>
        <w:ind w:left="-20" w:firstLine="656"/>
        <w:spacing w:after="0" w:line="275" w:lineRule="auto"/>
        <w:tabs>
          <w:tab w:leader="none" w:pos="141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During a period of two years from the effective date of the Registration Statement, to furnish to you copies of all reports or other communications (financial or other) furnished to stockholders, and to deliver to you as soon as they are available, copies of any current, periodic or annual reports and financial statements furnished to or filed with the Commission or any national securities exchange on which any class of securities of the Company is listed; provided that any report, communication or financial statement furnished or filed with the Commission that is publicly available on the Commission’s EDGAR system shall be deemed to have been furnished to you at the time furnished or filed with the Commission;</w:t>
      </w:r>
    </w:p>
    <w:p>
      <w:pPr>
        <w:spacing w:after="0" w:line="176" w:lineRule="exact"/>
        <w:rPr>
          <w:rFonts w:ascii="Arial" w:cs="Arial" w:eastAsia="Arial" w:hAnsi="Arial"/>
          <w:sz w:val="17"/>
          <w:szCs w:val="17"/>
          <w:color w:val="auto"/>
        </w:rPr>
      </w:pPr>
    </w:p>
    <w:p>
      <w:pPr>
        <w:ind w:left="-20" w:firstLine="656"/>
        <w:spacing w:after="0" w:line="277" w:lineRule="auto"/>
        <w:tabs>
          <w:tab w:leader="none" w:pos="134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Shares pursuant to this Agreement in the manner specified in the Pricing Prospectus under the caption “Use of Proceeds”;</w:t>
      </w:r>
    </w:p>
    <w:p>
      <w:pPr>
        <w:spacing w:after="0" w:line="170" w:lineRule="exact"/>
        <w:rPr>
          <w:rFonts w:ascii="Arial" w:cs="Arial" w:eastAsia="Arial" w:hAnsi="Arial"/>
          <w:sz w:val="18"/>
          <w:szCs w:val="18"/>
          <w:color w:val="auto"/>
        </w:rPr>
      </w:pPr>
    </w:p>
    <w:p>
      <w:pPr>
        <w:jc w:val="both"/>
        <w:ind w:left="-20" w:firstLine="656"/>
        <w:spacing w:after="0" w:line="259" w:lineRule="auto"/>
        <w:tabs>
          <w:tab w:leader="none" w:pos="130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3a(c) of the Commission’s Informal and Other Procedures (16 CFR 202.3a); and</w:t>
      </w:r>
    </w:p>
    <w:p>
      <w:pPr>
        <w:spacing w:after="0" w:line="186" w:lineRule="exact"/>
        <w:rPr>
          <w:rFonts w:ascii="Arial" w:cs="Arial" w:eastAsia="Arial" w:hAnsi="Arial"/>
          <w:sz w:val="18"/>
          <w:szCs w:val="18"/>
          <w:color w:val="auto"/>
        </w:rPr>
      </w:pPr>
    </w:p>
    <w:p>
      <w:pPr>
        <w:ind w:left="-20" w:right="20" w:firstLine="656"/>
        <w:spacing w:after="0" w:line="277" w:lineRule="auto"/>
        <w:tabs>
          <w:tab w:leader="none" w:pos="127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promptly notify you if the Company ceases to be an Emerging Growth Company at any time prior to the later of (i) completion of the distribution of the Shares within the meaning of the Act and (ii) completion of the Company Lock-Up Period.</w:t>
      </w:r>
    </w:p>
    <w:p>
      <w:pPr>
        <w:spacing w:after="0" w:line="170" w:lineRule="exact"/>
        <w:rPr>
          <w:sz w:val="20"/>
          <w:szCs w:val="20"/>
          <w:color w:val="auto"/>
        </w:rPr>
      </w:pPr>
    </w:p>
    <w:p>
      <w:pPr>
        <w:jc w:val="both"/>
        <w:ind w:left="-20" w:firstLine="656"/>
        <w:spacing w:after="0" w:line="257" w:lineRule="auto"/>
        <w:tabs>
          <w:tab w:leader="none" w:pos="129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The Company represents and agrees that, without the prior consent of the Representatives, it has not made and will not make any offer relating to the Shares that would constitute a “free writing prospectus” as defined in Rule 405 under the Act and each Underwriter represents and agrees that, without the prior consent of the Company and the Representatives, it has not made and will not make any offer relating to the Shares that would constitute a free writing prospectus; any such free writing prospectus the use of which has been consented to by the Company and the Representatives is listed on Schedule II(a) hereto;</w:t>
      </w:r>
    </w:p>
    <w:p>
      <w:pPr>
        <w:spacing w:after="0" w:line="188" w:lineRule="exact"/>
        <w:rPr>
          <w:sz w:val="20"/>
          <w:szCs w:val="20"/>
          <w:color w:val="auto"/>
        </w:rPr>
      </w:pPr>
    </w:p>
    <w:p>
      <w:pPr>
        <w:jc w:val="both"/>
        <w:ind w:left="-20" w:firstLine="656"/>
        <w:spacing w:after="0" w:line="254" w:lineRule="auto"/>
        <w:tabs>
          <w:tab w:leader="none" w:pos="170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represents and agrees that (i) it has not engaged in, or authorized any other person to engage in, any Section 5(d) Communications, other than Section 5(d) Communications with the prior consent of J.P. Morgan Securities LLC, Barclays Capital Inc., Citigroup Global Markets Inc., Goldman Sachs &amp; Co. LLC and Morgan Stanley with entities that are qualified institutional buyers as defined in Rule 144A under the Act or institutions that are accredited investors as defined in Rule 501(a) under the Act; and (ii) it has not distributed, or authorized any other person to distribute, any Section 5(d) Writings, other than those distributed with the prior consent of J.P. Morgan Securities LLC, Barclays Capital Inc., Citigroup Global Markets Inc., Goldman Sachs &amp; Co. LLC and Morgan Stanley; and the Company reconfirms that the Underwriters have been authorized to act on its behalf in engaging in Section 5(d) Communications;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76" w:name="page177"/>
    <w:bookmarkEnd w:id="176"/>
    <w:p>
      <w:pPr>
        <w:jc w:val="both"/>
        <w:ind w:left="-8" w:firstLine="656"/>
        <w:spacing w:after="0" w:line="311" w:lineRule="auto"/>
        <w:tabs>
          <w:tab w:leader="none" w:pos="1391"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148" w:lineRule="exact"/>
        <w:rPr>
          <w:rFonts w:ascii="Arial" w:cs="Arial" w:eastAsia="Arial" w:hAnsi="Arial"/>
          <w:sz w:val="16"/>
          <w:szCs w:val="16"/>
          <w:color w:val="auto"/>
        </w:rPr>
      </w:pPr>
    </w:p>
    <w:p>
      <w:pPr>
        <w:ind w:left="-8" w:firstLine="656"/>
        <w:spacing w:after="0" w:line="342" w:lineRule="auto"/>
        <w:tabs>
          <w:tab w:leader="none" w:pos="1368" w:val="left"/>
        </w:tabs>
        <w:numPr>
          <w:ilvl w:val="0"/>
          <w:numId w:val="139"/>
        </w:numPr>
        <w:rPr>
          <w:rFonts w:ascii="Arial" w:cs="Arial" w:eastAsia="Arial" w:hAnsi="Arial"/>
          <w:sz w:val="16"/>
          <w:szCs w:val="16"/>
          <w:color w:val="auto"/>
        </w:rPr>
      </w:pPr>
      <w:r>
        <w:rPr>
          <w:rFonts w:ascii="Arial" w:cs="Arial" w:eastAsia="Arial" w:hAnsi="Arial"/>
          <w:sz w:val="16"/>
          <w:szCs w:val="16"/>
          <w:color w:val="auto"/>
        </w:rPr>
        <w:t>Each Underwriter represents and agrees that any Section 5(d) Communications undertaken by it were with entities that are qualified institutional buyers as defined in Rule 144A under the Act or institutions that are accredited investors as defined in Rule 501(a) under the Act; and</w:t>
      </w:r>
    </w:p>
    <w:p>
      <w:pPr>
        <w:spacing w:after="0" w:line="123" w:lineRule="exact"/>
        <w:rPr>
          <w:rFonts w:ascii="Arial" w:cs="Arial" w:eastAsia="Arial" w:hAnsi="Arial"/>
          <w:sz w:val="16"/>
          <w:szCs w:val="16"/>
          <w:color w:val="auto"/>
        </w:rPr>
      </w:pPr>
    </w:p>
    <w:p>
      <w:pPr>
        <w:jc w:val="both"/>
        <w:ind w:left="-8" w:firstLine="656"/>
        <w:spacing w:after="0" w:line="269" w:lineRule="auto"/>
        <w:tabs>
          <w:tab w:leader="none" w:pos="1342"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Company agrees that if at any time following issuance of an Issuer Free Writing Prospectus or Section 5(d) Writing prepared or authorized by it any event occurred or occurs as a result of which such Issuer Free Writing Prospectus or Section 5(d) Writing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Section 5(d) Writing or other document that will correct such conflict, statement or omission; provided, however, that this representation and warranty shall not apply to any statements or omissions in an Issuer Free Writing Prospectus or Section 5(d) Writing made in reliance upon and in conformity with information furnished in writing to the Company by an Underwriter through the Representatives expressly for use therein (it being understood and agreed that the only such information furnished by any Underwriter consists solely of the information described as such in Section 9(b) hereof).</w:t>
      </w:r>
    </w:p>
    <w:p>
      <w:pPr>
        <w:spacing w:after="0" w:line="185" w:lineRule="exact"/>
        <w:rPr>
          <w:sz w:val="20"/>
          <w:szCs w:val="20"/>
          <w:color w:val="auto"/>
        </w:rPr>
      </w:pPr>
    </w:p>
    <w:p>
      <w:pPr>
        <w:ind w:left="1232" w:hanging="584"/>
        <w:spacing w:after="0"/>
        <w:tabs>
          <w:tab w:leader="none" w:pos="123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Company covenants and agrees with the several Underwriters that:</w:t>
      </w:r>
    </w:p>
    <w:p>
      <w:pPr>
        <w:spacing w:after="0" w:line="225" w:lineRule="exact"/>
        <w:rPr>
          <w:sz w:val="20"/>
          <w:szCs w:val="20"/>
          <w:color w:val="auto"/>
        </w:rPr>
      </w:pPr>
    </w:p>
    <w:p>
      <w:pPr>
        <w:jc w:val="both"/>
        <w:ind w:left="-8" w:firstLine="656"/>
        <w:spacing w:after="0" w:line="283" w:lineRule="auto"/>
        <w:tabs>
          <w:tab w:leader="none" w:pos="1347" w:val="left"/>
        </w:tabs>
        <w:numPr>
          <w:ilvl w:val="1"/>
          <w:numId w:val="141"/>
        </w:numPr>
        <w:rPr>
          <w:rFonts w:ascii="Arial" w:cs="Arial" w:eastAsia="Arial" w:hAnsi="Arial"/>
          <w:sz w:val="16"/>
          <w:szCs w:val="16"/>
          <w:color w:val="auto"/>
        </w:rPr>
      </w:pPr>
      <w:r>
        <w:rPr>
          <w:rFonts w:ascii="Arial" w:cs="Arial" w:eastAsia="Arial" w:hAnsi="Arial"/>
          <w:sz w:val="16"/>
          <w:szCs w:val="16"/>
          <w:color w:val="auto"/>
        </w:rPr>
        <w:t>the Company will pay or cause to be paid the following: (i) the fees, disbursements and expenses of the Company’s counsel and the Tradeweb Parties’ accountants in connection with the registration of the Shares under the Act and all other expenses in connection with the preparation, printing, reproduction and filing of the Registration Statement, any Preliminary Prospectus,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reasonable and documented fees and disbursements of counsel for the Underwriters in connection with such qualification and in connection with the Blue Sky survey; (iv) all fees and expenses in connection with listing the Shares on the Nasdaq Global Market (the “Exchange”); and (v) the filing fees incident to, and the reasonable and documented fees and disbursements of counsel for the Underwriters (such counsel fees and disbursements together with any counsel fees and disbursements incurred pursuant to clause</w:t>
      </w:r>
    </w:p>
    <w:p>
      <w:pPr>
        <w:spacing w:after="0" w:line="4" w:lineRule="exact"/>
        <w:rPr>
          <w:rFonts w:ascii="Arial" w:cs="Arial" w:eastAsia="Arial" w:hAnsi="Arial"/>
          <w:sz w:val="16"/>
          <w:szCs w:val="16"/>
          <w:color w:val="auto"/>
        </w:rPr>
      </w:pPr>
    </w:p>
    <w:p>
      <w:pPr>
        <w:ind w:left="312" w:hanging="312"/>
        <w:spacing w:after="0"/>
        <w:tabs>
          <w:tab w:leader="none" w:pos="31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above not to exceed $20,000) in connection with, any required review by FINRA of the terms of the sale of the Shares;</w:t>
      </w: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77" w:name="page178"/>
    <w:bookmarkEnd w:id="177"/>
    <w:p>
      <w:pPr>
        <w:jc w:val="both"/>
        <w:ind w:left="-20" w:firstLine="656"/>
        <w:spacing w:after="0" w:line="254" w:lineRule="auto"/>
        <w:tabs>
          <w:tab w:leader="none" w:pos="126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Company will pay or cause to be paid (i) the cost of preparing share certificates, if applicable; (ii) the cost and charges of any transfer agent or registrar; and (iii) all other reasonable costs and expenses incident to the performance of its obligations hereunder that are not otherwise specifically provided for in this Section, including any transfer taxes payable on the original sale, issuance and delivery of the Shares to the Underwriters; provided, however, that 50% of the cost of any aircraft chartered in connection with the road show shall be paid by the Underwriters (with the Company paying the remaining 50% of the cost). In connection with clause (iii) of the preceding sentence, the Representatives agree to pay New York State stock transfer tax, and the Company agrees to reimburse the Representatives for associated carrying costs if such tax payment is not rebated on the day of payment and for any portion of such payment not rebated; and</w:t>
      </w:r>
    </w:p>
    <w:p>
      <w:pPr>
        <w:spacing w:after="0" w:line="194" w:lineRule="exact"/>
        <w:rPr>
          <w:rFonts w:ascii="Arial" w:cs="Arial" w:eastAsia="Arial" w:hAnsi="Arial"/>
          <w:sz w:val="18"/>
          <w:szCs w:val="18"/>
          <w:color w:val="auto"/>
        </w:rPr>
      </w:pPr>
    </w:p>
    <w:p>
      <w:pPr>
        <w:jc w:val="both"/>
        <w:ind w:left="-20" w:firstLine="656"/>
        <w:spacing w:after="0" w:line="263" w:lineRule="auto"/>
        <w:tabs>
          <w:tab w:leader="none" w:pos="141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except as provided in this Section, and Sections 9 and 10(b) hereof, the Underwriters will pay all of their own costs and expenses, including the fees of their counsel, stock transfer taxes on resale of any of the Shares by them, and any advertising expenses connected with any offers they may make.</w:t>
      </w:r>
    </w:p>
    <w:p>
      <w:pPr>
        <w:spacing w:after="0" w:line="184" w:lineRule="exact"/>
        <w:rPr>
          <w:sz w:val="20"/>
          <w:szCs w:val="20"/>
          <w:color w:val="auto"/>
        </w:rPr>
      </w:pPr>
    </w:p>
    <w:p>
      <w:pPr>
        <w:jc w:val="both"/>
        <w:ind w:left="-20" w:firstLine="656"/>
        <w:spacing w:after="0" w:line="259" w:lineRule="auto"/>
        <w:tabs>
          <w:tab w:leader="none" w:pos="142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obligations of the Underwriters hereunder, as to the Shares to be delivered at each Time of Delivery, shall be subject, in their discretion, to the condition that all representations and warranties and other statements of the Tradeweb Parties herein are, on the date hereof and at and as of such Time of Delivery, true and correct, the condition that the Tradeweb Parties shall have performed all of their respective obligations hereunder theretofore to be performed, and the following additional conditions:</w:t>
      </w:r>
    </w:p>
    <w:p>
      <w:pPr>
        <w:spacing w:after="0" w:line="187" w:lineRule="exact"/>
        <w:rPr>
          <w:sz w:val="20"/>
          <w:szCs w:val="20"/>
          <w:color w:val="auto"/>
        </w:rPr>
      </w:pPr>
    </w:p>
    <w:p>
      <w:pPr>
        <w:jc w:val="both"/>
        <w:ind w:left="-20" w:firstLine="656"/>
        <w:spacing w:after="0" w:line="290" w:lineRule="auto"/>
        <w:tabs>
          <w:tab w:leader="none" w:pos="140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under the Act;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shall have been initiated or threatened by the Commission; no stop order suspending or preventing the use of the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165" w:lineRule="exact"/>
        <w:rPr>
          <w:rFonts w:ascii="Arial" w:cs="Arial" w:eastAsia="Arial" w:hAnsi="Arial"/>
          <w:sz w:val="16"/>
          <w:szCs w:val="16"/>
          <w:color w:val="auto"/>
        </w:rPr>
      </w:pPr>
    </w:p>
    <w:p>
      <w:pPr>
        <w:ind w:left="-20" w:firstLine="656"/>
        <w:spacing w:after="0" w:line="277" w:lineRule="auto"/>
        <w:tabs>
          <w:tab w:leader="none" w:pos="121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Davis Polk &amp; Wardwell LLP, counsel for the Underwriters, shall have furnished to you such written opinion and negative assurance letter, dated such Time of Delivery, in form and substance satisfactory to you;</w:t>
      </w:r>
    </w:p>
    <w:p>
      <w:pPr>
        <w:spacing w:after="0" w:line="170" w:lineRule="exact"/>
        <w:rPr>
          <w:rFonts w:ascii="Arial" w:cs="Arial" w:eastAsia="Arial" w:hAnsi="Arial"/>
          <w:sz w:val="18"/>
          <w:szCs w:val="18"/>
          <w:color w:val="auto"/>
        </w:rPr>
      </w:pPr>
    </w:p>
    <w:p>
      <w:pPr>
        <w:ind w:left="640" w:right="20" w:hanging="4"/>
        <w:spacing w:after="0" w:line="277" w:lineRule="auto"/>
        <w:tabs>
          <w:tab w:leader="none" w:pos="130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Fried, Frank, Harris, Shriver &amp; Jacobson LLP, counsel for the Tradeweb Parties, shall have furnished to you their written opinion, dated such Time of Delivery, in form and substance satisfactory to you;</w:t>
      </w:r>
    </w:p>
    <w:p>
      <w:pPr>
        <w:spacing w:after="0" w:line="170" w:lineRule="exact"/>
        <w:rPr>
          <w:rFonts w:ascii="Arial" w:cs="Arial" w:eastAsia="Arial" w:hAnsi="Arial"/>
          <w:sz w:val="18"/>
          <w:szCs w:val="18"/>
          <w:color w:val="auto"/>
        </w:rPr>
      </w:pPr>
    </w:p>
    <w:p>
      <w:pPr>
        <w:jc w:val="both"/>
        <w:ind w:left="-20" w:firstLine="656"/>
        <w:spacing w:after="0" w:line="259" w:lineRule="auto"/>
        <w:tabs>
          <w:tab w:leader="none" w:pos="123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On the date of the Prospectus at a time prior to the execution of this Agreement, on the effective date of any post-effective amendment to the Registration Statement filed subsequent to the date of this Agreement and also at each Time of Delivery, each of Deloitte &amp; Touche LLP and PricewaterhouseCoopers LLP shall have furnished to you a letter or letters, dated the respective dates of delivery thereof, in form and substance satisfactory to you;</w:t>
      </w:r>
    </w:p>
    <w:p>
      <w:pPr>
        <w:spacing w:after="0" w:line="186" w:lineRule="exact"/>
        <w:rPr>
          <w:rFonts w:ascii="Arial" w:cs="Arial" w:eastAsia="Arial" w:hAnsi="Arial"/>
          <w:sz w:val="18"/>
          <w:szCs w:val="18"/>
          <w:color w:val="auto"/>
        </w:rPr>
      </w:pPr>
    </w:p>
    <w:p>
      <w:pPr>
        <w:jc w:val="both"/>
        <w:ind w:left="-20" w:firstLine="656"/>
        <w:spacing w:after="0" w:line="257" w:lineRule="auto"/>
        <w:tabs>
          <w:tab w:leader="none" w:pos="126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On the date of the Prospectus at a time prior to the execution of this Agreement, on the effective date of any post-effective amendment to the Registration Statement filed subsequent to the date of this Agreement and also at each Time of Delivery, each of the Company and TWM LLC shall have furnished to you a certificate or certificates, dated the respective dates of delivery thereof, of its chief financial officer with respect to certain financial data contained in the Pricing Disclosure Package and the Prospectus, providing “management comfort” with respect to such information, in form and substance satisfactory to you;</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78" w:name="page179"/>
    <w:bookmarkEnd w:id="178"/>
    <w:p>
      <w:pPr>
        <w:jc w:val="both"/>
        <w:ind w:left="-20" w:firstLine="980"/>
        <w:spacing w:after="0" w:line="269" w:lineRule="auto"/>
        <w:tabs>
          <w:tab w:leader="none" w:pos="1823" w:val="left"/>
        </w:tabs>
        <w:numPr>
          <w:ilvl w:val="0"/>
          <w:numId w:val="146"/>
        </w:numPr>
        <w:rPr>
          <w:rFonts w:ascii="Arial" w:cs="Arial" w:eastAsia="Arial" w:hAnsi="Arial"/>
          <w:sz w:val="17"/>
          <w:szCs w:val="17"/>
          <w:color w:val="auto"/>
        </w:rPr>
      </w:pPr>
      <w:r>
        <w:rPr>
          <w:rFonts w:ascii="Arial" w:cs="Arial" w:eastAsia="Arial" w:hAnsi="Arial"/>
          <w:sz w:val="17"/>
          <w:szCs w:val="17"/>
          <w:color w:val="auto"/>
        </w:rPr>
        <w:t>(i) Neither the Company nor any of its Subsidiaries shall have sustained since the date of the latest audited financial statements included or incorporated by reference in the Pricing Prospectus any loss or interference with the business of the Company and its subsidiaries, taken as a whole,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or in the long-term debt of the Company or any of its Subsidiaries or any material adverse change, or any development involving a prospective material adverse change, in the condition (financial or otherwise), business or results of operations, whether or not arising from transactions in the ordinary course of business, of the Company and its subsidiaries, taken as a whole, otherwise than as set forth or contemplated in the Pricing Prospectus, the effect of which, in any such case described in clause (i) and (ii) is in the judgment of the Representatives (other than a defaulting Underwriter under Section 10 hereof)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181" w:lineRule="exact"/>
        <w:rPr>
          <w:rFonts w:ascii="Arial" w:cs="Arial" w:eastAsia="Arial" w:hAnsi="Arial"/>
          <w:sz w:val="17"/>
          <w:szCs w:val="17"/>
          <w:color w:val="auto"/>
        </w:rPr>
      </w:pPr>
    </w:p>
    <w:p>
      <w:pPr>
        <w:jc w:val="both"/>
        <w:ind w:left="-20" w:firstLine="980"/>
        <w:spacing w:after="0" w:line="290" w:lineRule="auto"/>
        <w:tabs>
          <w:tab w:leader="none" w:pos="1711" w:val="left"/>
        </w:tabs>
        <w:numPr>
          <w:ilvl w:val="0"/>
          <w:numId w:val="146"/>
        </w:numPr>
        <w:rPr>
          <w:rFonts w:ascii="Arial" w:cs="Arial" w:eastAsia="Arial" w:hAnsi="Arial"/>
          <w:sz w:val="16"/>
          <w:szCs w:val="16"/>
          <w:color w:val="auto"/>
        </w:rPr>
      </w:pPr>
      <w:r>
        <w:rPr>
          <w:rFonts w:ascii="Arial" w:cs="Arial" w:eastAsia="Arial" w:hAnsi="Arial"/>
          <w:sz w:val="16"/>
          <w:szCs w:val="16"/>
          <w:color w:val="auto"/>
        </w:rPr>
        <w:t>On or after the Applicable Time there shall not have occurred any of the following: (i) a suspension or material limitation in trading in securities generally on the Exchange; (ii) a suspension or material limitation in trading in the Company’s securities on the Exchange;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judgment of the Representatives (other than a defaulting Underwriter under Section 10 hereof) makes it impracticable or inadvisable to proceed with the public offering or the delivery of the Shares being delivered at such Time of Delivery on the terms and in the manner contemplated in the Pricing Prospectus and the Prospectus;</w:t>
      </w:r>
    </w:p>
    <w:p>
      <w:pPr>
        <w:spacing w:after="0" w:line="165" w:lineRule="exact"/>
        <w:rPr>
          <w:rFonts w:ascii="Arial" w:cs="Arial" w:eastAsia="Arial" w:hAnsi="Arial"/>
          <w:sz w:val="16"/>
          <w:szCs w:val="16"/>
          <w:color w:val="auto"/>
        </w:rPr>
      </w:pPr>
    </w:p>
    <w:p>
      <w:pPr>
        <w:ind w:left="1700" w:hanging="740"/>
        <w:spacing w:after="0"/>
        <w:tabs>
          <w:tab w:leader="none" w:pos="17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Shares to be sold at such Time of Delivery shall have been duly listed, subject to official notice of issuance, on the Exchange;</w:t>
      </w:r>
    </w:p>
    <w:p>
      <w:pPr>
        <w:spacing w:after="0" w:line="248" w:lineRule="exact"/>
        <w:rPr>
          <w:rFonts w:ascii="Arial" w:cs="Arial" w:eastAsia="Arial" w:hAnsi="Arial"/>
          <w:sz w:val="16"/>
          <w:szCs w:val="16"/>
          <w:color w:val="auto"/>
        </w:rPr>
      </w:pPr>
    </w:p>
    <w:p>
      <w:pPr>
        <w:ind w:left="-20" w:right="20" w:firstLine="980"/>
        <w:spacing w:after="0" w:line="277" w:lineRule="auto"/>
        <w:tabs>
          <w:tab w:leader="none" w:pos="167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Company shall have obtained and delivered to the Underwriters executed copies of an agreement from each of the parties listed on Schedule IV hereto, substantially to the effect set forth in Annex I hereto;</w:t>
      </w:r>
    </w:p>
    <w:p>
      <w:pPr>
        <w:spacing w:after="0" w:line="170" w:lineRule="exact"/>
        <w:rPr>
          <w:rFonts w:ascii="Arial" w:cs="Arial" w:eastAsia="Arial" w:hAnsi="Arial"/>
          <w:sz w:val="18"/>
          <w:szCs w:val="18"/>
          <w:color w:val="auto"/>
        </w:rPr>
      </w:pPr>
    </w:p>
    <w:p>
      <w:pPr>
        <w:ind w:left="-20" w:right="20" w:firstLine="980"/>
        <w:spacing w:after="0" w:line="277" w:lineRule="auto"/>
        <w:tabs>
          <w:tab w:leader="none" w:pos="172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5(c) hereof with respect to the furnishing of prospectuses on the second New York Business Day following the date of this Agreement; and</w:t>
      </w:r>
    </w:p>
    <w:p>
      <w:pPr>
        <w:spacing w:after="0" w:line="170" w:lineRule="exact"/>
        <w:rPr>
          <w:rFonts w:ascii="Arial" w:cs="Arial" w:eastAsia="Arial" w:hAnsi="Arial"/>
          <w:sz w:val="18"/>
          <w:szCs w:val="18"/>
          <w:color w:val="auto"/>
        </w:rPr>
      </w:pPr>
    </w:p>
    <w:p>
      <w:pPr>
        <w:jc w:val="both"/>
        <w:ind w:left="-20" w:firstLine="980"/>
        <w:spacing w:after="0" w:line="293" w:lineRule="auto"/>
        <w:tabs>
          <w:tab w:leader="none" w:pos="17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Tradeweb Parties shall have furnished or caused to be furnished to you at such Time of Delivery certificates of officers of the Company and TWM LLC, as applicable, respectively, satisfactory to you as to the accuracy of the representations and warranties of the Tradeweb Parties, respectively, herein at and as of such Time of Delivery, as to the performance in all material respects by each of the Tradeweb Parties, respectively, of all of their respective obligations hereunder to be performed at or prior to such Time of Delivery, and as to such other matters as you may reasonably request, and the Tradeweb Parties shall have furnished or caused to be furnished certificates as to the matters set forth in subsections (a) and (f) of this Section 8 and the Tradeweb Parties shall have furnished such other certificates and documents as you may reasonably request.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79" w:name="page180"/>
    <w:bookmarkEnd w:id="179"/>
    <w:p>
      <w:pPr>
        <w:jc w:val="both"/>
        <w:ind w:left="-20" w:firstLine="656"/>
        <w:spacing w:after="0" w:line="285" w:lineRule="auto"/>
        <w:tabs>
          <w:tab w:leader="none" w:pos="1036"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 Each of the Tradeweb Parties, jointly and severally, will indemnify and hold harmless each Underwriter, its affiliates, directors, officers and employees, each person, if any, who controls any Underwriter within the meaning of the Act and the Exchange Act against any losses, claims, damages or liabilities, joint or several, to which such Underwriter, its affiliates, directors, officers and employees, and each person, if any, who controls any Underwriter within the meaning of the Act and the Exchange Act may become subject, under the Act or otherwise, insofar as such losses, claims, damages or liabilities (or actions in respect thereof) arise out of or are based upon (i) an untrue statement or alleged untrue statement of a material fact contained in the Registration Statement or any amendment thereto, or the omission or alleged omission to state a material fact required to be stated therein or necessary to make the statement therein not misleading, or (ii) an untrue statement or alleged untrue statement of a material fact contained in any Preliminary Prospectus, the Pricing Prospectus or the Prospectus, or any amendment or supplement thereto, any Issuer Free Writing Prospectus or any “issuer information” filed or required to be filed pursuant to Rule 433(d) under the Act or any Section 5(d) Writing, or the omission or alleged omission to state a material fact necessary in order to make the statements therein, in the light of the circumstances under which they were made, not misleading, and will reimburse each Underwriter, its affiliates, directors, officers and employees, and each person, if any, who controls any Underwriter within the meaning of the Act and the Exchange Act for any legal or other expenses reasonably incurred by such Underwriter, its affiliates, directors, officers and employees, and each person, if any, who controls any Underwriter within the meaning of the Act and the Exchange Act in connection with investigating or defending any such action or claim as such expenses are incurred; provided, however, that the Tradeweb Parties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or any Section 5(d) Writing, in reliance upon and in conformity with written information furnished to the Tradeweb Parties by any Underwriter through the Representatives expressly for use therein, it being understood and agreed that the only such information furnished by any Underwriter consists solely of the information described as such under subsection (b) of this Section 9;</w:t>
      </w:r>
    </w:p>
    <w:p>
      <w:pPr>
        <w:spacing w:after="0" w:line="168" w:lineRule="exact"/>
        <w:rPr>
          <w:rFonts w:ascii="Arial" w:cs="Arial" w:eastAsia="Arial" w:hAnsi="Arial"/>
          <w:sz w:val="16"/>
          <w:szCs w:val="16"/>
          <w:color w:val="auto"/>
        </w:rPr>
      </w:pPr>
    </w:p>
    <w:p>
      <w:pPr>
        <w:jc w:val="both"/>
        <w:ind w:left="-20" w:firstLine="980"/>
        <w:spacing w:after="0" w:line="284" w:lineRule="auto"/>
        <w:tabs>
          <w:tab w:leader="none" w:pos="1783" w:val="left"/>
        </w:tabs>
        <w:numPr>
          <w:ilvl w:val="1"/>
          <w:numId w:val="147"/>
        </w:numPr>
        <w:rPr>
          <w:rFonts w:ascii="Arial" w:cs="Arial" w:eastAsia="Arial" w:hAnsi="Arial"/>
          <w:sz w:val="16"/>
          <w:szCs w:val="16"/>
          <w:color w:val="auto"/>
        </w:rPr>
      </w:pPr>
      <w:r>
        <w:rPr>
          <w:rFonts w:ascii="Arial" w:cs="Arial" w:eastAsia="Arial" w:hAnsi="Arial"/>
          <w:sz w:val="16"/>
          <w:szCs w:val="16"/>
          <w:color w:val="auto"/>
        </w:rPr>
        <w:t>Each Underwriter will, severally and not jointly, indemnify and hold harmless each Tradeweb Party and its directors, officers and employees and each person, if any, who controls, as of the date hereof, such Tradeweb Party, within the meaning of the Act and the Exchange Act against any losses, claims, damages or liabilities to which such Tradeweb Party and its directors, officers and employees and each person, if any, who controls, as of the date hereof, such Tradeweb Party within the meaning of the Act and the Exchange Act may become subject, under the Act or otherwise, insofar as such losses, claims, damages or liabilities (or actions in respect thereof) arise out of or are based upon (i) an untrue statement or alleged untrue statement of a material fact contained in the Registration Statement or any amendment thereto, or the omission or alleged omission to state a material fact required to be stated therein or necessary to make the statements therein not misleading, or (ii) an untrue statement or alleged untrue statement of a material fact contained in any Preliminary Prospectus, the Pricing Prospectus or the Prospectus, or any amendment or supplement thereto, any Issuer Free Writing Prospectus, any Section 5(d) Writing or arise out of or are based upon the omission or alleged omission to state a material fact necessary in order to make the statements therein, in the light of the circumstances under which they were made,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any Issuer Free Writing Prospectus, or any Section 5(d) Writing, in reliance upon and in conformity with written information furnished to the Tradeweb Parties by such Underwriter through the Representatives expressly for use therein, it being understood and agreed that the only such information furnished by any Underwriter consists solely of the information described as such in this subsection (b); and will reimburse each Tradeweb Party, its directors, officers and employees and each person, if any, who controls, as of the date hereof, such Tradeweb Party within the meaning of the Act and the Exchange Act for any legal or other expenses reasonably incurred by such Tradeweb Party, its directors, officers and employees and each person, if any, who controls, as of the date hereof, such Tradeweb Party within the meaning of the Act and the Exchange Act in connection with investigating or defending any such action or claim as such expenses are incurred; it being understood and agreed that the only such information furnished by the Underwriters consists of the following information: (i) the names of the Underwriters appearing on the front and back cover pages of the Preliminary Prospectus and the Prospectus; (ii) the names of the Underwriters set forth in the table of Underwriters in the first paragraph of text under the caption “Underwriting (Conflicts of Interest)” in the Preliminary Prospectus and the Prospectus; (iii) the third paragraph of text under the caption “Underwriting (Conflicts of Interest)” in the Preliminary Prospectus and the Prospectus concerning the terms of offering by the Underwriters; and (iv) the twelfth, thirteenth and fourteenth paragraphs of text under the caption “Underwriting (Conflicts of Interest)” in the Preliminary Prospectus and the Prospectus concerning transactions that stabilize, maintain or otherwise affect the price of the Shares.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80" w:name="page181"/>
    <w:bookmarkEnd w:id="180"/>
    <w:p>
      <w:pPr>
        <w:jc w:val="both"/>
        <w:ind w:left="-20" w:firstLine="980"/>
        <w:spacing w:after="0" w:line="267" w:lineRule="auto"/>
        <w:tabs>
          <w:tab w:leader="none" w:pos="174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subsection (a) or (b) of this Section 9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that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It is understood that the indemnifying party or parties shall not, in connection with any one action or proceeding or separate but substantially similar actions or proceedings arising out of the same general allegations, be liable for the fees and expenses of more than one separate firm of attorneys at any time for all indemnified parties except to the extent that local counsel or counsel with specialized expertise (in addition to any regular counsel) is required to effectively defend against any such action or proceeding.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81" w:name="page182"/>
    <w:bookmarkEnd w:id="181"/>
    <w:p>
      <w:pPr>
        <w:jc w:val="both"/>
        <w:ind w:left="-20" w:firstLine="980"/>
        <w:spacing w:after="0" w:line="284" w:lineRule="auto"/>
        <w:tabs>
          <w:tab w:leader="none" w:pos="1804"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9 is unavailable to or insufficient to hold harmless an indemnified party under subsections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Tradeweb Parties on the one hand and the Underwriters on the other from the offering of the Shares.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Tradeweb Parties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Tradeweb Parties on the one hand and the Underwriters on the other shall be deemed to be in the same proportion as the total net proceeds from the offering (net of underwriting discounts and commissions but before deducting expenses) received by the Tradeweb Parties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Tradeweb Parties on the one hand or the Underwriters on the other and the parties’ relative intent, knowledge, access to information and opportunity to correct or prevent such statement or omission. The Tradeweb Parties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173" w:lineRule="exact"/>
        <w:rPr>
          <w:rFonts w:ascii="Arial" w:cs="Arial" w:eastAsia="Arial" w:hAnsi="Arial"/>
          <w:sz w:val="16"/>
          <w:szCs w:val="16"/>
          <w:color w:val="auto"/>
        </w:rPr>
      </w:pPr>
    </w:p>
    <w:p>
      <w:pPr>
        <w:jc w:val="both"/>
        <w:ind w:left="-20" w:firstLine="980"/>
        <w:spacing w:after="0" w:line="293" w:lineRule="auto"/>
        <w:tabs>
          <w:tab w:leader="none" w:pos="1777"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obligations of the Tradeweb Parties under this Section 9 shall be in addition to any liability which the Tradeweb Parties may otherwise have and shall extend, upon the same terms and conditions, to each officer and director of each Underwriter and each person, if any, who controls any Underwriter within the meaning of the Act or the Exchange Act and each broker-dealer affiliate of any Underwriter; and the obligations of the Underwriters under this Section 9 shall be in addition to any liability which the respective Underwriters may otherwise have and shall extend, upon the same terms and conditions, to each officer and director of the Tradeweb Parties (including any person who, with his or her consent, is named in the Registration Statement as about to become a director of the Company) and to each person, if any, who controls the Company within the meaning of the Act.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82" w:name="page183"/>
    <w:bookmarkEnd w:id="182"/>
    <w:p>
      <w:pPr>
        <w:jc w:val="both"/>
        <w:ind w:firstLine="648"/>
        <w:spacing w:after="0" w:line="288" w:lineRule="auto"/>
        <w:rPr>
          <w:sz w:val="20"/>
          <w:szCs w:val="20"/>
          <w:color w:val="auto"/>
        </w:rPr>
      </w:pPr>
      <w:r>
        <w:rPr>
          <w:rFonts w:ascii="Arial" w:cs="Arial" w:eastAsia="Arial" w:hAnsi="Arial"/>
          <w:sz w:val="16"/>
          <w:szCs w:val="16"/>
          <w:color w:val="auto"/>
        </w:rPr>
        <w:t>10. (a) If any Underwriter shall default in its obligation to purchase the Shares that it has agreed to purchase hereunder at a Time of Delivery, you may in your discretion arrange for you or another party or other parties to purchase such Shares on the terms contained herein. If within thirty-six hours after such default by any Underwriter you do not arrange for the purchase of such Shares, then the Company shall be entitled to a further period of thirty-six hours within which to procure another party or other parties reasonably satisfactory to you to purchase such Shares on the terms of this Agreement. In the event that, within the respective prescribed periods, you notify the Company that you have so arranged for the purchase of such Shares, or the Company notifies you that it has so arranged for the purchase of such Shares,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68" w:lineRule="exact"/>
        <w:rPr>
          <w:sz w:val="20"/>
          <w:szCs w:val="20"/>
          <w:color w:val="auto"/>
        </w:rPr>
      </w:pPr>
    </w:p>
    <w:p>
      <w:pPr>
        <w:jc w:val="both"/>
        <w:ind w:firstLine="980"/>
        <w:spacing w:after="0" w:line="254" w:lineRule="auto"/>
        <w:tabs>
          <w:tab w:leader="none" w:pos="1722"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by you and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94" w:lineRule="exact"/>
        <w:rPr>
          <w:rFonts w:ascii="Arial" w:cs="Arial" w:eastAsia="Arial" w:hAnsi="Arial"/>
          <w:sz w:val="18"/>
          <w:szCs w:val="18"/>
          <w:color w:val="auto"/>
        </w:rPr>
      </w:pPr>
    </w:p>
    <w:p>
      <w:pPr>
        <w:jc w:val="both"/>
        <w:ind w:firstLine="980"/>
        <w:spacing w:after="0" w:line="254" w:lineRule="auto"/>
        <w:tabs>
          <w:tab w:leader="none" w:pos="1716"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by you and the Company as provided in subsection (a) above, the aggregate number of such Shares which remains unpurchased exceeds one-eleventh of the aggregate number of all of the Shares to be purchased at such Time of Delivery, or if the Company shall not exercise the right described in subsection (b) above to require non-defaulting Underwriters to purchase Shares of a defaulting Underwriter or Underwriters, then this Agreement (or, with respect to a Second Time of Delivery, the obligations of the Underwriters to purchase and of the Company to sell the Optional Shares) shall thereupon terminate, without liability on the part of any non-defaulting Underwriter or the Tradeweb Parties, except for the expenses to be borne by the Tradeweb Parties or the Underwriters as provided in Section 7 hereof and the indemnity and contribution agreements in Section 9 hereof; but nothing herein shall relieve a defaulting Underwriter from liability for its default.</w:t>
      </w:r>
    </w:p>
    <w:p>
      <w:pPr>
        <w:spacing w:after="0" w:line="191" w:lineRule="exact"/>
        <w:rPr>
          <w:rFonts w:ascii="Arial" w:cs="Arial" w:eastAsia="Arial" w:hAnsi="Arial"/>
          <w:sz w:val="18"/>
          <w:szCs w:val="18"/>
          <w:color w:val="auto"/>
        </w:rPr>
      </w:pPr>
    </w:p>
    <w:p>
      <w:pPr>
        <w:jc w:val="both"/>
        <w:ind w:firstLine="656"/>
        <w:spacing w:after="0" w:line="257" w:lineRule="auto"/>
        <w:tabs>
          <w:tab w:leader="none" w:pos="140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respective indemnities, rights of contribution, agreements, representations, warranties and other statements of the Tradeweb Parties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Tradeweb Parties, or any officer or director or controlling person of the Tradeweb Parties and shall survive delivery of and payment for the Shares.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3" w:name="page184"/>
    <w:bookmarkEnd w:id="183"/>
    <w:p>
      <w:pPr>
        <w:jc w:val="both"/>
        <w:ind w:firstLine="656"/>
        <w:spacing w:after="0" w:line="255" w:lineRule="auto"/>
        <w:tabs>
          <w:tab w:leader="none" w:pos="160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If this Agreement shall be terminated pursuant to Section 10 hereof, the Tradeweb Parties shall not be under any liability to any Underwriter except as provided in Sections 7 and 9 hereof; but, if for any other reason any Shares are not delivered by or on behalf of the Company as provided herein, the Tradeweb Parties, jointly and severally, will reimburse the Underwriters through you for all reasonable and documented out-of-pocket expenses approved in writing by you, including reasonable and documented fees and disbursements of counsel, reasonably incurred by the Underwriters in making preparations for the purchase, sale and delivery of the Shares not so delivered, but the Tradeweb Parties shall then be under no further liability to any Underwriter except as provided in Sections 7 and 9 hereof.</w:t>
      </w:r>
    </w:p>
    <w:p>
      <w:pPr>
        <w:spacing w:after="0" w:line="192" w:lineRule="exact"/>
        <w:rPr>
          <w:rFonts w:ascii="Arial" w:cs="Arial" w:eastAsia="Arial" w:hAnsi="Arial"/>
          <w:sz w:val="18"/>
          <w:szCs w:val="18"/>
          <w:color w:val="auto"/>
        </w:rPr>
      </w:pPr>
    </w:p>
    <w:p>
      <w:pPr>
        <w:ind w:firstLine="656"/>
        <w:spacing w:after="0" w:line="277" w:lineRule="auto"/>
        <w:tabs>
          <w:tab w:leader="none" w:pos="138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all dealings hereunder, you shall act on behalf of each of the Underwriters, and the parties hereto shall be entitled to act and rely upon any statement, request, notice or agreement on behalf of any Underwriter made or given by you.</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the requirements of the USA Patriot Act (Title III of Pub. L. 107-56 (signed into law October 26, 2001)), the Underwriters are required to obtain, verify and record information that identifies their respective clients, including the Company and TWM LLC, which information may include the name and address of their respective clients, as well as other information that will allow the Underwriters to properly identify their respective clients.</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All statements, requests, notices and agreements hereunder shall be in writing, and if to the Underwriters shall be delivered or sent by mail, telex or facsimile transmission to J.P. Morgan Securities LLC, 383 Madison Avenue, New York, New York 10179, Attention: Equity Syndicate Desk, to Barclays Capital Inc., 745 Seventh Avenue, New York, New York 10019, Attention: Syndicate Registration, to Citigroup Global Markets Inc., 388 Greenwich Street, New York, New York 10013, Attention: General Counsel, Facsimile Number: 1-646-291-1469, to Goldman Sachs &amp; Co. LLC, 200 West Street, New York, New York 10282-2198, Attention: Registration Department, and to Morgan Stanley &amp; Co. LLC, 1585 Broadway, New York, New York 10036, Attention: Equity Syndicate Desk, with a copy to the Legal Department; if to the Company shall be delivered or sent by mail, telex or facsimile transmission to the address of the Company set forth on the cover of the Registration Statement, Attention: Douglas Friedman, General Counsel and Secretary; and if to any of the parties that has delivered a lock-up letter described in Section 8(i) hereof shall be delivered or sent by mail to the respective address provided in Schedule IV hereto or such other address as such party provides in writing to the Company; provided, however, that any notice to an Underwriter pursuant to Section 9(b) hereof shall be delivered or sent by mail, telex or facsimile transmission to such Underwriter at its address set forth in its Underwriters’ Questionnaire or telex constituting such Questionnaire, which address will be supplied to the Company by you on request; provided further that notices under subsection 5(e) shall be in writing, and if to the Underwriters shall be delivered or sent by mail, telex or facsimile transmission to you at J.P. Morgan Securities LLC, 383 Madison Avenue, New York, New York 10179, Attention: Equity Syndicate Desk, Barclays Capital Inc., 745 Seventh Avenue, New York, New York 10019, Attention: Syndicate Registration, Citigroup Global Markets Inc., 388 Greenwich Street, New York, New York 10013, Attention: General Counsel, Facsimile Number: 1-646-291-1469, Goldman Sachs &amp; Co. LLC, 200 West Street, New York, New York 10282-2198, Attention: Registration Department and to Morgan Stanley &amp; Co. LLC, 1585 Broadway, New York, New York 10036, Attention: Equity Syndicate Desk, with a copy to the Legal Department. Any such statements, requests, notices or agreements shall take effect upon receipt thereof.</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4" w:name="page185"/>
    <w:bookmarkEnd w:id="184"/>
    <w:p>
      <w:pPr>
        <w:jc w:val="both"/>
        <w:ind w:left="-20" w:firstLine="656"/>
        <w:spacing w:after="0" w:line="301" w:lineRule="auto"/>
        <w:tabs>
          <w:tab w:leader="none" w:pos="1512"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This Agreement shall be binding upon, and inure solely to the benefit of, the Underwriters, the Tradeweb Parties and, to the extent provided in Sections 9 and 11 hereof, the officers and directors of the Company and each person who controls any Tradeweb Party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57" w:lineRule="exact"/>
        <w:rPr>
          <w:rFonts w:ascii="Arial" w:cs="Arial" w:eastAsia="Arial" w:hAnsi="Arial"/>
          <w:sz w:val="16"/>
          <w:szCs w:val="16"/>
          <w:color w:val="auto"/>
        </w:rPr>
      </w:pPr>
    </w:p>
    <w:p>
      <w:pPr>
        <w:ind w:left="-20" w:firstLine="656"/>
        <w:spacing w:after="0" w:line="277" w:lineRule="auto"/>
        <w:tabs>
          <w:tab w:leader="none" w:pos="145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Time shall be of the essence of this Agreement. As used herein, the term “business day” shall mean any day when the Commission’s office in Washington, D.C. is open for business.</w:t>
      </w:r>
    </w:p>
    <w:p>
      <w:pPr>
        <w:spacing w:after="0" w:line="170" w:lineRule="exact"/>
        <w:rPr>
          <w:rFonts w:ascii="Arial" w:cs="Arial" w:eastAsia="Arial" w:hAnsi="Arial"/>
          <w:sz w:val="18"/>
          <w:szCs w:val="18"/>
          <w:color w:val="auto"/>
        </w:rPr>
      </w:pPr>
    </w:p>
    <w:p>
      <w:pPr>
        <w:jc w:val="both"/>
        <w:ind w:left="-20" w:firstLine="656"/>
        <w:spacing w:after="0" w:line="270" w:lineRule="auto"/>
        <w:tabs>
          <w:tab w:leader="none" w:pos="1352" w:val="left"/>
        </w:tabs>
        <w:numPr>
          <w:ilvl w:val="0"/>
          <w:numId w:val="153"/>
        </w:numPr>
        <w:rPr>
          <w:rFonts w:ascii="Arial" w:cs="Arial" w:eastAsia="Arial" w:hAnsi="Arial"/>
          <w:sz w:val="17"/>
          <w:szCs w:val="17"/>
          <w:color w:val="auto"/>
        </w:rPr>
      </w:pPr>
      <w:r>
        <w:rPr>
          <w:rFonts w:ascii="Arial" w:cs="Arial" w:eastAsia="Arial" w:hAnsi="Arial"/>
          <w:sz w:val="17"/>
          <w:szCs w:val="17"/>
          <w:color w:val="auto"/>
        </w:rPr>
        <w:t>Each Tradeweb Party acknowledges and agrees that (i) the purchase and sale of the Shares pursuant to this Agreement is an arm’s-length commercial transaction between the Tradeweb Parties, on the one hand, and the several Underwriters, on the other, (ii) in connection therewith and with the process leading to such transaction each Underwriter is acting solely as a principal and not the agent or fiduciary of the Tradeweb Parties, (iii) no Underwriter has assumed an advisory or fiduciary responsibility in favor of any of the Tradeweb Parties with respect to the offering contemplated hereby or the process leading thereto (irrespective of whether such Underwriter has advised or is currently advising any of the Tradeweb Parties on other matters) or any other obligation to any of the Tradeweb Parties except the obligations expressly set forth in this Agreement and (iv) each of the Tradeweb Parties has consulted its own legal and financial advisors to the extent it deemed appropriate. Each of the Tradeweb Parties agrees that it will not claim that the Underwriters, or any of them, has rendered advisory services of any nature or respect, or owes a fiduciary or similar duty to any of the Tradeweb Parties, in connection with such transaction or the process leading thereto.</w:t>
      </w:r>
    </w:p>
    <w:p>
      <w:pPr>
        <w:spacing w:after="0" w:line="180" w:lineRule="exact"/>
        <w:rPr>
          <w:rFonts w:ascii="Arial" w:cs="Arial" w:eastAsia="Arial" w:hAnsi="Arial"/>
          <w:sz w:val="17"/>
          <w:szCs w:val="17"/>
          <w:color w:val="auto"/>
        </w:rPr>
      </w:pPr>
    </w:p>
    <w:p>
      <w:pPr>
        <w:ind w:left="-20" w:firstLine="656"/>
        <w:spacing w:after="0" w:line="277" w:lineRule="auto"/>
        <w:tabs>
          <w:tab w:leader="none" w:pos="145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This Agreement supersedes all prior agreements and understandings (whether written or oral) between or among the Tradeweb Parties and the Underwriters, or any of them, with respect to the subject matter hereof.</w:t>
      </w:r>
    </w:p>
    <w:p>
      <w:pPr>
        <w:spacing w:after="0" w:line="166" w:lineRule="exact"/>
        <w:rPr>
          <w:rFonts w:ascii="Arial" w:cs="Arial" w:eastAsia="Arial" w:hAnsi="Arial"/>
          <w:sz w:val="18"/>
          <w:szCs w:val="18"/>
          <w:color w:val="auto"/>
        </w:rPr>
      </w:pPr>
    </w:p>
    <w:p>
      <w:pPr>
        <w:ind w:left="-20" w:firstLine="656"/>
        <w:spacing w:after="0" w:line="282" w:lineRule="auto"/>
        <w:tabs>
          <w:tab w:leader="none" w:pos="1510"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This Agreement and any claim, controversy or dispute arising under or related to this Agreement shall be governed by and construed in accordance with the laws of the State of New York.</w:t>
      </w:r>
    </w:p>
    <w:p>
      <w:pPr>
        <w:spacing w:after="0" w:line="165" w:lineRule="exact"/>
        <w:rPr>
          <w:rFonts w:ascii="Arial" w:cs="Arial" w:eastAsia="Arial" w:hAnsi="Arial"/>
          <w:sz w:val="18"/>
          <w:szCs w:val="18"/>
          <w:color w:val="auto"/>
        </w:rPr>
      </w:pPr>
    </w:p>
    <w:p>
      <w:pPr>
        <w:jc w:val="both"/>
        <w:ind w:left="-20" w:right="20" w:firstLine="656"/>
        <w:spacing w:after="0" w:line="286" w:lineRule="auto"/>
        <w:tabs>
          <w:tab w:leader="none" w:pos="138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Company agrees that any suit or proceeding arising in respect of this Agreement or our engagement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165" w:lineRule="exact"/>
        <w:rPr>
          <w:rFonts w:ascii="Arial" w:cs="Arial" w:eastAsia="Arial" w:hAnsi="Arial"/>
          <w:sz w:val="17"/>
          <w:szCs w:val="17"/>
          <w:color w:val="auto"/>
        </w:rPr>
      </w:pPr>
    </w:p>
    <w:p>
      <w:pPr>
        <w:ind w:left="-20" w:right="20" w:firstLine="656"/>
        <w:spacing w:after="0" w:line="308" w:lineRule="auto"/>
        <w:tabs>
          <w:tab w:leader="none" w:pos="1372" w:val="left"/>
        </w:tabs>
        <w:numPr>
          <w:ilvl w:val="0"/>
          <w:numId w:val="153"/>
        </w:numPr>
        <w:rPr>
          <w:rFonts w:ascii="Arial" w:cs="Arial" w:eastAsia="Arial" w:hAnsi="Arial"/>
          <w:sz w:val="17"/>
          <w:szCs w:val="17"/>
          <w:color w:val="auto"/>
        </w:rPr>
      </w:pPr>
      <w:r>
        <w:rPr>
          <w:rFonts w:ascii="Arial" w:cs="Arial" w:eastAsia="Arial" w:hAnsi="Arial"/>
          <w:sz w:val="17"/>
          <w:szCs w:val="17"/>
          <w:color w:val="auto"/>
        </w:rPr>
        <w:t>Each of the Tradeweb Parties and the Underwriters hereby irrevocably waives, to the fullest extent permitted by applicable law, any and all right to trial by jury in any legal proceeding arising out of or relating to this Agreement or the transactions contemplated hereby.</w:t>
      </w:r>
    </w:p>
    <w:p>
      <w:pPr>
        <w:spacing w:after="0" w:line="146" w:lineRule="exact"/>
        <w:rPr>
          <w:rFonts w:ascii="Arial" w:cs="Arial" w:eastAsia="Arial" w:hAnsi="Arial"/>
          <w:sz w:val="17"/>
          <w:szCs w:val="17"/>
          <w:color w:val="auto"/>
        </w:rPr>
      </w:pPr>
    </w:p>
    <w:p>
      <w:pPr>
        <w:jc w:val="both"/>
        <w:ind w:left="-20" w:firstLine="656"/>
        <w:spacing w:after="0" w:line="263" w:lineRule="auto"/>
        <w:tabs>
          <w:tab w:leader="none" w:pos="134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This Agreement may be executed by any one or more of the parties hereto in any number of counterparts, each of which shall be deemed to be an original, but all such counterparts shall together constitute one and the same instrument. Facsimile or electronic signatures shall constitute original signatures for all purposes.</w:t>
      </w:r>
    </w:p>
    <w:p>
      <w:pPr>
        <w:spacing w:after="0" w:line="183" w:lineRule="exact"/>
        <w:rPr>
          <w:rFonts w:ascii="Arial" w:cs="Arial" w:eastAsia="Arial" w:hAnsi="Arial"/>
          <w:sz w:val="18"/>
          <w:szCs w:val="18"/>
          <w:color w:val="auto"/>
        </w:rPr>
      </w:pPr>
    </w:p>
    <w:p>
      <w:pPr>
        <w:jc w:val="both"/>
        <w:ind w:left="-20" w:firstLine="656"/>
        <w:spacing w:after="0" w:line="296" w:lineRule="auto"/>
        <w:tabs>
          <w:tab w:leader="none" w:pos="1481" w:val="left"/>
        </w:tabs>
        <w:numPr>
          <w:ilvl w:val="0"/>
          <w:numId w:val="153"/>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Tradeweb Parties are authorized to disclose to any persons the U.S. federal and state income tax treatment and tax structure of the potential transaction and all materials of any kind (including tax opinions and other tax analyses) provided to the Tradeweb Parties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85" w:name="page186"/>
    <w:bookmarkEnd w:id="185"/>
    <w:p>
      <w:pPr>
        <w:ind w:left="1380" w:hanging="724"/>
        <w:spacing w:after="0"/>
        <w:tabs>
          <w:tab w:leader="none" w:pos="13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Recognition of the U.S. Special Resolution Regimes.</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2157"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21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For purposes of this Section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6" w:name="page187"/>
    <w:bookmarkEnd w:id="186"/>
    <w:p>
      <w:pPr>
        <w:jc w:val="both"/>
        <w:ind w:firstLine="648"/>
        <w:spacing w:after="0" w:line="257" w:lineRule="auto"/>
        <w:rPr>
          <w:sz w:val="20"/>
          <w:szCs w:val="20"/>
          <w:color w:val="auto"/>
        </w:rPr>
      </w:pPr>
      <w:r>
        <w:rPr>
          <w:rFonts w:ascii="Arial" w:cs="Arial" w:eastAsia="Arial" w:hAnsi="Arial"/>
          <w:sz w:val="18"/>
          <w:szCs w:val="18"/>
          <w:color w:val="auto"/>
        </w:rPr>
        <w:t>If the foregoing is in accordance with your understanding, please sign and return to us counterparts hereof, and upon the acceptance hereof by you, on behalf of each of the Underwriters, this letter and such acceptance hereof shall constitute a binding agreement among each of the Underwriters, the Company and TWM LLC. It is understood that your acceptance of this letter on behalf of each of the Underwriters is pursuant to the authority set forth in a form of agreement among Underwriters, the form of which shall be submitted to the Company and TWM LLC for examination, upon request, but without warranty on your part as to the authority of the signers thereof.</w:t>
      </w:r>
    </w:p>
    <w:p>
      <w:pPr>
        <w:spacing w:after="0" w:line="21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7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Tradeweb Markets Inc.</w:t>
      </w: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7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Tradeweb Markets LLC</w:t>
      </w: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On behalf of each of the Underwriters</w:t>
      </w:r>
    </w:p>
    <w:p>
      <w:pPr>
        <w:spacing w:after="0" w:line="225" w:lineRule="exact"/>
        <w:rPr>
          <w:sz w:val="20"/>
          <w:szCs w:val="20"/>
          <w:color w:val="auto"/>
        </w:rPr>
      </w:pPr>
    </w:p>
    <w:p>
      <w:pPr>
        <w:jc w:val="right"/>
        <w:ind w:right="27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4920" w:type="dxa"/>
            <w:vAlign w:val="bottom"/>
            <w:gridSpan w:val="4"/>
          </w:tcPr>
          <w:p>
            <w:pPr>
              <w:ind w:left="440"/>
              <w:spacing w:after="0"/>
              <w:rPr>
                <w:sz w:val="20"/>
                <w:szCs w:val="20"/>
                <w:color w:val="auto"/>
              </w:rPr>
            </w:pPr>
            <w:r>
              <w:rPr>
                <w:rFonts w:ascii="Arial" w:cs="Arial" w:eastAsia="Arial" w:hAnsi="Arial"/>
                <w:sz w:val="18"/>
                <w:szCs w:val="18"/>
                <w:b w:val="1"/>
                <w:bCs w:val="1"/>
                <w:color w:val="auto"/>
              </w:rPr>
              <w:t>SCHEDULE I</w:t>
            </w:r>
          </w:p>
        </w:tc>
        <w:tc>
          <w:tcPr>
            <w:tcW w:w="1680" w:type="dxa"/>
            <w:vAlign w:val="bottom"/>
          </w:tcPr>
          <w:p>
            <w:pPr>
              <w:spacing w:after="0"/>
              <w:rPr>
                <w:sz w:val="20"/>
                <w:szCs w:val="20"/>
                <w:color w:val="auto"/>
              </w:rPr>
            </w:pPr>
          </w:p>
        </w:tc>
      </w:tr>
      <w:tr>
        <w:trPr>
          <w:trHeight w:val="414"/>
        </w:trPr>
        <w:tc>
          <w:tcPr>
            <w:tcW w:w="46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46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Optional</w:t>
            </w:r>
          </w:p>
        </w:tc>
      </w:tr>
      <w:tr>
        <w:trPr>
          <w:trHeight w:val="216"/>
        </w:trPr>
        <w:tc>
          <w:tcPr>
            <w:tcW w:w="46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center"/>
              <w:ind w:left="10"/>
              <w:spacing w:after="0"/>
              <w:rPr>
                <w:sz w:val="20"/>
                <w:szCs w:val="20"/>
                <w:color w:val="auto"/>
              </w:rPr>
            </w:pPr>
            <w:r>
              <w:rPr>
                <w:rFonts w:ascii="Arial" w:cs="Arial" w:eastAsia="Arial" w:hAnsi="Arial"/>
                <w:sz w:val="18"/>
                <w:szCs w:val="18"/>
                <w:b w:val="1"/>
                <w:bCs w:val="1"/>
                <w:color w:val="auto"/>
                <w:w w:val="86"/>
              </w:rPr>
              <w:t>Shares to be</w:t>
            </w:r>
          </w:p>
        </w:tc>
      </w:tr>
      <w:tr>
        <w:trPr>
          <w:trHeight w:val="216"/>
        </w:trPr>
        <w:tc>
          <w:tcPr>
            <w:tcW w:w="46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Total Number</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if</w:t>
            </w:r>
          </w:p>
        </w:tc>
      </w:tr>
      <w:tr>
        <w:trPr>
          <w:trHeight w:val="216"/>
        </w:trPr>
        <w:tc>
          <w:tcPr>
            <w:tcW w:w="46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of Firm Shares</w:t>
            </w:r>
          </w:p>
        </w:tc>
        <w:tc>
          <w:tcPr>
            <w:tcW w:w="1680" w:type="dxa"/>
            <w:vAlign w:val="bottom"/>
          </w:tcPr>
          <w:p>
            <w:pPr>
              <w:jc w:val="center"/>
              <w:ind w:left="3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46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to be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r>
      <w:tr>
        <w:trPr>
          <w:trHeight w:val="234"/>
        </w:trPr>
        <w:tc>
          <w:tcPr>
            <w:tcW w:w="4640" w:type="dxa"/>
            <w:vAlign w:val="bottom"/>
          </w:tcPr>
          <w:p>
            <w:pPr>
              <w:ind w:left="3240"/>
              <w:spacing w:after="0"/>
              <w:rPr>
                <w:sz w:val="20"/>
                <w:szCs w:val="20"/>
                <w:color w:val="auto"/>
              </w:rPr>
            </w:pPr>
            <w:r>
              <w:rPr>
                <w:rFonts w:ascii="Arial" w:cs="Arial" w:eastAsia="Arial" w:hAnsi="Arial"/>
                <w:sz w:val="18"/>
                <w:szCs w:val="18"/>
                <w:b w:val="1"/>
                <w:bCs w:val="1"/>
                <w:color w:val="auto"/>
              </w:rPr>
              <w:t>Underwriter</w:t>
            </w: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Purchased</w:t>
            </w:r>
          </w:p>
        </w:tc>
        <w:tc>
          <w:tcPr>
            <w:tcW w:w="1680" w:type="dxa"/>
            <w:vAlign w:val="bottom"/>
          </w:tcPr>
          <w:p>
            <w:pPr>
              <w:jc w:val="center"/>
              <w:ind w:left="10"/>
              <w:spacing w:after="0"/>
              <w:rPr>
                <w:sz w:val="20"/>
                <w:szCs w:val="20"/>
                <w:color w:val="auto"/>
              </w:rPr>
            </w:pPr>
            <w:r>
              <w:rPr>
                <w:rFonts w:ascii="Arial" w:cs="Arial" w:eastAsia="Arial" w:hAnsi="Arial"/>
                <w:sz w:val="18"/>
                <w:szCs w:val="18"/>
                <w:b w:val="1"/>
                <w:bCs w:val="1"/>
                <w:color w:val="auto"/>
                <w:w w:val="86"/>
              </w:rPr>
              <w:t>Exercised</w:t>
            </w:r>
          </w:p>
        </w:tc>
      </w:tr>
      <w:tr>
        <w:trPr>
          <w:trHeight w:val="210"/>
        </w:trPr>
        <w:tc>
          <w:tcPr>
            <w:tcW w:w="4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2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Barclays Capital Inc.</w:t>
            </w: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rPr>
              <w:t>[●]</w:t>
            </w:r>
          </w:p>
        </w:tc>
        <w:tc>
          <w:tcPr>
            <w:tcW w:w="1680" w:type="dxa"/>
            <w:vAlign w:val="bottom"/>
          </w:tcPr>
          <w:p>
            <w:pPr>
              <w:jc w:val="center"/>
              <w:ind w:left="1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Goldman Sachs &amp; Co. LLC</w:t>
            </w: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rPr>
              <w:t>[●]</w:t>
            </w:r>
          </w:p>
        </w:tc>
        <w:tc>
          <w:tcPr>
            <w:tcW w:w="1680" w:type="dxa"/>
            <w:vAlign w:val="bottom"/>
          </w:tcPr>
          <w:p>
            <w:pPr>
              <w:jc w:val="center"/>
              <w:ind w:left="1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rPr>
              <w:t>[●]</w:t>
            </w:r>
          </w:p>
        </w:tc>
        <w:tc>
          <w:tcPr>
            <w:tcW w:w="1680" w:type="dxa"/>
            <w:vAlign w:val="bottom"/>
          </w:tcPr>
          <w:p>
            <w:pPr>
              <w:jc w:val="center"/>
              <w:ind w:left="10"/>
              <w:spacing w:after="0"/>
              <w:rPr>
                <w:sz w:val="20"/>
                <w:szCs w:val="20"/>
                <w:color w:val="auto"/>
              </w:rPr>
            </w:pPr>
            <w:r>
              <w:rPr>
                <w:rFonts w:ascii="Arial" w:cs="Arial" w:eastAsia="Arial" w:hAnsi="Arial"/>
                <w:sz w:val="18"/>
                <w:szCs w:val="18"/>
                <w:color w:val="auto"/>
              </w:rPr>
              <w:t>[●]</w:t>
            </w:r>
          </w:p>
        </w:tc>
      </w:tr>
      <w:tr>
        <w:trPr>
          <w:trHeight w:val="229"/>
        </w:trPr>
        <w:tc>
          <w:tcPr>
            <w:tcW w:w="464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w:t>
            </w:r>
          </w:p>
        </w:tc>
      </w:tr>
      <w:tr>
        <w:trPr>
          <w:trHeight w:val="224"/>
        </w:trPr>
        <w:tc>
          <w:tcPr>
            <w:tcW w:w="4640" w:type="dxa"/>
            <w:vAlign w:val="bottom"/>
          </w:tcPr>
          <w:p>
            <w:pPr>
              <w:ind w:left="660"/>
              <w:spacing w:after="0"/>
              <w:rPr>
                <w:sz w:val="20"/>
                <w:szCs w:val="20"/>
                <w:color w:val="auto"/>
              </w:rPr>
            </w:pPr>
            <w:r>
              <w:rPr>
                <w:rFonts w:ascii="Arial" w:cs="Arial" w:eastAsia="Arial" w:hAnsi="Arial"/>
                <w:sz w:val="18"/>
                <w:szCs w:val="18"/>
                <w:b w:val="1"/>
                <w:bCs w:val="1"/>
                <w:color w:val="auto"/>
              </w:rPr>
              <w:t>Total</w:t>
            </w: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8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rPr>
              <w:t>[●]</w:t>
            </w:r>
          </w:p>
        </w:tc>
      </w:tr>
      <w:tr>
        <w:trPr>
          <w:trHeight w:val="33"/>
        </w:trPr>
        <w:tc>
          <w:tcPr>
            <w:tcW w:w="46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432"/>
        </w:trPr>
        <w:tc>
          <w:tcPr>
            <w:tcW w:w="46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0" w:right="339" w:bottom="1440" w:gutter="0" w:footer="0" w:header="0"/>
        </w:sectPr>
      </w:pPr>
    </w:p>
    <w:bookmarkStart w:id="189" w:name="page190"/>
    <w:bookmarkEnd w:id="189"/>
    <w:p>
      <w:pPr>
        <w:ind w:left="5032"/>
        <w:spacing w:after="0"/>
        <w:rPr>
          <w:sz w:val="20"/>
          <w:szCs w:val="20"/>
          <w:color w:val="auto"/>
        </w:rPr>
      </w:pPr>
      <w:r>
        <w:rPr>
          <w:rFonts w:ascii="Arial" w:cs="Arial" w:eastAsia="Arial" w:hAnsi="Arial"/>
          <w:sz w:val="18"/>
          <w:szCs w:val="18"/>
          <w:b w:val="1"/>
          <w:bCs w:val="1"/>
          <w:color w:val="auto"/>
        </w:rPr>
        <w:t>SCHEDULE II</w:t>
      </w:r>
    </w:p>
    <w:p>
      <w:pPr>
        <w:spacing w:after="0" w:line="229" w:lineRule="exact"/>
        <w:rPr>
          <w:sz w:val="20"/>
          <w:szCs w:val="20"/>
          <w:color w:val="auto"/>
        </w:rPr>
      </w:pPr>
    </w:p>
    <w:p>
      <w:pPr>
        <w:ind w:left="652" w:right="3699" w:hanging="652"/>
        <w:spacing w:after="0" w:line="277" w:lineRule="auto"/>
        <w:tabs>
          <w:tab w:leader="none" w:pos="65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Issuer Free Writing Prospectuses not included in the Pricing Disclosure Package Electronic road show</w:t>
      </w:r>
    </w:p>
    <w:p>
      <w:pPr>
        <w:spacing w:after="0" w:line="170" w:lineRule="exact"/>
        <w:rPr>
          <w:rFonts w:ascii="Arial" w:cs="Arial" w:eastAsia="Arial" w:hAnsi="Arial"/>
          <w:sz w:val="18"/>
          <w:szCs w:val="18"/>
          <w:color w:val="auto"/>
        </w:rPr>
      </w:pPr>
    </w:p>
    <w:p>
      <w:pPr>
        <w:ind w:left="652" w:right="2879" w:hanging="652"/>
        <w:spacing w:after="0" w:line="258" w:lineRule="auto"/>
        <w:tabs>
          <w:tab w:leader="none" w:pos="66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Information other than the Pricing Prospectus that comprise the Pricing Disclosure Package The public offering price per share for the Shares is $[·].</w:t>
      </w:r>
    </w:p>
    <w:p>
      <w:pPr>
        <w:spacing w:after="0" w:line="1"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The number of Firm Shares purchased by the Underwriters from the Company is [·].</w:t>
      </w:r>
    </w:p>
    <w:p>
      <w:pPr>
        <w:spacing w:after="0" w:line="9"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6"/>
          <w:szCs w:val="16"/>
          <w:color w:val="auto"/>
        </w:rPr>
        <w:t>The number of Optional Shares to be sold by the Company at the option of the Underwriters is up to [·].</w:t>
      </w:r>
    </w:p>
    <w:p>
      <w:pPr>
        <w:spacing w:after="0" w:line="233" w:lineRule="exact"/>
        <w:rPr>
          <w:rFonts w:ascii="Arial" w:cs="Arial" w:eastAsia="Arial" w:hAnsi="Arial"/>
          <w:sz w:val="18"/>
          <w:szCs w:val="18"/>
          <w:color w:val="auto"/>
        </w:rPr>
      </w:pPr>
    </w:p>
    <w:p>
      <w:pPr>
        <w:ind w:left="652" w:right="7939" w:hanging="652"/>
        <w:spacing w:after="0" w:line="277" w:lineRule="auto"/>
        <w:tabs>
          <w:tab w:leader="none" w:pos="65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Section 5(d) Writings None.</w:t>
      </w:r>
    </w:p>
    <w:p>
      <w:pPr>
        <w:spacing w:after="0" w:line="386" w:lineRule="exact"/>
        <w:rPr>
          <w:sz w:val="20"/>
          <w:szCs w:val="20"/>
          <w:color w:val="auto"/>
        </w:rPr>
      </w:pPr>
    </w:p>
    <w:p>
      <w:pPr>
        <w:ind w:left="5532"/>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904" w:right="1440" w:bottom="1440" w:gutter="0" w:footer="0" w:header="0"/>
        </w:sectPr>
      </w:pPr>
    </w:p>
    <w:bookmarkStart w:id="190" w:name="page191"/>
    <w:bookmarkEnd w:id="190"/>
    <w:p>
      <w:pPr>
        <w:jc w:val="center"/>
        <w:ind w:right="-1120"/>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jc w:val="right"/>
        <w:ind w:right="3599"/>
        <w:spacing w:after="0"/>
        <w:rPr>
          <w:sz w:val="20"/>
          <w:szCs w:val="20"/>
          <w:color w:val="auto"/>
        </w:rPr>
      </w:pPr>
      <w:r>
        <w:rPr>
          <w:rFonts w:ascii="Arial" w:cs="Arial" w:eastAsia="Arial" w:hAnsi="Arial"/>
          <w:sz w:val="18"/>
          <w:szCs w:val="18"/>
          <w:b w:val="1"/>
          <w:bCs w:val="1"/>
          <w:color w:val="auto"/>
        </w:rPr>
        <w:t>Significant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BondDesk Group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Tradeweb Direct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Tradeweb Global Holding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Tradeweb Global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Tradeweb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Tradeweb Markets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 SEF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TWEL Holding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Dealerweb Inc.</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91" w:name="page192"/>
    <w:bookmarkEnd w:id="191"/>
    <w:p>
      <w:pPr>
        <w:jc w:val="right"/>
        <w:ind w:right="4039"/>
        <w:spacing w:after="0"/>
        <w:rPr>
          <w:sz w:val="20"/>
          <w:szCs w:val="20"/>
          <w:color w:val="auto"/>
        </w:rPr>
      </w:pPr>
      <w:r>
        <w:rPr>
          <w:rFonts w:ascii="Arial" w:cs="Arial" w:eastAsia="Arial" w:hAnsi="Arial"/>
          <w:sz w:val="18"/>
          <w:szCs w:val="18"/>
          <w:b w:val="1"/>
          <w:bCs w:val="1"/>
          <w:color w:val="auto"/>
        </w:rPr>
        <w:t>Schedule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Signatory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Refinitiv TW Holdings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Refinitiv US PME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Unquoted Investments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Strategic Investments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DBR Investments Co.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PSI Global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JPMC Strategic Investments Incorporation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Lee Olesky 2019 Family Trust U/A/D March 21,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Fixed Income Ventures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NEXT Investment Aggregator II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Central Pacific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Martin J. Brand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Enrico Bruni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G. Finley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Douglas Friedman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 C. Ganeles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Hult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Paula B. Madoff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Simon Maisey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Lee Olesky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Justin Peterson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Pluta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R. Spencer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Debra Walton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Warshaw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J. West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 Zucker</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 Agreement</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_______,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named in Schedule I of the 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 Tradeweb Markets Inc. - 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undersigned understands that J.P. Morgan Securities LLC, Barclays Capital Inc., Citigroup Global Markets Inc., Goldman Sachs &amp; Co. LLC and Morgan Stanley &amp; Co. LLC propose to enter into an underwriting agreement (the “Underwriting Agreement”) on behalf of the several Underwriters named in Schedule I to such agreement (collectively, the “Underwriters”), with Tradeweb Markets Inc., a Delaware corporation (the “Company”) and Tradeweb Markets LLC (“TWM LLC”), providing for a public offering (the “Offering”) of shares (the “Shares”) of Class A common stock, par value $0.00001 per share (the “Class A Common Stock”), of the Company pursuant to a Registration Statement on Form S-1 to be filed with the Securities and Exchange Commission (the “SEC”). Capitalized terms used herein and not otherwise defined shall have the meanings set forth in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jc w:val="both"/>
        <w:ind w:firstLine="648"/>
        <w:spacing w:after="0" w:line="268" w:lineRule="auto"/>
        <w:rPr>
          <w:sz w:val="20"/>
          <w:szCs w:val="20"/>
          <w:color w:val="auto"/>
        </w:rPr>
      </w:pPr>
      <w:r>
        <w:rPr>
          <w:rFonts w:ascii="Arial" w:cs="Arial" w:eastAsia="Arial" w:hAnsi="Arial"/>
          <w:sz w:val="17"/>
          <w:szCs w:val="17"/>
          <w:color w:val="auto"/>
        </w:rPr>
        <w:t>In consideration of the agreement by the Underwriters to offer and sell the Shares, and of other good and valuable consideration the receipt and sufficiency of which is hereby acknowledged, the undersigned agrees that, during the period specified in the following paragraph (the “Lock-Up Period”), the undersigned will not offer, sell, contract to sell, pledge, grant any option to purchase, make any short sale or otherwise dispose of any shares of Class A Common Stock, Class B common stock, par value $0.00001 per share (the “Class B Common Stock”), Class C common stock, par value $0.00001 per share (the “Class C Common Stock”) and Class D common stock, par value $0.00001 per share (the “Class D Common Stock” and, together with the Class A Common Stock, Class B Common Stock and Class C Common Stock, the “Common Stock”) of the Company, or any options or warrants to purchase any shares of Common Stock of the Company, or any securities convertible into, exchangeable for or that represent the right to receive shares of Common Stock of the Company (including, without limitation, limited liability company interests in TWM LLC (the “LLC Units”)), whether now owned or hereafter acquired, owned directly by the undersigned (including holding as a custodian) or with respect to which the undersigned has beneficial ownership within the rules and regulations of the SEC (collectively the "Undersigned's Shares"). The foregoing restriction is expressly agreed to preclude the undersigned from engaging in any transaction that is designed to or that reasonably could be expected to lead to or result in a sale or disposition of the Undersigned’s Shares even if such Shares would be disposed of by someone other than the undersigned, including any put or call option with respect to any of the Undersigned’s Shares.</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Lock-Up Period will commence on the date of this Lock-Up Agreement and continue to and include the date that is 60 days after the public offering date set forth on the final prospectus used to sell the Shares (the “Public Offering Date”) pursuant to the Underwriting Agreement (which date, for the avoidance of doubt, shall also be the pricing date of the Offering).</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 xml:space="preserve">Notwithstanding the foregoing, the undersigned may transfer the Undersigned’s Shares (i) by will or intestacy, (ii) as a bona fide gift or gifts, including to charitable organizations, (iii) to any trust, partnership, limited liability company or other entity for the direct or indirect benefit of the undersigned or the immediate family of the undersigned (for purposes of this Lock-Up Agreement, “immediate family” shall mean any relationship by blood, current or former marriage or adoption, not more remote than first cousin), (iv) to any immediate family member or other dependent, (v) as a distribution to limited partners, members or stockholders of the undersigned, (vi) to the undersigned’s subsidiaries, affiliates, or to any investment fund or other entity which controls or manages or is controlled or managed by, or under common control or management with, the undersigned, (vii) to a nominee or custodian of a person or entity to whom a disposition or transfer would be permissible under clauses (i) through (vi) above, (viii) pursuant to an order of a court or regulatory agency or by operation of law, including pursuant to a domestic relations order or in connection with a divorce settlement, (ix) to the Company or its parent entities or subsidiaries upon the death, disability or termination of employment, in each case, of the undersigned, (x) in connection with transactions by any person other than the Company relating to shares of Common Stock acquired in open market transactions after the completion of the Offering, (xi) pursuant to a bona fide third-party tender offer, merger, consolidation or other similar transaction in each case made to all holders of the Common Stock involving a Change of Control (as defined below),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in the event that such tender offer, merger, consolidation or other such transaction is not completed, the Undersigned’s Shares shall remain subject to the provisions of this Lock-Up Agreement, (xii) to the Company (1) pursuant to the exercise, in each case on a “cashless” or “net exercise” basis, of any option to purchase shares of Common Stock granted by the Company pursuant to any employee benefit plans or arrangements described in the Pricing Disclosure Package, provided that any shares of Common Stock received by the undersigned upon any such exercise will be subject to the terms of this Lock-Up Agreement, or (2) for the purpose of satisfying any withholding taxes (including estimated taxes) due as a result of the exercise of any option to purchase shares of Common Stock or the vesting or settlement of any restricted stock unit awards granted by the Company pursuant to employee benefit plans or arrangements described in the Pricing Disclosure Package, in each case on a “cashless,” “net exercise” or “net settlement” basis, provided that any shares of Common Stock received by the undersigned upon any such exercise or vesting or settlement will be subject to the terms of this Lock-Up Agreement, [(xiii) by pledging, hypothecating or otherwise granting a security interest in shares of Common Stock or securities convertible into, exchangeable for or that represent the right to receive shares of Common Stock to one or more lending institutions as collateral or security for any loan, advance or extension of credit and any transfer upon foreclosure upon such shares of Common Stock or such securities, provided, that the undersigned or the Company, as the case may be, shall provide J.P. Morgan Securities LLC, Barclays Capital Inc., Citigroup Global Markets Inc., Goldman Sachs &amp; Co. LLC and Morgan Stanley &amp; Co. LLC and prior written notice informing them of any public</w:t>
      </w:r>
    </w:p>
    <w:p>
      <w:pPr>
        <w:spacing w:after="0" w:line="10"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filing, report or announcement with respect to such pledge, hypothecation or other grant of a security interest,]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or (xiv) with the prior written consent of J.P. Morgan Securities LLC, Barclays Capital Inc., Citigroup Global Markets Inc., Goldman Sachs &amp; Co. LLC and Morgan Stanley &amp; Co. LLC; provided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3" w:lineRule="exact"/>
        <w:rPr>
          <w:sz w:val="20"/>
          <w:szCs w:val="20"/>
          <w:color w:val="auto"/>
        </w:rPr>
      </w:pPr>
    </w:p>
    <w:p>
      <w:pPr>
        <w:ind w:left="120" w:hanging="112"/>
        <w:spacing w:after="0"/>
        <w:tabs>
          <w:tab w:leader="none" w:pos="120" w:val="left"/>
        </w:tabs>
        <w:numPr>
          <w:ilvl w:val="0"/>
          <w:numId w:val="156"/>
        </w:numPr>
        <w:rPr>
          <w:rFonts w:ascii="Arial" w:cs="Arial" w:eastAsia="Arial" w:hAnsi="Arial"/>
          <w:sz w:val="30"/>
          <w:szCs w:val="30"/>
          <w:color w:val="auto"/>
          <w:vertAlign w:val="superscript"/>
        </w:rPr>
      </w:pPr>
      <w:r>
        <w:rPr>
          <w:rFonts w:ascii="Arial" w:cs="Arial" w:eastAsia="Arial" w:hAnsi="Arial"/>
          <w:sz w:val="18"/>
          <w:szCs w:val="18"/>
          <w:color w:val="auto"/>
        </w:rPr>
        <w:t>To be included for lockups delivered by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4" w:name="page195"/>
    <w:bookmarkEnd w:id="194"/>
    <w:p>
      <w:pPr>
        <w:jc w:val="both"/>
        <w:ind w:left="-8" w:firstLine="656"/>
        <w:spacing w:after="0" w:line="287" w:lineRule="auto"/>
        <w:tabs>
          <w:tab w:leader="none" w:pos="903" w:val="left"/>
        </w:tabs>
        <w:numPr>
          <w:ilvl w:val="1"/>
          <w:numId w:val="157"/>
        </w:numPr>
        <w:rPr>
          <w:rFonts w:ascii="Arial" w:cs="Arial" w:eastAsia="Arial" w:hAnsi="Arial"/>
          <w:sz w:val="16"/>
          <w:szCs w:val="16"/>
          <w:color w:val="auto"/>
        </w:rPr>
      </w:pPr>
      <w:r>
        <w:rPr>
          <w:rFonts w:ascii="Arial" w:cs="Arial" w:eastAsia="Arial" w:hAnsi="Arial"/>
          <w:sz w:val="16"/>
          <w:szCs w:val="16"/>
          <w:color w:val="auto"/>
        </w:rPr>
        <w:t>in the case of each transfer or distribution pursuant to clauses (ii) through (vii) above, (a) each donee, trustee, distributee or transferee, as the case may be, agrees to be bound in writing by the restrictions set forth herein; and (b) any such transfer or distribution shall not involve a disposition for value, other than with respect to any such transfer or distribution for which the transferor or distributor receives (x) equity interests of such transferee or</w:t>
      </w:r>
    </w:p>
    <w:p>
      <w:pPr>
        <w:spacing w:after="0" w:line="2" w:lineRule="exact"/>
        <w:rPr>
          <w:rFonts w:ascii="Arial" w:cs="Arial" w:eastAsia="Arial" w:hAnsi="Arial"/>
          <w:sz w:val="16"/>
          <w:szCs w:val="16"/>
          <w:color w:val="auto"/>
        </w:rPr>
      </w:pPr>
    </w:p>
    <w:p>
      <w:pPr>
        <w:ind w:left="252" w:hanging="252"/>
        <w:spacing w:after="0"/>
        <w:tabs>
          <w:tab w:leader="none" w:pos="25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such transferee’s interests in the transferor;</w:t>
      </w:r>
    </w:p>
    <w:p>
      <w:pPr>
        <w:spacing w:after="0" w:line="210" w:lineRule="exact"/>
        <w:rPr>
          <w:rFonts w:ascii="Arial" w:cs="Arial" w:eastAsia="Arial" w:hAnsi="Arial"/>
          <w:sz w:val="18"/>
          <w:szCs w:val="18"/>
          <w:color w:val="auto"/>
        </w:rPr>
      </w:pPr>
    </w:p>
    <w:p>
      <w:pPr>
        <w:jc w:val="both"/>
        <w:ind w:left="-8" w:firstLine="656"/>
        <w:spacing w:after="0" w:line="255" w:lineRule="auto"/>
        <w:tabs>
          <w:tab w:leader="none" w:pos="904"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in the case of each transfer or distribution pursuant to clauses (ii) through (vii) above, if any public reports or filings (including filings under Section 16(a) of the Securities Exchange Act of 1934, as amended (the “Exchange Act”)) reporting a reduction in beneficial ownership of Common Stock shall be required or shall be voluntarily made during the Lock-Up Period (a) the undersigned shall provide J.P. Morgan Securities LLC, Barclays Capital Inc., Citigroup Global Markets Inc., Goldman Sachs &amp; Co. LLC and Morgan Stanley &amp; Co. LLC prior written notice informing them of such report or filing and (b) such report or filing shall disclose that such donee, trustee, distributee or transferee, as the case may be, agrees to be bound in writing by the restrictions set forth herein;</w:t>
      </w:r>
    </w:p>
    <w:p>
      <w:pPr>
        <w:spacing w:after="0" w:line="192" w:lineRule="exact"/>
        <w:rPr>
          <w:rFonts w:ascii="Arial" w:cs="Arial" w:eastAsia="Arial" w:hAnsi="Arial"/>
          <w:sz w:val="18"/>
          <w:szCs w:val="18"/>
          <w:color w:val="auto"/>
        </w:rPr>
      </w:pPr>
    </w:p>
    <w:p>
      <w:pPr>
        <w:jc w:val="both"/>
        <w:ind w:left="-8" w:firstLine="656"/>
        <w:spacing w:after="0" w:line="259" w:lineRule="auto"/>
        <w:tabs>
          <w:tab w:leader="none" w:pos="906"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in the case of any transfer pursuant to a domestic relations order or in connection with a divorce settlement pursuant to clause (viii), (x) any public report or filing required to be made under Section 16(a) of the Exchange Act shall clearly indicate in the footnotes thereto that such transfer is pursuant to a qualified domestic relations order or divorce settlement and (y) no other public announcement shall be required or shall be made voluntarily in connection with such transfer;</w:t>
      </w:r>
    </w:p>
    <w:p>
      <w:pPr>
        <w:spacing w:after="0" w:line="186" w:lineRule="exact"/>
        <w:rPr>
          <w:rFonts w:ascii="Arial" w:cs="Arial" w:eastAsia="Arial" w:hAnsi="Arial"/>
          <w:sz w:val="18"/>
          <w:szCs w:val="18"/>
          <w:color w:val="auto"/>
        </w:rPr>
      </w:pPr>
    </w:p>
    <w:p>
      <w:pPr>
        <w:ind w:left="-8" w:right="20" w:firstLine="656"/>
        <w:spacing w:after="0" w:line="277" w:lineRule="auto"/>
        <w:tabs>
          <w:tab w:leader="none" w:pos="897"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in the case of clause (x) above, no public report or filings (including filings under Section 16(a) under the Exchange Act) reporting a reduction in beneficial ownership of Common Stock shall be required or shall be voluntarily made during the Lock-Up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95" w:name="page196"/>
    <w:bookmarkEnd w:id="195"/>
    <w:p>
      <w:pPr>
        <w:jc w:val="both"/>
        <w:ind w:firstLine="656"/>
        <w:spacing w:after="0" w:line="259" w:lineRule="auto"/>
        <w:tabs>
          <w:tab w:leader="none" w:pos="90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for purposes of clause (xi) above, “Change of Control” shall mean the transfer (whether by tender offer, merger, consolidation or other similar transaction), in one transaction or a series of related transactions, to a person or group of affiliated persons (other than an Underwriter pursuant to the Offering), of the Company’s voting securities if, after such transfer, such person or group of affiliated persons would hold more than 50% of the outstanding voting securities of the Company (or the surviving entity);</w:t>
      </w:r>
    </w:p>
    <w:p>
      <w:pPr>
        <w:spacing w:after="0" w:line="187"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7"/>
          <w:szCs w:val="17"/>
          <w:color w:val="auto"/>
        </w:rPr>
        <w:t>[(6) for purposes of clause (xiv), any consent granted by J.P. Morgan Securities LLC, Barclays Capital Inc., Citigroup Global Markets Inc., Goldman Sachs &amp; Co. LLC and Morgan Stanley &amp; Co. LLC that allows an early release from the restrictions described herein during the Lock-Up Period with respect to any securities of the Company held by Refinitiv Holdings Limited, the undersigned shall also be deemed to have been granted an early release from its obligations hereunder on the same terms and subject to the same conditions (including, if the release is only with respect to a portion of Refinitiv Holding Limited’s Common Stock, such release shall apply to the same relative portion of the Undersigned’s Common Stock).]</w:t>
      </w:r>
      <w:r>
        <w:rPr>
          <w:rFonts w:ascii="Arial" w:cs="Arial" w:eastAsia="Arial" w:hAnsi="Arial"/>
          <w:sz w:val="28"/>
          <w:szCs w:val="28"/>
          <w:color w:val="auto"/>
          <w:vertAlign w:val="superscript"/>
        </w:rPr>
        <w:t>2</w:t>
      </w:r>
    </w:p>
    <w:p>
      <w:pPr>
        <w:spacing w:after="0" w:line="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[Notwithstanding the foregoing, clauses (1)(a) and 2(b) above shall not apply with respect to any transfer of shares of Common Stock to charitable organization transferees or recipients (including any direct or indirect member or partner of the undersigned that receives such shares of Common Stock pursuant to a distribution in-kind to such member or partner and is subject to restrictions requiring such shares of Common Stock to be transferred only to charitable organizations pursuant to clause (ii) above) in an aggregate amount, together with any such transfers pursuant to any substantially similar lock-up agreement with J.P. Morgan Securities LLC, Barclays Capital Inc., Citigroup Global Markets Inc., Goldman Sachs &amp; Co. LLC and Morgan Stanley &amp; Co. LLC, not to exceed 1% of the outstanding shares of Common Stock.]</w:t>
      </w:r>
      <w:r>
        <w:rPr>
          <w:rFonts w:ascii="Arial" w:cs="Arial" w:eastAsia="Arial" w:hAnsi="Arial"/>
          <w:sz w:val="28"/>
          <w:szCs w:val="28"/>
          <w:color w:val="auto"/>
          <w:vertAlign w:val="superscript"/>
        </w:rPr>
        <w:t>3</w:t>
      </w:r>
    </w:p>
    <w:p>
      <w:pPr>
        <w:spacing w:after="0" w:line="5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notwithstanding the foregoing, nothing in this agreement shall prevent (x) the entry into a trading plan established in accordance with Rule 10b5-1 (a "Rule 10b5-1 Plan") under the Exchange Act, provided that, in the case of this clause (x), sales under any such trading plan may not occur during the Lock-Up Period and the entry into such trading plan is not required to be reported in any public report or filing with the SEC other than general disclosure in Company periodic reports to the effect that Company directors and officers may enter into such trading plans from time to time, and (y) any transactions effectuated pursuant to a Rule 10b5-1 Plan established prior to the date of this Lock-Up Agreement, provided that if a filing under Section 16 of the Exchange Act is required by, or voluntarily made with respect to, such transaction, the undersigned shall disclose in such filing that the transaction was effectuated pursuant to a Rule 10b5-1 Plan in existence at the time this Lock-up Agreement was entered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17830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8" w:lineRule="exact"/>
        <w:rPr>
          <w:sz w:val="20"/>
          <w:szCs w:val="20"/>
          <w:color w:val="auto"/>
        </w:rPr>
      </w:pPr>
    </w:p>
    <w:p>
      <w:pPr>
        <w:ind w:left="120" w:hanging="112"/>
        <w:spacing w:after="0"/>
        <w:tabs>
          <w:tab w:leader="none" w:pos="120" w:val="left"/>
        </w:tabs>
        <w:numPr>
          <w:ilvl w:val="0"/>
          <w:numId w:val="160"/>
        </w:numPr>
        <w:rPr>
          <w:rFonts w:ascii="Arial" w:cs="Arial" w:eastAsia="Arial" w:hAnsi="Arial"/>
          <w:sz w:val="30"/>
          <w:szCs w:val="30"/>
          <w:color w:val="auto"/>
          <w:vertAlign w:val="superscript"/>
        </w:rPr>
      </w:pPr>
      <w:r>
        <w:rPr>
          <w:rFonts w:ascii="Arial" w:cs="Arial" w:eastAsia="Arial" w:hAnsi="Arial"/>
          <w:sz w:val="18"/>
          <w:szCs w:val="18"/>
          <w:color w:val="auto"/>
        </w:rPr>
        <w:t>To be included in bank stockholder lock-ups only.</w:t>
      </w:r>
    </w:p>
    <w:p>
      <w:pPr>
        <w:spacing w:after="0" w:line="128" w:lineRule="exact"/>
        <w:rPr>
          <w:sz w:val="20"/>
          <w:szCs w:val="20"/>
          <w:color w:val="auto"/>
        </w:rPr>
      </w:pPr>
    </w:p>
    <w:p>
      <w:pPr>
        <w:ind w:left="120" w:hanging="112"/>
        <w:spacing w:after="0"/>
        <w:tabs>
          <w:tab w:leader="none" w:pos="120" w:val="left"/>
        </w:tabs>
        <w:numPr>
          <w:ilvl w:val="0"/>
          <w:numId w:val="161"/>
        </w:numPr>
        <w:rPr>
          <w:rFonts w:ascii="Arial" w:cs="Arial" w:eastAsia="Arial" w:hAnsi="Arial"/>
          <w:sz w:val="30"/>
          <w:szCs w:val="30"/>
          <w:color w:val="auto"/>
          <w:vertAlign w:val="superscript"/>
        </w:rPr>
      </w:pPr>
      <w:r>
        <w:rPr>
          <w:rFonts w:ascii="Arial" w:cs="Arial" w:eastAsia="Arial" w:hAnsi="Arial"/>
          <w:sz w:val="18"/>
          <w:szCs w:val="18"/>
          <w:color w:val="auto"/>
        </w:rPr>
        <w:t>To be included for lock-ups delivered by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6" w:name="page197"/>
    <w:bookmarkEnd w:id="196"/>
    <w:p>
      <w:pPr>
        <w:jc w:val="both"/>
        <w:ind w:firstLine="648"/>
        <w:spacing w:after="0" w:line="285" w:lineRule="auto"/>
        <w:rPr>
          <w:sz w:val="20"/>
          <w:szCs w:val="20"/>
          <w:color w:val="auto"/>
        </w:rPr>
      </w:pPr>
      <w:r>
        <w:rPr>
          <w:rFonts w:ascii="Arial" w:cs="Arial" w:eastAsia="Arial" w:hAnsi="Arial"/>
          <w:sz w:val="16"/>
          <w:szCs w:val="16"/>
          <w:color w:val="auto"/>
        </w:rPr>
        <w:t>[In addition, notwithstanding the foregoing, if the undersigned is an entity, the entity may transfer the shares of Common Stock of the Company to any wholly owned subsidiary of such entity; provided, however, that in any such case, it shall be a condition to the transfer that the transferee execute an agreement stating that the transferee is receiving and holding such shares of Common Stock subject to the provisions of this Lock-Up Agreement and there shall be no further transfer of such shares of Common Stock except in accordance with this Lock-Up Agreement, and provided further that, if any public reports or filing reporting a reduction in beneficial ownership of Common Stock shall be required or shall be voluntarily made during the Lock-Up Period,</w:t>
      </w:r>
    </w:p>
    <w:p>
      <w:pPr>
        <w:spacing w:after="0" w:line="2" w:lineRule="exact"/>
        <w:rPr>
          <w:sz w:val="20"/>
          <w:szCs w:val="20"/>
          <w:color w:val="auto"/>
        </w:rPr>
      </w:pPr>
    </w:p>
    <w:p>
      <w:pPr>
        <w:jc w:val="both"/>
        <w:ind w:firstLine="8"/>
        <w:spacing w:after="0" w:line="265" w:lineRule="auto"/>
        <w:tabs>
          <w:tab w:leader="none" w:pos="269"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Undersigned shall provide J.P. Morgan Securities LLC, Barclays Capital Inc., Citigroup Global Markets Inc., Goldman Sachs &amp; Co. LLC and Morgan Stanley &amp; Co. LLC prior written notice informing them of such report or filing and (b) such report or filing shall disclose that such transferee</w:t>
      </w:r>
    </w:p>
    <w:p>
      <w:pPr>
        <w:spacing w:after="0" w:line="192" w:lineRule="auto"/>
        <w:rPr>
          <w:sz w:val="20"/>
          <w:szCs w:val="20"/>
          <w:color w:val="auto"/>
        </w:rPr>
      </w:pPr>
      <w:r>
        <w:rPr>
          <w:rFonts w:ascii="Arial" w:cs="Arial" w:eastAsia="Arial" w:hAnsi="Arial"/>
          <w:sz w:val="17"/>
          <w:szCs w:val="17"/>
          <w:color w:val="auto"/>
        </w:rPr>
        <w:t>agrees to be bound in writing by the restrictions set forth herein.]</w:t>
      </w:r>
      <w:r>
        <w:rPr>
          <w:rFonts w:ascii="Arial" w:cs="Arial" w:eastAsia="Arial" w:hAnsi="Arial"/>
          <w:sz w:val="28"/>
          <w:szCs w:val="28"/>
          <w:color w:val="auto"/>
          <w:vertAlign w:val="superscript"/>
        </w:rPr>
        <w:t>4</w:t>
      </w:r>
      <w:r>
        <w:rPr>
          <w:rFonts w:ascii="Arial" w:cs="Arial" w:eastAsia="Arial" w:hAnsi="Arial"/>
          <w:sz w:val="17"/>
          <w:szCs w:val="17"/>
          <w:color w:val="auto"/>
        </w:rPr>
        <w:t xml:space="preserve"> The undersigned now has, and, except as contemplated by clauses (i) through</w:t>
      </w:r>
    </w:p>
    <w:p>
      <w:pPr>
        <w:spacing w:after="0" w:line="1" w:lineRule="exact"/>
        <w:rPr>
          <w:sz w:val="20"/>
          <w:szCs w:val="20"/>
          <w:color w:val="auto"/>
        </w:rPr>
      </w:pPr>
    </w:p>
    <w:p>
      <w:pPr>
        <w:jc w:val="both"/>
        <w:ind w:firstLine="8"/>
        <w:spacing w:after="0" w:line="254" w:lineRule="auto"/>
        <w:tabs>
          <w:tab w:leader="none" w:pos="42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above, for the duration of this Lock-Up Agreement will have, good and marketable title to the Undersigned’s Shares, free and clear of all liens, encumbrances, and claims whatsoever. The undersigned also agrees and consents to the entry of stop transfer instructions with the Company’s transfer agent and registrar against the transfer of the Undersigned’s Shares except in compliance with the foregoing restrictions.</w:t>
      </w:r>
    </w:p>
    <w:p>
      <w:pPr>
        <w:spacing w:after="0" w:line="19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The restrictions described in this Lock-Up Agreement shall not apply to (i) the sale of the Undersigned’s Shares pursuant to the Underwriting Agreement; (ii) (a) the sale of the Undersigned’s Shares to the Company or any of its subsidiaries in connection with the purchase of LLC Units and/or shares of Class A Common Stock from the undersigned by the Company or any of its subsidiaries with the net proceeds of the public offering (and cancellation of an equal number of shares of Class C Common Stock or D Common Stock, as applicable) as contemplated in the Pricing Disclosure Package; or (iii) (a) any exchange of LLC Units and a corresponding number of shares of the Class C Common Stock or the Class D Common Stock, as the case may be, for shares of the Class A Common Stock or the Class B Common Stock, as applicable, (b) any exchange of shares of the Class B Common Stock for shares of the Class A Common Stock or (c) any exchange of the Class D Common Stock for shares of the Class C Common Stock,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in the case of this clause (iii) exchanges shall be in accordance with the TWM LLC Agreement, </w:t>
      </w:r>
      <w:r>
        <w:rPr>
          <w:rFonts w:ascii="Arial" w:cs="Arial" w:eastAsia="Arial" w:hAnsi="Arial"/>
          <w:sz w:val="17"/>
          <w:szCs w:val="17"/>
          <w:i w:val="1"/>
          <w:iCs w:val="1"/>
          <w:color w:val="auto"/>
        </w:rPr>
        <w:t>provided further that</w:t>
      </w:r>
      <w:r>
        <w:rPr>
          <w:rFonts w:ascii="Arial" w:cs="Arial" w:eastAsia="Arial" w:hAnsi="Arial"/>
          <w:sz w:val="17"/>
          <w:szCs w:val="17"/>
          <w:color w:val="auto"/>
        </w:rPr>
        <w:t>, in the case of this clause (iii) such shares of Common Stock shall be subject to the provisions of this Lock-Up Agreement.</w:t>
      </w:r>
    </w:p>
    <w:p>
      <w:pPr>
        <w:spacing w:after="0" w:line="18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[For the avoidance of doubt, nothing in this Lock-Up Agreement shall restrict the sale, transfer or other disposition of any interest in the undersigned or any parent company of the undersigned pursuant to the Stock Purchase Agreement dated as of August 1, 2019 between London Stock Exchange Group plc and Refinitiv Holdings Limited, as amended.]</w:t>
      </w:r>
      <w:r>
        <w:rPr>
          <w:rFonts w:ascii="Arial" w:cs="Arial" w:eastAsia="Arial" w:hAnsi="Arial"/>
          <w:sz w:val="29"/>
          <w:szCs w:val="29"/>
          <w:color w:val="auto"/>
          <w:vertAlign w:val="superscript"/>
        </w:rPr>
        <w:t>5</w:t>
      </w:r>
    </w:p>
    <w:p>
      <w:pPr>
        <w:spacing w:after="0" w:line="5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Notwithstanding anything herein to the contrary, affiliates of the undersigned that have not separately signed a lock-up agreement in connection with the Offering may engage in brokerage, investment advisory, financial advisory, anti-raid advisory, merger advisory, financing, asset management, trading, market making, arbitrage, principal investing and other similar activities conducted in the ordinary course of their affiliates’ business. For the avoidance of doubt, it is acknowledged and agreed that (i) any entity (other than the undersigned) in which any of the undersigned’s affiliated investment funds may now or in the future have an investment and (ii) any entity (other than the undersigned) on whose board of directors one or more of the undersigned’s officers may now or in the future serve, shall not be deemed subject to, or bound by, this Lock-Up Agreement, in part or in its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7830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120" w:hanging="112"/>
        <w:spacing w:after="0"/>
        <w:tabs>
          <w:tab w:leader="none" w:pos="120" w:val="left"/>
        </w:tabs>
        <w:numPr>
          <w:ilvl w:val="0"/>
          <w:numId w:val="164"/>
        </w:numPr>
        <w:rPr>
          <w:rFonts w:ascii="Arial" w:cs="Arial" w:eastAsia="Arial" w:hAnsi="Arial"/>
          <w:sz w:val="30"/>
          <w:szCs w:val="30"/>
          <w:color w:val="auto"/>
          <w:vertAlign w:val="superscript"/>
        </w:rPr>
      </w:pPr>
      <w:r>
        <w:rPr>
          <w:rFonts w:ascii="Arial" w:cs="Arial" w:eastAsia="Arial" w:hAnsi="Arial"/>
          <w:sz w:val="18"/>
          <w:szCs w:val="18"/>
          <w:color w:val="auto"/>
        </w:rPr>
        <w:t>To be included for lock-ups delivered by entities only.</w:t>
      </w:r>
    </w:p>
    <w:p>
      <w:pPr>
        <w:spacing w:after="0" w:line="128" w:lineRule="exact"/>
        <w:rPr>
          <w:sz w:val="20"/>
          <w:szCs w:val="20"/>
          <w:color w:val="auto"/>
        </w:rPr>
      </w:pPr>
    </w:p>
    <w:p>
      <w:pPr>
        <w:ind w:left="120" w:hanging="112"/>
        <w:spacing w:after="0"/>
        <w:tabs>
          <w:tab w:leader="none" w:pos="120" w:val="left"/>
        </w:tabs>
        <w:numPr>
          <w:ilvl w:val="0"/>
          <w:numId w:val="165"/>
        </w:numPr>
        <w:rPr>
          <w:rFonts w:ascii="Arial" w:cs="Arial" w:eastAsia="Arial" w:hAnsi="Arial"/>
          <w:sz w:val="30"/>
          <w:szCs w:val="30"/>
          <w:color w:val="auto"/>
          <w:vertAlign w:val="superscript"/>
        </w:rPr>
      </w:pPr>
      <w:r>
        <w:rPr>
          <w:rFonts w:ascii="Arial" w:cs="Arial" w:eastAsia="Arial" w:hAnsi="Arial"/>
          <w:sz w:val="18"/>
          <w:szCs w:val="18"/>
          <w:color w:val="auto"/>
        </w:rPr>
        <w:t>To be included in the Refinitiv entities lock-up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7" w:name="page198"/>
    <w:bookmarkEnd w:id="197"/>
    <w:p>
      <w:pPr>
        <w:jc w:val="both"/>
        <w:ind w:firstLine="648"/>
        <w:spacing w:after="0" w:line="289" w:lineRule="auto"/>
        <w:rPr>
          <w:sz w:val="20"/>
          <w:szCs w:val="20"/>
          <w:color w:val="auto"/>
        </w:rPr>
      </w:pPr>
      <w:r>
        <w:rPr>
          <w:rFonts w:ascii="Arial" w:cs="Arial" w:eastAsia="Arial" w:hAnsi="Arial"/>
          <w:sz w:val="16"/>
          <w:szCs w:val="16"/>
          <w:color w:val="auto"/>
        </w:rPr>
        <w:t>The undersigned understands that, if (i) the Underwriting Agreement (other than the provisions which survive termination under the terms thereof) shall terminate or be terminated prior to payment for the delivery of the shares of Common Stock to be sold thereunder, (ii) the Registration Statement is withdrawn by the Company, (iii) the Company notifies J.P. Morgan Securities LLC, Barclays Capital Inc., Citigroup Global Markets Inc., Goldman Sachs &amp; Co. LLC and Morgan Stanley &amp; Co. LLC that it does not intend to proceed with the Offering, or (iv) the Underwriting Agreement for the Offering is not executed by May 1, 2020 the undersigned shall be released from all obligations under this Lock-Up Agreement and this Lock-Up Agreement shall be of no further effect. The undersigned understands that the Company and the Underwriters are relying upon this Lock-Up Agreement in proceeding toward consummation of the Offering. The undersigned further understands that this Lock-Up Agreement is irrevocable and shall be binding upon the undersigned’s heirs, legal representatives, successors, and assigns. This Lock-Up Agreement and any claim, controversy or dispute arising under or related to this Lock-Up Agreement shall be governed by and construed in accordance with the laws of the State of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8" w:name="page199"/>
    <w:bookmarkEnd w:id="198"/>
    <w:p>
      <w:pPr>
        <w:ind w:left="450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323215</wp:posOffset>
            </wp:positionV>
            <wp:extent cx="35661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right"/>
        <w:ind w:right="1079"/>
        <w:spacing w:after="0"/>
        <w:rPr>
          <w:sz w:val="20"/>
          <w:szCs w:val="20"/>
          <w:color w:val="auto"/>
        </w:rPr>
      </w:pPr>
      <w:r>
        <w:rPr>
          <w:rFonts w:ascii="Arial" w:cs="Arial" w:eastAsia="Arial" w:hAnsi="Arial"/>
          <w:sz w:val="18"/>
          <w:szCs w:val="18"/>
          <w:color w:val="auto"/>
        </w:rPr>
        <w:t>Exact Name of Stockholder, Director or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323215</wp:posOffset>
            </wp:positionV>
            <wp:extent cx="356616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323215</wp:posOffset>
            </wp:positionV>
            <wp:extent cx="35661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Lock-Up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199" w:name="page200"/>
    <w:bookmarkEnd w:id="199"/>
    <w:p>
      <w:pPr>
        <w:jc w:val="right"/>
        <w:spacing w:after="0"/>
        <w:rPr>
          <w:sz w:val="20"/>
          <w:szCs w:val="20"/>
          <w:color w:val="auto"/>
        </w:rPr>
      </w:pPr>
      <w:r>
        <w:rPr>
          <w:rFonts w:ascii="Arial" w:cs="Arial" w:eastAsia="Arial" w:hAnsi="Arial"/>
          <w:sz w:val="22"/>
          <w:szCs w:val="22"/>
          <w:b w:val="1"/>
          <w:bCs w:val="1"/>
          <w:color w:val="auto"/>
        </w:rPr>
        <w:t>Exhibit 5.1</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Tradeweb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1177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Registration Statement on Form S-1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acted as counsel to Tradeweb Markets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Company’s Registration Statement on Form S-1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filed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under the Securities Act of 1933, as amended (the “Securities Act”), relating to the registration of 12,592,500 shares of the Company’s Class A common stock, par value $0.00001 per share (the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being offered by the Company (the “</w:t>
      </w:r>
      <w:r>
        <w:rPr>
          <w:rFonts w:ascii="Arial" w:cs="Arial" w:eastAsia="Arial" w:hAnsi="Arial"/>
          <w:sz w:val="17"/>
          <w:szCs w:val="17"/>
          <w:u w:val="single" w:color="auto"/>
          <w:color w:val="auto"/>
        </w:rPr>
        <w:t>Shares</w:t>
      </w:r>
      <w:r>
        <w:rPr>
          <w:rFonts w:ascii="Arial" w:cs="Arial" w:eastAsia="Arial" w:hAnsi="Arial"/>
          <w:sz w:val="17"/>
          <w:szCs w:val="17"/>
          <w:color w:val="auto"/>
        </w:rPr>
        <w:t>”). The Shares include shares which may be purchased by the underwriters upon the exercise of the option to purchase additional Class A common stock granted to the underwriters by the Company. The Shares are proposed to be sold pursuant to an underwriting agreement (the “</w:t>
      </w:r>
      <w:r>
        <w:rPr>
          <w:rFonts w:ascii="Arial" w:cs="Arial" w:eastAsia="Arial" w:hAnsi="Arial"/>
          <w:sz w:val="17"/>
          <w:szCs w:val="17"/>
          <w:u w:val="single" w:color="auto"/>
          <w:color w:val="auto"/>
        </w:rPr>
        <w:t>Underwriting Agreement</w:t>
      </w:r>
      <w:r>
        <w:rPr>
          <w:rFonts w:ascii="Arial" w:cs="Arial" w:eastAsia="Arial" w:hAnsi="Arial"/>
          <w:sz w:val="17"/>
          <w:szCs w:val="17"/>
          <w:color w:val="auto"/>
        </w:rPr>
        <w:t>”) to be entered into among the Company and Tradeweb Markets LLC and J.P. Morgan Securities LLC, Barclays Capital Inc., Citigroup Global Markets Inc., Goldman Sachs &amp; Co. LLC and Morgan Stanley &amp; Co. LLC, as representatives of the several underwriters named in Schedule I thereto. With your permission, all assumptions and statements of reliance herein have been made without any independent investigation or verification on our part, and we express no opinion with respect to the subject matter or accuracy of such assumptions or items relied upon.</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this opinion, we have (i) investigated such questions of law, (ii) examined the originals or certified, conformed, electronic or reproduction copies of such agreements, instruments, documents and records of the Company, such certificates of public officials and such other documents and (iii) received such information from officers and representatives of the Company and others as we have deemed necessary or appropriate for the purposes of this opinion.</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all such examinations, we have assumed the legal capacity of all natural persons, the genuineness of all signatures, the authenticity of original and certified documents and the conformity to original or certified documents of all copies submitted to us as conformed, electronic or reproduction copies. As to various questions of fact relevant to the opinion expressed herein, we have relied upon, and assume the accuracy of, certificates and oral or written statements and other information of or from public officials and officers and representatives of the Company.</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Based upon the foregoing and subject to the limitations, qualifications and assumptions set forth herein, we are of the opinion that the Shares have been duly authorized and, when issued and delivered pursuant to the Underwriting Agreement against payment of the consideration set forth therein,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00" w:name="page201"/>
    <w:bookmarkEnd w:id="200"/>
    <w:p>
      <w:pPr>
        <w:ind w:left="10760"/>
        <w:spacing w:after="0"/>
        <w:rPr>
          <w:sz w:val="20"/>
          <w:szCs w:val="20"/>
          <w:color w:val="auto"/>
        </w:rPr>
      </w:pPr>
      <w:r>
        <w:rPr>
          <w:rFonts w:ascii="Arial" w:cs="Arial" w:eastAsia="Arial" w:hAnsi="Arial"/>
          <w:sz w:val="15"/>
          <w:szCs w:val="15"/>
          <w:color w:val="auto"/>
        </w:rPr>
        <w:t>Page 2</w:t>
      </w:r>
    </w:p>
    <w:p>
      <w:pPr>
        <w:spacing w:after="0" w:line="26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opinion expressed herein is limited to the applicable provisions of the General Corporation Law of the State of Delaware as currently in effect, and no opinion is expressed with respect to any other laws or any effect that such other laws may have on the opinion expressed herein. The opinion expressed herein is limited to the matters stated herein and no opinion is implied or may be inferred beyond the matters expressly stated herein. We undertake no responsibility to update or supplement this letter after the effectiveness of the Registration Statement.</w:t>
      </w:r>
    </w:p>
    <w:p>
      <w:pPr>
        <w:spacing w:after="0" w:line="17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references to this firm under the caption “Legal Matters” in the prospectus included therein. In giving this consent, we do not hereby admit that we are in the category of persons whose consent is required under Section 7 of the Securities Act or the rules and regulations of the Commission.</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Fried, Frank, Harris, Shriver &amp; Jacobson LLP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FRIED, FRANK, HARRIS, SHRIVER &amp; JACOBSON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22"/>
          <w:szCs w:val="22"/>
          <w:b w:val="1"/>
          <w:bCs w:val="1"/>
          <w:color w:val="auto"/>
        </w:rPr>
        <w:t>Exhibit 16.1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April 20,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2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have read the statements made by Tradeweb Markets LLC, pursuant to Item 304(a)(1) of Regulation S-K (copy attached), which we understand will be filed with the Securities and Exchange Commission as part of the Registration Statement on Form S-1 of Tradeweb Markets Inc. dated April 20, 2020. We agree with the statements concerning our Firm contained therein.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Attachment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color w:val="auto"/>
        </w:rPr>
        <w:t>Attachment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INDEPENDENT REGISTERED PUBLIC ACCOUNTING FIRM</w:t>
      </w:r>
    </w:p>
    <w:p>
      <w:pPr>
        <w:spacing w:after="0" w:line="229"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As a result of the Refinitiv Transaction, PricewaterhouseCoopers LLP, Tradeweb Markets LLC’s independent registered public accounting firm, ceased to be independent with respect to Tradeweb Markets LLC on October 1, 2018. Accordingly, PricewaterhouseCoopers LLP was dismissed as Tradeweb Markets LLC’s independent registered public accounting firm for financial statement periods beginning subsequent to September 30, 2018. The dismissal of PricewaterhouseCoopers LLP became effective upon issuance by PricewaterhouseCoopers LLP of its report on the consolidated financial statements for the nine months ended September 30, 2018 incorporated by reference in this prospectus.</w:t>
      </w:r>
    </w:p>
    <w:p>
      <w:pPr>
        <w:spacing w:after="0" w:line="17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During the year ended December 31, 2017, and the subsequent interim period through September 30, 2018, (i) there were no “disagreements” between us and PricewaterhouseCoopers LLP (as that term is defined in Item 304(a)(1)(iv) of Regulation S-K) on any matter of accounting principles or practices, financial statement disclosure, or auditing scope or procedure, which disagreements, if not resolved to the satisfaction of PricewaterhouseCoopers LLP, would have caused them to make reference to the subject matter of the disagreements in connection with their reports on the financial statements for such periods, and (ii) there were no “reportable events” as such term is defined in Item 304(a)(1)(v) of Regulation S-K.</w:t>
      </w:r>
    </w:p>
    <w:p>
      <w:pPr>
        <w:spacing w:after="0" w:line="16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Tradeweb Markets LLC has provided a copy of the above statements to PricewaterhouseCoopers LLP and requested that PricewaterhouseCoopers LLP furnish Tradeweb Markets LLC with a letter addressed to the SEC stating whether or not they agree with the above disclosure. A copy of that letter, dated April 20, 2020, is filed as an exhibit to the registration statement of which this prospectus forms a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1323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22"/>
          <w:szCs w:val="22"/>
          <w:b w:val="1"/>
          <w:bCs w:val="1"/>
          <w:color w:val="auto"/>
        </w:rPr>
        <w:t>Exhibit 23.1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consent to the incorporation by reference in this Registration Statement on Form S-1 of our report dated April 20, 2020 relating to the financial statements of Tradeweb Markets Inc. (which report expresses an unqualified opinion and includes an emphasis of a matter paragraph relating to the Successor Period financial statements not being comparable to the Predecessor Period financial statements as a result of pushdown accounting, and an emphasis of matter paragraph relating to the Company’s reorganization transactions and initial public offering on April 4, 2019) appearing in the Annual Report on Form 10-K/A of Tradeweb Markets Inc. for the year ended December 31, 2019. We also consent to the reference to us under the heading "Experts" in such Registration Statement.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22"/>
          <w:szCs w:val="22"/>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hereby consent to the incorporation by reference in this Registration Statement on Form S-1 of Tradeweb Markets Inc. of our report dated December 17, 2018, except for the impact of the amendment to the LLC agreement discussed in Note 2 to the consolidated financial statements, as to which the date is May 20, 2019, relating to the financial statements of Tradeweb Markets LLC, which appears in Tradeweb Markets Inc.'s Annual Report on Form 10-K/A for the year ended December 31, 2019. We also consent to the reference to us under the heading “Experts” in such Registration Statement.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27709E"/>
    <w:multiLevelType w:val="hybridMultilevel"/>
    <w:lvl w:ilvl="0">
      <w:lvlJc w:val="left"/>
      <w:lvlText w:val="(%1)"/>
      <w:numFmt w:val="decimal"/>
      <w:start w:val="1"/>
    </w:lvl>
  </w:abstractNum>
  <w:abstractNum w:abstractNumId="1">
    <w:nsid w:val="71EA1109"/>
    <w:multiLevelType w:val="hybridMultilevel"/>
    <w:lvl w:ilvl="0">
      <w:lvlJc w:val="left"/>
      <w:lvlText w:val="(%1)"/>
      <w:numFmt w:val="decimal"/>
      <w:start w:val="1"/>
    </w:lvl>
  </w:abstractNum>
  <w:abstractNum w:abstractNumId="2">
    <w:nsid w:val="100F59DC"/>
    <w:multiLevelType w:val="hybridMultilevel"/>
    <w:lvl w:ilvl="0">
      <w:lvlJc w:val="left"/>
      <w:lvlText w:val="•"/>
      <w:numFmt w:val="bullet"/>
      <w:start w:val="1"/>
    </w:lvl>
  </w:abstractNum>
  <w:abstractNum w:abstractNumId="3">
    <w:nsid w:val="7FB7E0AA"/>
    <w:multiLevelType w:val="hybridMultilevel"/>
    <w:lvl w:ilvl="0">
      <w:lvlJc w:val="left"/>
      <w:lvlText w:val="•"/>
      <w:numFmt w:val="bullet"/>
      <w:start w:val="1"/>
    </w:lvl>
  </w:abstractNum>
  <w:abstractNum w:abstractNumId="4">
    <w:nsid w:val="6EB5BD4"/>
    <w:multiLevelType w:val="hybridMultilevel"/>
    <w:lvl w:ilvl="0">
      <w:lvlJc w:val="left"/>
      <w:lvlText w:val="•"/>
      <w:numFmt w:val="bullet"/>
      <w:start w:val="1"/>
    </w:lvl>
  </w:abstractNum>
  <w:abstractNum w:abstractNumId="5">
    <w:nsid w:val="6F6DD9AC"/>
    <w:multiLevelType w:val="hybridMultilevel"/>
    <w:lvl w:ilvl="0">
      <w:lvlJc w:val="left"/>
      <w:lvlText w:val="•"/>
      <w:numFmt w:val="bullet"/>
      <w:start w:val="1"/>
    </w:lvl>
  </w:abstractNum>
  <w:abstractNum w:abstractNumId="6">
    <w:nsid w:val="94211F2"/>
    <w:multiLevelType w:val="hybridMultilevel"/>
    <w:lvl w:ilvl="0">
      <w:lvlJc w:val="left"/>
      <w:lvlText w:val="\emdash "/>
      <w:numFmt w:val="bullet"/>
      <w:start w:val="1"/>
    </w:lvl>
  </w:abstractNum>
  <w:abstractNum w:abstractNumId="7">
    <w:nsid w:val="885E1B"/>
    <w:multiLevelType w:val="hybridMultilevel"/>
    <w:lvl w:ilvl="0">
      <w:lvlJc w:val="left"/>
      <w:lvlText w:val="(%1)"/>
      <w:numFmt w:val="decimal"/>
      <w:start w:val="1"/>
    </w:lvl>
    <w:lvl w:ilvl="1">
      <w:lvlJc w:val="left"/>
      <w:lvlText w:val="(%2)"/>
      <w:numFmt w:val="lowerLetter"/>
      <w:start w:val="1"/>
    </w:lvl>
  </w:abstractNum>
  <w:abstractNum w:abstractNumId="8">
    <w:nsid w:val="76272110"/>
    <w:multiLevelType w:val="hybridMultilevel"/>
    <w:lvl w:ilvl="0">
      <w:lvlJc w:val="left"/>
      <w:lvlText w:val="(%1)"/>
      <w:numFmt w:val="decimal"/>
      <w:start w:val="2"/>
    </w:lvl>
  </w:abstractNum>
  <w:abstractNum w:abstractNumId="9">
    <w:nsid w:val="4C04A8AF"/>
    <w:multiLevelType w:val="hybridMultilevel"/>
    <w:lvl w:ilvl="0">
      <w:lvlJc w:val="left"/>
      <w:lvlText w:val="(%1)"/>
      <w:numFmt w:val="decimal"/>
      <w:start w:val="1"/>
    </w:lvl>
  </w:abstractNum>
  <w:abstractNum w:abstractNumId="10">
    <w:nsid w:val="1716703B"/>
    <w:multiLevelType w:val="hybridMultilevel"/>
    <w:lvl w:ilvl="0">
      <w:lvlJc w:val="left"/>
      <w:lvlText w:val="%1"/>
      <w:numFmt w:val="decimal"/>
      <w:start w:val="198"/>
    </w:lvl>
  </w:abstractNum>
  <w:abstractNum w:abstractNumId="11">
    <w:nsid w:val="14E17E33"/>
    <w:multiLevelType w:val="hybridMultilevel"/>
    <w:lvl w:ilvl="0">
      <w:lvlJc w:val="left"/>
      <w:lvlText w:val="(%1)"/>
      <w:numFmt w:val="decimal"/>
      <w:start w:val="1"/>
    </w:lvl>
    <w:lvl w:ilvl="1">
      <w:lvlJc w:val="left"/>
      <w:lvlText w:val="(%2)"/>
      <w:numFmt w:val="lowerLetter"/>
      <w:start w:val="1"/>
    </w:lvl>
  </w:abstractNum>
  <w:abstractNum w:abstractNumId="12">
    <w:nsid w:val="3222E7CD"/>
    <w:multiLevelType w:val="hybridMultilevel"/>
    <w:lvl w:ilvl="0">
      <w:lvlJc w:val="left"/>
      <w:lvlText w:val="(%1)"/>
      <w:numFmt w:val="decimal"/>
      <w:start w:val="2"/>
    </w:lvl>
  </w:abstractNum>
  <w:abstractNum w:abstractNumId="13">
    <w:nsid w:val="74DE0EE3"/>
    <w:multiLevelType w:val="hybridMultilevel"/>
    <w:lvl w:ilvl="0">
      <w:lvlJc w:val="left"/>
      <w:lvlText w:val="(%1)"/>
      <w:numFmt w:val="decimal"/>
      <w:start w:val="7"/>
    </w:lvl>
  </w:abstractNum>
  <w:abstractNum w:abstractNumId="14">
    <w:nsid w:val="68EBC550"/>
    <w:multiLevelType w:val="hybridMultilevel"/>
    <w:lvl w:ilvl="0">
      <w:lvlJc w:val="left"/>
      <w:lvlText w:val="(%1)"/>
      <w:numFmt w:val="decimal"/>
      <w:start w:val="1"/>
    </w:lvl>
  </w:abstractNum>
  <w:abstractNum w:abstractNumId="15">
    <w:nsid w:val="2DF6D648"/>
    <w:multiLevelType w:val="hybridMultilevel"/>
    <w:lvl w:ilvl="0">
      <w:lvlJc w:val="left"/>
      <w:lvlText w:val="•"/>
      <w:numFmt w:val="bullet"/>
      <w:start w:val="1"/>
    </w:lvl>
  </w:abstractNum>
  <w:abstractNum w:abstractNumId="16">
    <w:nsid w:val="46B7D447"/>
    <w:multiLevelType w:val="hybridMultilevel"/>
    <w:lvl w:ilvl="0">
      <w:lvlJc w:val="left"/>
      <w:lvlText w:val="•"/>
      <w:numFmt w:val="bullet"/>
      <w:start w:val="1"/>
    </w:lvl>
  </w:abstractNum>
  <w:abstractNum w:abstractNumId="17">
    <w:nsid w:val="4A2AC315"/>
    <w:multiLevelType w:val="hybridMultilevel"/>
    <w:lvl w:ilvl="0">
      <w:lvlJc w:val="left"/>
      <w:lvlText w:val="•"/>
      <w:numFmt w:val="bullet"/>
      <w:start w:val="1"/>
    </w:lvl>
  </w:abstractNum>
  <w:abstractNum w:abstractNumId="18">
    <w:nsid w:val="39EE015C"/>
    <w:multiLevelType w:val="hybridMultilevel"/>
    <w:lvl w:ilvl="0">
      <w:lvlJc w:val="left"/>
      <w:lvlText w:val="•"/>
      <w:numFmt w:val="bullet"/>
      <w:start w:val="1"/>
    </w:lvl>
  </w:abstractNum>
  <w:abstractNum w:abstractNumId="19">
    <w:nsid w:val="57FC4FBB"/>
    <w:multiLevelType w:val="hybridMultilevel"/>
    <w:lvl w:ilvl="0">
      <w:lvlJc w:val="left"/>
      <w:lvlText w:val="*"/>
      <w:numFmt w:val="bullet"/>
      <w:start w:val="1"/>
    </w:lvl>
  </w:abstractNum>
  <w:abstractNum w:abstractNumId="20">
    <w:nsid w:val="CC1016F"/>
    <w:multiLevelType w:val="hybridMultilevel"/>
    <w:lvl w:ilvl="0">
      <w:lvlJc w:val="left"/>
      <w:lvlText w:val="(%1)"/>
      <w:numFmt w:val="decimal"/>
      <w:start w:val="1"/>
    </w:lvl>
  </w:abstractNum>
  <w:abstractNum w:abstractNumId="21">
    <w:nsid w:val="43F18422"/>
    <w:multiLevelType w:val="hybridMultilevel"/>
    <w:lvl w:ilvl="0">
      <w:lvlJc w:val="left"/>
      <w:lvlText w:val="•"/>
      <w:numFmt w:val="bullet"/>
      <w:start w:val="1"/>
    </w:lvl>
  </w:abstractNum>
  <w:abstractNum w:abstractNumId="22">
    <w:nsid w:val="60EF0119"/>
    <w:multiLevelType w:val="hybridMultilevel"/>
    <w:lvl w:ilvl="0">
      <w:lvlJc w:val="left"/>
      <w:lvlText w:val="•"/>
      <w:numFmt w:val="bullet"/>
      <w:start w:val="1"/>
    </w:lvl>
  </w:abstractNum>
  <w:abstractNum w:abstractNumId="23">
    <w:nsid w:val="26F324BA"/>
    <w:multiLevelType w:val="hybridMultilevel"/>
    <w:lvl w:ilvl="0">
      <w:lvlJc w:val="left"/>
      <w:lvlText w:val="•"/>
      <w:numFmt w:val="bullet"/>
      <w:start w:val="1"/>
    </w:lvl>
  </w:abstractNum>
  <w:abstractNum w:abstractNumId="24">
    <w:nsid w:val="7F01579B"/>
    <w:multiLevelType w:val="hybridMultilevel"/>
    <w:lvl w:ilvl="0">
      <w:lvlJc w:val="left"/>
      <w:lvlText w:val="(%1)"/>
      <w:numFmt w:val="lowerLetter"/>
      <w:start w:val="25"/>
    </w:lvl>
  </w:abstractNum>
  <w:abstractNum w:abstractNumId="25">
    <w:nsid w:val="49DA307D"/>
    <w:multiLevelType w:val="hybridMultilevel"/>
    <w:lvl w:ilvl="0">
      <w:lvlJc w:val="left"/>
      <w:lvlText w:val="•"/>
      <w:numFmt w:val="bullet"/>
      <w:start w:val="1"/>
    </w:lvl>
  </w:abstractNum>
  <w:abstractNum w:abstractNumId="26">
    <w:nsid w:val="7055A5F5"/>
    <w:multiLevelType w:val="hybridMultilevel"/>
    <w:lvl w:ilvl="0">
      <w:lvlJc w:val="left"/>
      <w:lvlText w:val="•"/>
      <w:numFmt w:val="bullet"/>
      <w:start w:val="1"/>
    </w:lvl>
  </w:abstractNum>
  <w:abstractNum w:abstractNumId="27">
    <w:nsid w:val="5FB8370B"/>
    <w:multiLevelType w:val="hybridMultilevel"/>
    <w:lvl w:ilvl="0">
      <w:lvlJc w:val="left"/>
      <w:lvlText w:val="•"/>
      <w:numFmt w:val="bullet"/>
      <w:start w:val="1"/>
    </w:lvl>
  </w:abstractNum>
  <w:abstractNum w:abstractNumId="28">
    <w:nsid w:val="50801EE1"/>
    <w:multiLevelType w:val="hybridMultilevel"/>
    <w:lvl w:ilvl="0">
      <w:lvlJc w:val="left"/>
      <w:lvlText w:val="$"/>
      <w:numFmt w:val="bullet"/>
      <w:start w:val="1"/>
    </w:lvl>
  </w:abstractNum>
  <w:abstractNum w:abstractNumId="29">
    <w:nsid w:val="488AC1A"/>
    <w:multiLevelType w:val="hybridMultilevel"/>
    <w:lvl w:ilvl="0">
      <w:lvlJc w:val="left"/>
      <w:lvlText w:val="(%1)"/>
      <w:numFmt w:val="decimal"/>
      <w:start w:val="1"/>
    </w:lvl>
  </w:abstractNum>
  <w:abstractNum w:abstractNumId="30">
    <w:nsid w:val="5FB8011C"/>
    <w:multiLevelType w:val="hybridMultilevel"/>
    <w:lvl w:ilvl="0">
      <w:lvlJc w:val="left"/>
      <w:lvlText w:val="(%1)"/>
      <w:numFmt w:val="decimal"/>
      <w:start w:val="6"/>
    </w:lvl>
  </w:abstractNum>
  <w:abstractNum w:abstractNumId="31">
    <w:nsid w:val="6AA78F7F"/>
    <w:multiLevelType w:val="hybridMultilevel"/>
    <w:lvl w:ilvl="0">
      <w:lvlJc w:val="left"/>
      <w:lvlText w:val="(%1)"/>
      <w:numFmt w:val="lowerLetter"/>
      <w:start w:val="1"/>
    </w:lvl>
  </w:abstractNum>
  <w:abstractNum w:abstractNumId="32">
    <w:nsid w:val="7672BD23"/>
    <w:multiLevelType w:val="hybridMultilevel"/>
    <w:lvl w:ilvl="0">
      <w:lvlJc w:val="left"/>
      <w:lvlText w:val="(%1)"/>
      <w:numFmt w:val="lowerLetter"/>
      <w:start w:val="2"/>
    </w:lvl>
  </w:abstractNum>
  <w:abstractNum w:abstractNumId="33">
    <w:nsid w:val="6FC75AF8"/>
    <w:multiLevelType w:val="hybridMultilevel"/>
    <w:lvl w:ilvl="0">
      <w:lvlJc w:val="left"/>
      <w:lvlText w:val="(%1)"/>
      <w:numFmt w:val="decimal"/>
      <w:start w:val="960"/>
    </w:lvl>
  </w:abstractNum>
  <w:abstractNum w:abstractNumId="34">
    <w:nsid w:val="6A5F7029"/>
    <w:multiLevelType w:val="hybridMultilevel"/>
    <w:lvl w:ilvl="0">
      <w:lvlJc w:val="left"/>
      <w:lvlText w:val="(%1)"/>
      <w:numFmt w:val="decimal"/>
      <w:start w:val="921"/>
    </w:lvl>
  </w:abstractNum>
  <w:abstractNum w:abstractNumId="35">
    <w:nsid w:val="7D5E18F8"/>
    <w:multiLevelType w:val="hybridMultilevel"/>
    <w:lvl w:ilvl="0">
      <w:lvlJc w:val="left"/>
      <w:lvlText w:val="(%1)"/>
      <w:numFmt w:val="lowerLetter"/>
      <w:start w:val="1"/>
    </w:lvl>
    <w:lvl w:ilvl="1">
      <w:lvlJc w:val="left"/>
      <w:lvlText w:val="(%2)"/>
      <w:numFmt w:val="decimal"/>
      <w:start w:val="1"/>
    </w:lvl>
  </w:abstractNum>
  <w:abstractNum w:abstractNumId="36">
    <w:nsid w:val="5F3534A4"/>
    <w:multiLevelType w:val="hybridMultilevel"/>
    <w:lvl w:ilvl="0">
      <w:lvlJc w:val="left"/>
      <w:lvlText w:val="(%1)"/>
      <w:numFmt w:val="lowerLetter"/>
      <w:start w:val="2"/>
    </w:lvl>
  </w:abstractNum>
  <w:abstractNum w:abstractNumId="37">
    <w:nsid w:val="73A1821B"/>
    <w:multiLevelType w:val="hybridMultilevel"/>
    <w:lvl w:ilvl="0">
      <w:lvlJc w:val="left"/>
      <w:lvlText w:val="(%1)"/>
      <w:numFmt w:val="decimal"/>
      <w:start w:val="1"/>
    </w:lvl>
  </w:abstractNum>
  <w:abstractNum w:abstractNumId="38">
    <w:nsid w:val="7DE67713"/>
    <w:multiLevelType w:val="hybridMultilevel"/>
    <w:lvl w:ilvl="0">
      <w:lvlJc w:val="left"/>
      <w:lvlText w:val="•"/>
      <w:numFmt w:val="bullet"/>
      <w:start w:val="1"/>
    </w:lvl>
  </w:abstractNum>
  <w:abstractNum w:abstractNumId="39">
    <w:nsid w:val="555C55B5"/>
    <w:multiLevelType w:val="hybridMultilevel"/>
    <w:lvl w:ilvl="0">
      <w:lvlJc w:val="left"/>
      <w:lvlText w:val="•"/>
      <w:numFmt w:val="bullet"/>
      <w:start w:val="1"/>
    </w:lvl>
  </w:abstractNum>
  <w:abstractNum w:abstractNumId="40">
    <w:nsid w:val="3FA62ACA"/>
    <w:multiLevelType w:val="hybridMultilevel"/>
    <w:lvl w:ilvl="0">
      <w:lvlJc w:val="left"/>
      <w:lvlText w:val="•"/>
      <w:numFmt w:val="bullet"/>
      <w:start w:val="1"/>
    </w:lvl>
  </w:abstractNum>
  <w:abstractNum w:abstractNumId="41">
    <w:nsid w:val="14FCE74E"/>
    <w:multiLevelType w:val="hybridMultilevel"/>
    <w:lvl w:ilvl="0">
      <w:lvlJc w:val="left"/>
      <w:lvlText w:val="•"/>
      <w:numFmt w:val="bullet"/>
      <w:start w:val="1"/>
    </w:lvl>
  </w:abstractNum>
  <w:abstractNum w:abstractNumId="42">
    <w:nsid w:val="6A3DD3E8"/>
    <w:multiLevelType w:val="hybridMultilevel"/>
    <w:lvl w:ilvl="0">
      <w:lvlJc w:val="left"/>
      <w:lvlText w:val="•"/>
      <w:numFmt w:val="bullet"/>
      <w:start w:val="1"/>
    </w:lvl>
  </w:abstractNum>
  <w:abstractNum w:abstractNumId="43">
    <w:nsid w:val="71C91298"/>
    <w:multiLevelType w:val="hybridMultilevel"/>
    <w:lvl w:ilvl="0">
      <w:lvlJc w:val="left"/>
      <w:lvlText w:val="(%1)"/>
      <w:numFmt w:val="lowerRoman"/>
      <w:start w:val="7"/>
    </w:lvl>
  </w:abstractNum>
  <w:abstractNum w:abstractNumId="44">
    <w:nsid w:val="9DAF632"/>
    <w:multiLevelType w:val="hybridMultilevel"/>
    <w:lvl w:ilvl="0">
      <w:lvlJc w:val="left"/>
      <w:lvlText w:val="(%1)"/>
      <w:numFmt w:val="lowerRoman"/>
      <w:start w:val="5"/>
    </w:lvl>
  </w:abstractNum>
  <w:abstractNum w:abstractNumId="45">
    <w:nsid w:val="53299938"/>
    <w:multiLevelType w:val="hybridMultilevel"/>
    <w:lvl w:ilvl="0">
      <w:lvlJc w:val="left"/>
      <w:lvlText w:val="•"/>
      <w:numFmt w:val="bullet"/>
      <w:start w:val="1"/>
    </w:lvl>
  </w:abstractNum>
  <w:abstractNum w:abstractNumId="46">
    <w:nsid w:val="1FBFE8E0"/>
    <w:multiLevelType w:val="hybridMultilevel"/>
    <w:lvl w:ilvl="0">
      <w:lvlJc w:val="left"/>
      <w:lvlText w:val="\emdash "/>
      <w:numFmt w:val="bullet"/>
      <w:start w:val="1"/>
    </w:lvl>
  </w:abstractNum>
  <w:abstractNum w:abstractNumId="47">
    <w:nsid w:val="5092CA79"/>
    <w:multiLevelType w:val="hybridMultilevel"/>
    <w:lvl w:ilvl="0">
      <w:lvlJc w:val="left"/>
      <w:lvlText w:val="•"/>
      <w:numFmt w:val="bullet"/>
      <w:start w:val="1"/>
    </w:lvl>
  </w:abstractNum>
  <w:abstractNum w:abstractNumId="48">
    <w:nsid w:val="1D545C4D"/>
    <w:multiLevelType w:val="hybridMultilevel"/>
    <w:lvl w:ilvl="0">
      <w:lvlJc w:val="left"/>
      <w:lvlText w:val="(%1)"/>
      <w:numFmt w:val="lowerLetter"/>
      <w:start w:val="2"/>
    </w:lvl>
  </w:abstractNum>
  <w:abstractNum w:abstractNumId="49">
    <w:nsid w:val="59ADEA3D"/>
    <w:multiLevelType w:val="hybridMultilevel"/>
    <w:lvl w:ilvl="0">
      <w:lvlJc w:val="left"/>
      <w:lvlText w:val="•"/>
      <w:numFmt w:val="bullet"/>
      <w:start w:val="1"/>
    </w:lvl>
  </w:abstractNum>
  <w:abstractNum w:abstractNumId="50">
    <w:nsid w:val="288F1A34"/>
    <w:multiLevelType w:val="hybridMultilevel"/>
    <w:lvl w:ilvl="0">
      <w:lvlJc w:val="left"/>
      <w:lvlText w:val="•"/>
      <w:numFmt w:val="bullet"/>
      <w:start w:val="1"/>
    </w:lvl>
  </w:abstractNum>
  <w:abstractNum w:abstractNumId="51">
    <w:nsid w:val="2A155DBC"/>
    <w:multiLevelType w:val="hybridMultilevel"/>
    <w:lvl w:ilvl="0">
      <w:lvlJc w:val="left"/>
      <w:lvlText w:val="•"/>
      <w:numFmt w:val="bullet"/>
      <w:start w:val="1"/>
    </w:lvl>
  </w:abstractNum>
  <w:abstractNum w:abstractNumId="52">
    <w:nsid w:val="1D9F6E5F"/>
    <w:multiLevelType w:val="hybridMultilevel"/>
    <w:lvl w:ilvl="0">
      <w:lvlJc w:val="left"/>
      <w:lvlText w:val="•"/>
      <w:numFmt w:val="bullet"/>
      <w:start w:val="1"/>
    </w:lvl>
  </w:abstractNum>
  <w:abstractNum w:abstractNumId="53">
    <w:nsid w:val="97E1B4E"/>
    <w:multiLevelType w:val="hybridMultilevel"/>
    <w:lvl w:ilvl="0">
      <w:lvlJc w:val="left"/>
      <w:lvlText w:val="•"/>
      <w:numFmt w:val="bullet"/>
      <w:start w:val="1"/>
    </w:lvl>
  </w:abstractNum>
  <w:abstractNum w:abstractNumId="54">
    <w:nsid w:val="51088277"/>
    <w:multiLevelType w:val="hybridMultilevel"/>
    <w:lvl w:ilvl="0">
      <w:lvlJc w:val="left"/>
      <w:lvlText w:val="•"/>
      <w:numFmt w:val="bullet"/>
      <w:start w:val="1"/>
    </w:lvl>
  </w:abstractNum>
  <w:abstractNum w:abstractNumId="55">
    <w:nsid w:val="1CA0C5FA"/>
    <w:multiLevelType w:val="hybridMultilevel"/>
    <w:lvl w:ilvl="0">
      <w:lvlJc w:val="left"/>
      <w:lvlText w:val="•"/>
      <w:numFmt w:val="bullet"/>
      <w:start w:val="1"/>
    </w:lvl>
  </w:abstractNum>
  <w:abstractNum w:abstractNumId="56">
    <w:nsid w:val="53584BCB"/>
    <w:multiLevelType w:val="hybridMultilevel"/>
    <w:lvl w:ilvl="0">
      <w:lvlJc w:val="left"/>
      <w:lvlText w:val="•"/>
      <w:numFmt w:val="bullet"/>
      <w:start w:val="1"/>
    </w:lvl>
  </w:abstractNum>
  <w:abstractNum w:abstractNumId="57">
    <w:nsid w:val="415E286C"/>
    <w:multiLevelType w:val="hybridMultilevel"/>
    <w:lvl w:ilvl="0">
      <w:lvlJc w:val="left"/>
      <w:lvlText w:val="•"/>
      <w:numFmt w:val="bullet"/>
      <w:start w:val="1"/>
    </w:lvl>
  </w:abstractNum>
  <w:abstractNum w:abstractNumId="58">
    <w:nsid w:val="7C58FD05"/>
    <w:multiLevelType w:val="hybridMultilevel"/>
    <w:lvl w:ilvl="0">
      <w:lvlJc w:val="left"/>
      <w:lvlText w:val="•"/>
      <w:numFmt w:val="bullet"/>
      <w:start w:val="1"/>
    </w:lvl>
  </w:abstractNum>
  <w:abstractNum w:abstractNumId="59">
    <w:nsid w:val="23D86AAC"/>
    <w:multiLevelType w:val="hybridMultilevel"/>
    <w:lvl w:ilvl="0">
      <w:lvlJc w:val="left"/>
      <w:lvlText w:val="•"/>
      <w:numFmt w:val="bullet"/>
      <w:start w:val="1"/>
    </w:lvl>
  </w:abstractNum>
  <w:abstractNum w:abstractNumId="60">
    <w:nsid w:val="45E6D486"/>
    <w:multiLevelType w:val="hybridMultilevel"/>
    <w:lvl w:ilvl="0">
      <w:lvlJc w:val="left"/>
      <w:lvlText w:val="•"/>
      <w:numFmt w:val="bullet"/>
      <w:start w:val="1"/>
    </w:lvl>
  </w:abstractNum>
  <w:abstractNum w:abstractNumId="61">
    <w:nsid w:val="5C10FE21"/>
    <w:multiLevelType w:val="hybridMultilevel"/>
    <w:lvl w:ilvl="0">
      <w:lvlJc w:val="left"/>
      <w:lvlText w:val="•"/>
      <w:numFmt w:val="bullet"/>
      <w:start w:val="1"/>
    </w:lvl>
  </w:abstractNum>
  <w:abstractNum w:abstractNumId="62">
    <w:nsid w:val="E7FFA2B"/>
    <w:multiLevelType w:val="hybridMultilevel"/>
    <w:lvl w:ilvl="0">
      <w:lvlJc w:val="left"/>
      <w:lvlText w:val="•"/>
      <w:numFmt w:val="bullet"/>
      <w:start w:val="1"/>
    </w:lvl>
  </w:abstractNum>
  <w:abstractNum w:abstractNumId="63">
    <w:nsid w:val="3C5991AA"/>
    <w:multiLevelType w:val="hybridMultilevel"/>
    <w:lvl w:ilvl="0">
      <w:lvlJc w:val="left"/>
      <w:lvlText w:val="•"/>
      <w:numFmt w:val="bullet"/>
      <w:start w:val="1"/>
    </w:lvl>
  </w:abstractNum>
  <w:abstractNum w:abstractNumId="64">
    <w:nsid w:val="4BD8591A"/>
    <w:multiLevelType w:val="hybridMultilevel"/>
    <w:lvl w:ilvl="0">
      <w:lvlJc w:val="left"/>
      <w:lvlText w:val="•"/>
      <w:numFmt w:val="bullet"/>
      <w:start w:val="1"/>
    </w:lvl>
  </w:abstractNum>
  <w:abstractNum w:abstractNumId="65">
    <w:nsid w:val="78DF6A55"/>
    <w:multiLevelType w:val="hybridMultilevel"/>
    <w:lvl w:ilvl="0">
      <w:lvlJc w:val="left"/>
      <w:lvlText w:val="\emdash "/>
      <w:numFmt w:val="bullet"/>
      <w:start w:val="1"/>
    </w:lvl>
  </w:abstractNum>
  <w:abstractNum w:abstractNumId="66">
    <w:nsid w:val="39B7AAA2"/>
    <w:multiLevelType w:val="hybridMultilevel"/>
    <w:lvl w:ilvl="0">
      <w:lvlJc w:val="left"/>
      <w:lvlText w:val="•"/>
      <w:numFmt w:val="bullet"/>
      <w:start w:val="1"/>
    </w:lvl>
  </w:abstractNum>
  <w:abstractNum w:abstractNumId="67">
    <w:nsid w:val="2B0D8DBE"/>
    <w:multiLevelType w:val="hybridMultilevel"/>
    <w:lvl w:ilvl="0">
      <w:lvlJc w:val="left"/>
      <w:lvlText w:val="(%1)"/>
      <w:numFmt w:val="decimal"/>
      <w:start w:val="1"/>
    </w:lvl>
  </w:abstractNum>
  <w:abstractNum w:abstractNumId="68">
    <w:nsid w:val="6C80EC70"/>
    <w:multiLevelType w:val="hybridMultilevel"/>
    <w:lvl w:ilvl="0">
      <w:lvlJc w:val="left"/>
      <w:lvlText w:val="•"/>
      <w:numFmt w:val="bullet"/>
      <w:start w:val="1"/>
    </w:lvl>
    <w:lvl w:ilvl="1">
      <w:lvlJc w:val="left"/>
      <w:lvlText w:val="(%2)"/>
      <w:numFmt w:val="lowerRoman"/>
      <w:start w:val="2"/>
    </w:lvl>
  </w:abstractNum>
  <w:abstractNum w:abstractNumId="69">
    <w:nsid w:val="379E21B5"/>
    <w:multiLevelType w:val="hybridMultilevel"/>
    <w:lvl w:ilvl="0">
      <w:lvlJc w:val="left"/>
      <w:lvlText w:val="•"/>
      <w:numFmt w:val="bullet"/>
      <w:start w:val="1"/>
    </w:lvl>
    <w:lvl w:ilvl="1">
      <w:lvlJc w:val="left"/>
      <w:lvlText w:val="(%2)"/>
      <w:numFmt w:val="lowerRoman"/>
      <w:start w:val="1"/>
    </w:lvl>
  </w:abstractNum>
  <w:abstractNum w:abstractNumId="70">
    <w:nsid w:val="69E373"/>
    <w:multiLevelType w:val="hybridMultilevel"/>
    <w:lvl w:ilvl="0">
      <w:lvlJc w:val="left"/>
      <w:lvlText w:val="•"/>
      <w:numFmt w:val="bullet"/>
      <w:start w:val="1"/>
    </w:lvl>
  </w:abstractNum>
  <w:abstractNum w:abstractNumId="71">
    <w:nsid w:val="2C27173B"/>
    <w:multiLevelType w:val="hybridMultilevel"/>
    <w:lvl w:ilvl="0">
      <w:lvlJc w:val="left"/>
      <w:lvlText w:val="•"/>
      <w:numFmt w:val="bullet"/>
      <w:start w:val="1"/>
    </w:lvl>
  </w:abstractNum>
  <w:abstractNum w:abstractNumId="72">
    <w:nsid w:val="4C9B0904"/>
    <w:multiLevelType w:val="hybridMultilevel"/>
    <w:lvl w:ilvl="0">
      <w:lvlJc w:val="left"/>
      <w:lvlText w:val="•"/>
      <w:numFmt w:val="bullet"/>
      <w:start w:val="1"/>
    </w:lvl>
  </w:abstractNum>
  <w:abstractNum w:abstractNumId="73">
    <w:nsid w:val="6AA7B75C"/>
    <w:multiLevelType w:val="hybridMultilevel"/>
    <w:lvl w:ilvl="0">
      <w:lvlJc w:val="left"/>
      <w:lvlText w:val="(%1)"/>
      <w:numFmt w:val="decimal"/>
      <w:start w:val="1"/>
    </w:lvl>
    <w:lvl w:ilvl="1">
      <w:lvlJc w:val="left"/>
      <w:lvlText w:val="•"/>
      <w:numFmt w:val="bullet"/>
      <w:start w:val="1"/>
    </w:lvl>
  </w:abstractNum>
  <w:abstractNum w:abstractNumId="74">
    <w:nsid w:val="1DF029D3"/>
    <w:multiLevelType w:val="hybridMultilevel"/>
    <w:lvl w:ilvl="0">
      <w:lvlJc w:val="left"/>
      <w:lvlText w:val="(%1)"/>
      <w:numFmt w:val="decimal"/>
      <w:start w:val="1"/>
    </w:lvl>
    <w:lvl w:ilvl="1">
      <w:lvlJc w:val="left"/>
      <w:lvlText w:val="(%2)"/>
      <w:numFmt w:val="decimal"/>
      <w:start w:val="2"/>
    </w:lvl>
    <w:lvl w:ilvl="2">
      <w:lvlJc w:val="left"/>
      <w:lvlText w:val="•"/>
      <w:numFmt w:val="bullet"/>
      <w:start w:val="1"/>
    </w:lvl>
  </w:abstractNum>
  <w:abstractNum w:abstractNumId="75">
    <w:nsid w:val="5675FF36"/>
    <w:multiLevelType w:val="hybridMultilevel"/>
    <w:lvl w:ilvl="0">
      <w:lvlJc w:val="left"/>
      <w:lvlText w:val="(%1)"/>
      <w:numFmt w:val="decimal"/>
      <w:start w:val="3"/>
    </w:lvl>
  </w:abstractNum>
  <w:abstractNum w:abstractNumId="76">
    <w:nsid w:val="3DD15094"/>
    <w:multiLevelType w:val="hybridMultilevel"/>
    <w:lvl w:ilvl="0">
      <w:lvlJc w:val="left"/>
      <w:lvlText w:val="$"/>
      <w:numFmt w:val="bullet"/>
      <w:start w:val="1"/>
    </w:lvl>
  </w:abstractNum>
  <w:abstractNum w:abstractNumId="77">
    <w:nsid w:val="3DB012B3"/>
    <w:multiLevelType w:val="hybridMultilevel"/>
    <w:lvl w:ilvl="0">
      <w:lvlJc w:val="left"/>
      <w:lvlText w:val="(%1)"/>
      <w:numFmt w:val="decimal"/>
      <w:start w:val="5"/>
    </w:lvl>
  </w:abstractNum>
  <w:abstractNum w:abstractNumId="78">
    <w:nsid w:val="2708C9AF"/>
    <w:multiLevelType w:val="hybridMultilevel"/>
    <w:lvl w:ilvl="0">
      <w:lvlJc w:val="left"/>
      <w:lvlText w:val="(%1)"/>
      <w:numFmt w:val="decimal"/>
      <w:start w:val="1"/>
    </w:lvl>
  </w:abstractNum>
  <w:abstractNum w:abstractNumId="79">
    <w:nsid w:val="5B25ACE2"/>
    <w:multiLevelType w:val="hybridMultilevel"/>
    <w:lvl w:ilvl="0">
      <w:lvlJc w:val="left"/>
      <w:lvlText w:val="(%1)"/>
      <w:numFmt w:val="decimal"/>
      <w:start w:val="2"/>
    </w:lvl>
  </w:abstractNum>
  <w:abstractNum w:abstractNumId="80">
    <w:nsid w:val="175DFCF0"/>
    <w:multiLevelType w:val="hybridMultilevel"/>
    <w:lvl w:ilvl="0">
      <w:lvlJc w:val="left"/>
      <w:lvlText w:val="•"/>
      <w:numFmt w:val="bullet"/>
      <w:start w:val="1"/>
    </w:lvl>
  </w:abstractNum>
  <w:abstractNum w:abstractNumId="81">
    <w:nsid w:val="4F97E3E4"/>
    <w:multiLevelType w:val="hybridMultilevel"/>
    <w:lvl w:ilvl="0">
      <w:lvlJc w:val="left"/>
      <w:lvlText w:val="•"/>
      <w:numFmt w:val="bullet"/>
      <w:start w:val="1"/>
    </w:lvl>
  </w:abstractNum>
  <w:abstractNum w:abstractNumId="82">
    <w:nsid w:val="53B0A9E"/>
    <w:multiLevelType w:val="hybridMultilevel"/>
    <w:lvl w:ilvl="0">
      <w:lvlJc w:val="left"/>
      <w:lvlText w:val="\emdash "/>
      <w:numFmt w:val="bullet"/>
      <w:start w:val="1"/>
    </w:lvl>
  </w:abstractNum>
  <w:abstractNum w:abstractNumId="83">
    <w:nsid w:val="34FD6B4F"/>
    <w:multiLevelType w:val="hybridMultilevel"/>
    <w:lvl w:ilvl="0">
      <w:lvlJc w:val="left"/>
      <w:lvlText w:val="•"/>
      <w:numFmt w:val="bullet"/>
      <w:start w:val="1"/>
    </w:lvl>
  </w:abstractNum>
  <w:abstractNum w:abstractNumId="84">
    <w:nsid w:val="5915FF32"/>
    <w:multiLevelType w:val="hybridMultilevel"/>
    <w:lvl w:ilvl="0">
      <w:lvlJc w:val="left"/>
      <w:lvlText w:val="(+)"/>
      <w:numFmt w:val="bullet"/>
      <w:start w:val="1"/>
    </w:lvl>
  </w:abstractNum>
  <w:abstractNum w:abstractNumId="85">
    <w:nsid w:val="56438D15"/>
    <w:multiLevelType w:val="hybridMultilevel"/>
    <w:lvl w:ilvl="0">
      <w:lvlJc w:val="left"/>
      <w:lvlText w:val="(†)"/>
      <w:numFmt w:val="bullet"/>
      <w:start w:val="1"/>
    </w:lvl>
  </w:abstractNum>
  <w:abstractNum w:abstractNumId="86">
    <w:nsid w:val="519E3149"/>
    <w:multiLevelType w:val="hybridMultilevel"/>
    <w:lvl w:ilvl="0">
      <w:lvlJc w:val="left"/>
      <w:lvlText w:val="*"/>
      <w:numFmt w:val="bullet"/>
      <w:start w:val="1"/>
    </w:lvl>
  </w:abstractNum>
  <w:abstractNum w:abstractNumId="87">
    <w:nsid w:val="2C6E4AFD"/>
    <w:multiLevelType w:val="hybridMultilevel"/>
    <w:lvl w:ilvl="0">
      <w:lvlJc w:val="left"/>
      <w:lvlText w:val="(%1)"/>
      <w:numFmt w:val="decimal"/>
      <w:start w:val="1"/>
    </w:lvl>
  </w:abstractNum>
  <w:abstractNum w:abstractNumId="88">
    <w:nsid w:val="17A1B582"/>
    <w:multiLevelType w:val="hybridMultilevel"/>
    <w:lvl w:ilvl="0">
      <w:lvlJc w:val="left"/>
      <w:lvlText w:val="(%1)"/>
      <w:numFmt w:val="decimal"/>
      <w:start w:val="5"/>
    </w:lvl>
  </w:abstractNum>
  <w:abstractNum w:abstractNumId="89">
    <w:nsid w:val="4DF72E4E"/>
    <w:multiLevelType w:val="hybridMultilevel"/>
    <w:lvl w:ilvl="0">
      <w:lvlJc w:val="left"/>
      <w:lvlText w:val="*"/>
      <w:numFmt w:val="bullet"/>
      <w:start w:val="1"/>
    </w:lvl>
  </w:abstractNum>
  <w:abstractNum w:abstractNumId="90">
    <w:nsid w:val="5046B5A9"/>
    <w:multiLevelType w:val="hybridMultilevel"/>
    <w:lvl w:ilvl="0">
      <w:lvlJc w:val="left"/>
      <w:lvlText w:val="†"/>
      <w:numFmt w:val="bullet"/>
      <w:start w:val="1"/>
    </w:lvl>
  </w:abstractNum>
  <w:abstractNum w:abstractNumId="91">
    <w:nsid w:val="5D888A08"/>
    <w:multiLevelType w:val="hybridMultilevel"/>
    <w:lvl w:ilvl="0">
      <w:lvlJc w:val="left"/>
      <w:lvlText w:val="(%1)"/>
      <w:numFmt w:val="lowerRoman"/>
      <w:start w:val="10"/>
    </w:lvl>
  </w:abstractNum>
  <w:abstractNum w:abstractNumId="92">
    <w:nsid w:val="2A082C70"/>
    <w:multiLevelType w:val="hybridMultilevel"/>
    <w:lvl w:ilvl="0">
      <w:lvlJc w:val="left"/>
      <w:lvlText w:val="•"/>
      <w:numFmt w:val="bullet"/>
      <w:start w:val="1"/>
    </w:lvl>
  </w:abstractNum>
  <w:abstractNum w:abstractNumId="93">
    <w:nsid w:val="5EC6AFD4"/>
    <w:multiLevelType w:val="hybridMultilevel"/>
    <w:lvl w:ilvl="0">
      <w:lvlJc w:val="left"/>
      <w:lvlText w:val="(%1)"/>
      <w:numFmt w:val="lowerRoman"/>
      <w:start w:val="2"/>
    </w:lvl>
  </w:abstractNum>
  <w:abstractNum w:abstractNumId="94">
    <w:nsid w:val="19E21BB2"/>
    <w:multiLevelType w:val="hybridMultilevel"/>
    <w:lvl w:ilvl="0">
      <w:lvlJc w:val="left"/>
      <w:lvlText w:val="•"/>
      <w:numFmt w:val="bullet"/>
      <w:start w:val="1"/>
    </w:lvl>
  </w:abstractNum>
  <w:abstractNum w:abstractNumId="95">
    <w:nsid w:val="75E0858A"/>
    <w:multiLevelType w:val="hybridMultilevel"/>
    <w:lvl w:ilvl="0">
      <w:lvlJc w:val="left"/>
      <w:lvlText w:val="•"/>
      <w:numFmt w:val="bullet"/>
      <w:start w:val="1"/>
    </w:lvl>
  </w:abstractNum>
  <w:abstractNum w:abstractNumId="96">
    <w:nsid w:val="57A61A29"/>
    <w:multiLevelType w:val="hybridMultilevel"/>
    <w:lvl w:ilvl="0">
      <w:lvlJc w:val="left"/>
      <w:lvlText w:val="•"/>
      <w:numFmt w:val="bullet"/>
      <w:start w:val="1"/>
    </w:lvl>
  </w:abstractNum>
  <w:abstractNum w:abstractNumId="97">
    <w:nsid w:val="5399C654"/>
    <w:multiLevelType w:val="hybridMultilevel"/>
    <w:lvl w:ilvl="0">
      <w:lvlJc w:val="left"/>
      <w:lvlText w:val="•"/>
      <w:numFmt w:val="bullet"/>
      <w:start w:val="1"/>
    </w:lvl>
  </w:abstractNum>
  <w:abstractNum w:abstractNumId="98">
    <w:nsid w:val="20EE1348"/>
    <w:multiLevelType w:val="hybridMultilevel"/>
    <w:lvl w:ilvl="0">
      <w:lvlJc w:val="left"/>
      <w:lvlText w:val="(%1)"/>
      <w:numFmt w:val="lowerRoman"/>
      <w:start w:val="2"/>
    </w:lvl>
  </w:abstractNum>
  <w:abstractNum w:abstractNumId="99">
    <w:nsid w:val="4427069A"/>
    <w:multiLevelType w:val="hybridMultilevel"/>
    <w:lvl w:ilvl="0">
      <w:lvlJc w:val="left"/>
      <w:lvlText w:val="(%1)"/>
      <w:numFmt w:val="lowerRoman"/>
      <w:start w:val="1"/>
    </w:lvl>
  </w:abstractNum>
  <w:abstractNum w:abstractNumId="100">
    <w:nsid w:val="B37E80A"/>
    <w:multiLevelType w:val="hybridMultilevel"/>
    <w:lvl w:ilvl="0">
      <w:lvlJc w:val="left"/>
      <w:lvlText w:val="•"/>
      <w:numFmt w:val="bullet"/>
      <w:start w:val="1"/>
    </w:lvl>
  </w:abstractNum>
  <w:abstractNum w:abstractNumId="101">
    <w:nsid w:val="2157F6BC"/>
    <w:multiLevelType w:val="hybridMultilevel"/>
    <w:lvl w:ilvl="0">
      <w:lvlJc w:val="left"/>
      <w:lvlText w:val="•"/>
      <w:numFmt w:val="bullet"/>
      <w:start w:val="1"/>
    </w:lvl>
  </w:abstractNum>
  <w:abstractNum w:abstractNumId="102">
    <w:nsid w:val="704E1DD5"/>
    <w:multiLevelType w:val="hybridMultilevel"/>
    <w:lvl w:ilvl="0">
      <w:lvlJc w:val="left"/>
      <w:lvlText w:val="•"/>
      <w:numFmt w:val="bullet"/>
      <w:start w:val="1"/>
    </w:lvl>
  </w:abstractNum>
  <w:abstractNum w:abstractNumId="103">
    <w:nsid w:val="57D2F10E"/>
    <w:multiLevelType w:val="hybridMultilevel"/>
    <w:lvl w:ilvl="0">
      <w:lvlJc w:val="left"/>
      <w:lvlText w:val="•"/>
      <w:numFmt w:val="bullet"/>
      <w:start w:val="1"/>
    </w:lvl>
  </w:abstractNum>
  <w:abstractNum w:abstractNumId="104">
    <w:nsid w:val="BFFAE18"/>
    <w:multiLevelType w:val="hybridMultilevel"/>
    <w:lvl w:ilvl="0">
      <w:lvlJc w:val="left"/>
      <w:lvlText w:val="•"/>
      <w:numFmt w:val="bullet"/>
      <w:start w:val="1"/>
    </w:lvl>
  </w:abstractNum>
  <w:abstractNum w:abstractNumId="105">
    <w:nsid w:val="E3E47A8"/>
    <w:multiLevelType w:val="hybridMultilevel"/>
    <w:lvl w:ilvl="0">
      <w:lvlJc w:val="left"/>
      <w:lvlText w:val="$"/>
      <w:numFmt w:val="bullet"/>
      <w:start w:val="1"/>
    </w:lvl>
  </w:abstractNum>
  <w:abstractNum w:abstractNumId="106">
    <w:nsid w:val="2E48F044"/>
    <w:multiLevelType w:val="hybridMultilevel"/>
    <w:lvl w:ilvl="0">
      <w:lvlJc w:val="left"/>
      <w:lvlText w:val="&amp;"/>
      <w:numFmt w:val="bullet"/>
      <w:start w:val="1"/>
    </w:lvl>
  </w:abstractNum>
  <w:abstractNum w:abstractNumId="107">
    <w:nsid w:val="49D0FEAC"/>
    <w:multiLevelType w:val="hybridMultilevel"/>
    <w:lvl w:ilvl="0">
      <w:lvlJc w:val="left"/>
      <w:lvlText w:val="(%1)"/>
      <w:numFmt w:val="lowerLetter"/>
      <w:start w:val="1"/>
    </w:lvl>
  </w:abstractNum>
  <w:abstractNum w:abstractNumId="108">
    <w:nsid w:val="4BEE5A5B"/>
    <w:multiLevelType w:val="hybridMultilevel"/>
    <w:lvl w:ilvl="0">
      <w:lvlJc w:val="left"/>
      <w:lvlText w:val="•"/>
      <w:numFmt w:val="bullet"/>
      <w:start w:val="1"/>
    </w:lvl>
  </w:abstractNum>
  <w:abstractNum w:abstractNumId="109">
    <w:nsid w:val="5551B9F3"/>
    <w:multiLevelType w:val="hybridMultilevel"/>
    <w:lvl w:ilvl="0">
      <w:lvlJc w:val="left"/>
      <w:lvlText w:val="•"/>
      <w:numFmt w:val="bullet"/>
      <w:start w:val="1"/>
    </w:lvl>
  </w:abstractNum>
  <w:abstractNum w:abstractNumId="110">
    <w:nsid w:val="24F6AB8E"/>
    <w:multiLevelType w:val="hybridMultilevel"/>
    <w:lvl w:ilvl="0">
      <w:lvlJc w:val="left"/>
      <w:lvlText w:val="•"/>
      <w:numFmt w:val="bullet"/>
      <w:start w:val="1"/>
    </w:lvl>
  </w:abstractNum>
  <w:abstractNum w:abstractNumId="111">
    <w:nsid w:val="634C574C"/>
    <w:multiLevelType w:val="hybridMultilevel"/>
    <w:lvl w:ilvl="0">
      <w:lvlJc w:val="left"/>
      <w:lvlText w:val="•"/>
      <w:numFmt w:val="bullet"/>
      <w:start w:val="1"/>
    </w:lvl>
  </w:abstractNum>
  <w:abstractNum w:abstractNumId="112">
    <w:nsid w:val="24E99DD7"/>
    <w:multiLevelType w:val="hybridMultilevel"/>
    <w:lvl w:ilvl="0">
      <w:lvlJc w:val="left"/>
      <w:lvlText w:val="(%1)"/>
      <w:numFmt w:val="lowerLetter"/>
      <w:start w:val="1"/>
    </w:lvl>
  </w:abstractNum>
  <w:abstractNum w:abstractNumId="113">
    <w:nsid w:val="2A31B62D"/>
    <w:multiLevelType w:val="hybridMultilevel"/>
    <w:lvl w:ilvl="0">
      <w:lvlJc w:val="left"/>
      <w:lvlText w:val="(%1)"/>
      <w:numFmt w:val="decimal"/>
      <w:start w:val="1"/>
    </w:lvl>
  </w:abstractNum>
  <w:abstractNum w:abstractNumId="114">
    <w:nsid w:val="1849C29B"/>
    <w:multiLevelType w:val="hybridMultilevel"/>
    <w:lvl w:ilvl="0">
      <w:lvlJc w:val="left"/>
      <w:lvlText w:val="+"/>
      <w:numFmt w:val="bullet"/>
      <w:start w:val="1"/>
    </w:lvl>
  </w:abstractNum>
  <w:abstractNum w:abstractNumId="115">
    <w:nsid w:val="7DFF9D09"/>
    <w:multiLevelType w:val="hybridMultilevel"/>
    <w:lvl w:ilvl="0">
      <w:lvlJc w:val="left"/>
      <w:lvlText w:val="†"/>
      <w:numFmt w:val="bullet"/>
      <w:start w:val="1"/>
    </w:lvl>
  </w:abstractNum>
  <w:abstractNum w:abstractNumId="116">
    <w:nsid w:val="754342"/>
    <w:multiLevelType w:val="hybridMultilevel"/>
    <w:lvl w:ilvl="0">
      <w:lvlJc w:val="left"/>
      <w:lvlText w:val="%1."/>
      <w:numFmt w:val="decimal"/>
      <w:start w:val="1"/>
    </w:lvl>
  </w:abstractNum>
  <w:abstractNum w:abstractNumId="117">
    <w:nsid w:val="69E7F3E5"/>
    <w:multiLevelType w:val="hybridMultilevel"/>
    <w:lvl w:ilvl="0">
      <w:lvlJc w:val="left"/>
      <w:lvlText w:val="(%1)"/>
      <w:numFmt w:val="lowerRoman"/>
      <w:start w:val="1"/>
    </w:lvl>
  </w:abstractNum>
  <w:abstractNum w:abstractNumId="118">
    <w:nsid w:val="2A6DE806"/>
    <w:multiLevelType w:val="hybridMultilevel"/>
    <w:lvl w:ilvl="0">
      <w:lvlJc w:val="left"/>
      <w:lvlText w:val="(%1)"/>
      <w:numFmt w:val="lowerRoman"/>
      <w:start w:val="3"/>
    </w:lvl>
  </w:abstractNum>
  <w:abstractNum w:abstractNumId="119">
    <w:nsid w:val="1816F8C4"/>
    <w:multiLevelType w:val="hybridMultilevel"/>
    <w:lvl w:ilvl="0">
      <w:lvlJc w:val="left"/>
      <w:lvlText w:val="(%1)"/>
      <w:numFmt w:val="lowerRoman"/>
      <w:start w:val="8"/>
    </w:lvl>
  </w:abstractNum>
  <w:abstractNum w:abstractNumId="120">
    <w:nsid w:val="37DF2233"/>
    <w:multiLevelType w:val="hybridMultilevel"/>
    <w:lvl w:ilvl="0">
      <w:lvlJc w:val="left"/>
      <w:lvlText w:val="(%1)"/>
      <w:numFmt w:val="lowerRoman"/>
      <w:start w:val="12"/>
    </w:lvl>
  </w:abstractNum>
  <w:abstractNum w:abstractNumId="121">
    <w:nsid w:val="7AB49DAF"/>
    <w:multiLevelType w:val="hybridMultilevel"/>
    <w:lvl w:ilvl="0">
      <w:lvlJc w:val="left"/>
      <w:lvlText w:val="(%1)"/>
      <w:numFmt w:val="lowerRoman"/>
      <w:start w:val="15"/>
    </w:lvl>
  </w:abstractNum>
  <w:abstractNum w:abstractNumId="122">
    <w:nsid w:val="759F82CD"/>
    <w:multiLevelType w:val="hybridMultilevel"/>
    <w:lvl w:ilvl="0">
      <w:lvlJc w:val="left"/>
      <w:lvlText w:val="(%1)"/>
      <w:numFmt w:val="lowerRoman"/>
      <w:start w:val="20"/>
    </w:lvl>
  </w:abstractNum>
  <w:abstractNum w:abstractNumId="123">
    <w:nsid w:val="61E74EA3"/>
    <w:multiLevelType w:val="hybridMultilevel"/>
    <w:lvl w:ilvl="0">
      <w:lvlJc w:val="left"/>
      <w:lvlText w:val="(%1)"/>
      <w:numFmt w:val="lowerRoman"/>
      <w:start w:val="25"/>
    </w:lvl>
  </w:abstractNum>
  <w:abstractNum w:abstractNumId="124">
    <w:nsid w:val="597B4D84"/>
    <w:multiLevelType w:val="hybridMultilevel"/>
    <w:lvl w:ilvl="0">
      <w:lvlJc w:val="left"/>
      <w:lvlText w:val="(%1)"/>
      <w:numFmt w:val="lowerRoman"/>
      <w:start w:val="29"/>
    </w:lvl>
  </w:abstractNum>
  <w:abstractNum w:abstractNumId="125">
    <w:nsid w:val="F819E7F"/>
    <w:multiLevelType w:val="hybridMultilevel"/>
    <w:lvl w:ilvl="0">
      <w:lvlJc w:val="left"/>
      <w:lvlText w:val="(%1)"/>
      <w:numFmt w:val="lowerRoman"/>
      <w:start w:val="33"/>
    </w:lvl>
  </w:abstractNum>
  <w:abstractNum w:abstractNumId="126">
    <w:nsid w:val="57C7D42D"/>
    <w:multiLevelType w:val="hybridMultilevel"/>
    <w:lvl w:ilvl="0">
      <w:lvlJc w:val="left"/>
      <w:lvlText w:val="(%1)"/>
      <w:numFmt w:val="lowerRoman"/>
      <w:start w:val="37"/>
    </w:lvl>
  </w:abstractNum>
  <w:abstractNum w:abstractNumId="127">
    <w:nsid w:val="312167AD"/>
    <w:multiLevelType w:val="hybridMultilevel"/>
    <w:lvl w:ilvl="0">
      <w:lvlJc w:val="left"/>
      <w:lvlText w:val="(%1)"/>
      <w:numFmt w:val="lowerLetter"/>
      <w:start w:val="12"/>
    </w:lvl>
  </w:abstractNum>
  <w:abstractNum w:abstractNumId="128">
    <w:nsid w:val="631B64D4"/>
    <w:multiLevelType w:val="hybridMultilevel"/>
    <w:lvl w:ilvl="0">
      <w:lvlJc w:val="left"/>
      <w:lvlText w:val="%1."/>
      <w:numFmt w:val="decimal"/>
      <w:start w:val="2"/>
    </w:lvl>
  </w:abstractNum>
  <w:abstractNum w:abstractNumId="129">
    <w:nsid w:val="78B5E776"/>
    <w:multiLevelType w:val="hybridMultilevel"/>
    <w:lvl w:ilvl="0">
      <w:lvlJc w:val="left"/>
      <w:lvlText w:val="%1."/>
      <w:numFmt w:val="decimal"/>
      <w:start w:val="3"/>
    </w:lvl>
  </w:abstractNum>
  <w:abstractNum w:abstractNumId="130">
    <w:nsid w:val="75486E47"/>
    <w:multiLevelType w:val="hybridMultilevel"/>
    <w:lvl w:ilvl="0">
      <w:lvlJc w:val="left"/>
      <w:lvlText w:val="(%1)"/>
      <w:numFmt w:val="lowerLetter"/>
      <w:start w:val="2"/>
    </w:lvl>
  </w:abstractNum>
  <w:abstractNum w:abstractNumId="131">
    <w:nsid w:val="6E534CDE"/>
    <w:multiLevelType w:val="hybridMultilevel"/>
    <w:lvl w:ilvl="0">
      <w:lvlJc w:val="left"/>
      <w:lvlText w:val="%1."/>
      <w:numFmt w:val="decimal"/>
      <w:start w:val="5"/>
    </w:lvl>
  </w:abstractNum>
  <w:abstractNum w:abstractNumId="132">
    <w:nsid w:val="1A0DDE32"/>
    <w:multiLevelType w:val="hybridMultilevel"/>
    <w:lvl w:ilvl="0">
      <w:lvlJc w:val="left"/>
      <w:lvlText w:val="(%1)"/>
      <w:numFmt w:val="lowerLetter"/>
      <w:start w:val="1"/>
    </w:lvl>
  </w:abstractNum>
  <w:abstractNum w:abstractNumId="133">
    <w:nsid w:val="65968C1C"/>
    <w:multiLevelType w:val="hybridMultilevel"/>
    <w:lvl w:ilvl="0">
      <w:lvlJc w:val="left"/>
      <w:lvlText w:val="%1"/>
      <w:numFmt w:val="lowerLetter"/>
      <w:start w:val="1"/>
    </w:lvl>
    <w:lvl w:ilvl="1">
      <w:lvlJc w:val="left"/>
      <w:lvlText w:val="(%2)"/>
      <w:numFmt w:val="lowerLetter"/>
      <w:start w:val="3"/>
    </w:lvl>
  </w:abstractNum>
  <w:abstractNum w:abstractNumId="134">
    <w:nsid w:val="46263DEC"/>
    <w:multiLevelType w:val="hybridMultilevel"/>
    <w:lvl w:ilvl="0">
      <w:lvlJc w:val="left"/>
      <w:lvlText w:val="(%1)"/>
      <w:numFmt w:val="lowerLetter"/>
      <w:start w:val="25"/>
    </w:lvl>
    <w:lvl w:ilvl="1">
      <w:lvlJc w:val="left"/>
      <w:lvlText w:val="%2"/>
      <w:numFmt w:val="lowerLetter"/>
      <w:start w:val="1"/>
    </w:lvl>
  </w:abstractNum>
  <w:abstractNum w:abstractNumId="135">
    <w:nsid w:val="260D8C4A"/>
    <w:multiLevelType w:val="hybridMultilevel"/>
    <w:lvl w:ilvl="0">
      <w:lvlJc w:val="left"/>
      <w:lvlText w:val="(%1)"/>
      <w:numFmt w:val="lowerLetter"/>
      <w:start w:val="6"/>
    </w:lvl>
  </w:abstractNum>
  <w:abstractNum w:abstractNumId="136">
    <w:nsid w:val="73D4D3C4"/>
    <w:multiLevelType w:val="hybridMultilevel"/>
    <w:lvl w:ilvl="0">
      <w:lvlJc w:val="left"/>
      <w:lvlText w:val="%1."/>
      <w:numFmt w:val="decimal"/>
      <w:start w:val="6"/>
    </w:lvl>
  </w:abstractNum>
  <w:abstractNum w:abstractNumId="137">
    <w:nsid w:val="746F2E30"/>
    <w:multiLevelType w:val="hybridMultilevel"/>
    <w:lvl w:ilvl="0">
      <w:lvlJc w:val="left"/>
      <w:lvlText w:val="(%1)"/>
      <w:numFmt w:val="lowerLetter"/>
      <w:start w:val="2"/>
    </w:lvl>
  </w:abstractNum>
  <w:abstractNum w:abstractNumId="138">
    <w:nsid w:val="6FDE8AF6"/>
    <w:multiLevelType w:val="hybridMultilevel"/>
    <w:lvl w:ilvl="0">
      <w:lvlJc w:val="left"/>
      <w:lvlText w:val="(%1)"/>
      <w:numFmt w:val="lowerLetter"/>
      <w:start w:val="3"/>
    </w:lvl>
  </w:abstractNum>
  <w:abstractNum w:abstractNumId="139">
    <w:nsid w:val="3FC32E20"/>
    <w:multiLevelType w:val="hybridMultilevel"/>
    <w:lvl w:ilvl="0">
      <w:lvlJc w:val="left"/>
      <w:lvlText w:val="%1."/>
      <w:numFmt w:val="decimal"/>
      <w:start w:val="7"/>
    </w:lvl>
  </w:abstractNum>
  <w:abstractNum w:abstractNumId="140">
    <w:nsid w:val="49C0E823"/>
    <w:multiLevelType w:val="hybridMultilevel"/>
    <w:lvl w:ilvl="0">
      <w:lvlJc w:val="left"/>
      <w:lvlText w:val="%1"/>
      <w:numFmt w:val="lowerLetter"/>
      <w:start w:val="1"/>
    </w:lvl>
    <w:lvl w:ilvl="1">
      <w:lvlJc w:val="left"/>
      <w:lvlText w:val="(%2)"/>
      <w:numFmt w:val="lowerLetter"/>
      <w:start w:val="1"/>
    </w:lvl>
  </w:abstractNum>
  <w:abstractNum w:abstractNumId="141">
    <w:nsid w:val="14D53685"/>
    <w:multiLevelType w:val="hybridMultilevel"/>
    <w:lvl w:ilvl="0">
      <w:lvlJc w:val="left"/>
      <w:lvlText w:val="(%1)"/>
      <w:numFmt w:val="lowerLetter"/>
      <w:start w:val="61"/>
    </w:lvl>
    <w:lvl w:ilvl="1">
      <w:lvlJc w:val="left"/>
      <w:lvlText w:val="%2"/>
      <w:numFmt w:val="lowerLetter"/>
      <w:start w:val="1"/>
    </w:lvl>
  </w:abstractNum>
  <w:abstractNum w:abstractNumId="142">
    <w:nsid w:val="230F856C"/>
    <w:multiLevelType w:val="hybridMultilevel"/>
    <w:lvl w:ilvl="0">
      <w:lvlJc w:val="left"/>
      <w:lvlText w:val="(%1)"/>
      <w:numFmt w:val="lowerLetter"/>
      <w:start w:val="2"/>
    </w:lvl>
  </w:abstractNum>
  <w:abstractNum w:abstractNumId="143">
    <w:nsid w:val="6EAA85FB"/>
    <w:multiLevelType w:val="hybridMultilevel"/>
    <w:lvl w:ilvl="0">
      <w:lvlJc w:val="left"/>
      <w:lvlText w:val="%1."/>
      <w:numFmt w:val="decimal"/>
      <w:start w:val="8"/>
    </w:lvl>
  </w:abstractNum>
  <w:abstractNum w:abstractNumId="144">
    <w:nsid w:val="3F06ECB2"/>
    <w:multiLevelType w:val="hybridMultilevel"/>
    <w:lvl w:ilvl="0">
      <w:lvlJc w:val="left"/>
      <w:lvlText w:val="(%1)"/>
      <w:numFmt w:val="lowerLetter"/>
      <w:start w:val="1"/>
    </w:lvl>
  </w:abstractNum>
  <w:abstractNum w:abstractNumId="145">
    <w:nsid w:val="3B594807"/>
    <w:multiLevelType w:val="hybridMultilevel"/>
    <w:lvl w:ilvl="0">
      <w:lvlJc w:val="left"/>
      <w:lvlText w:val="(%1)"/>
      <w:numFmt w:val="lowerLetter"/>
      <w:start w:val="6"/>
    </w:lvl>
  </w:abstractNum>
  <w:abstractNum w:abstractNumId="146">
    <w:nsid w:val="6CAA2304"/>
    <w:multiLevelType w:val="hybridMultilevel"/>
    <w:lvl w:ilvl="0">
      <w:lvlJc w:val="left"/>
      <w:lvlText w:val="%1."/>
      <w:numFmt w:val="decimal"/>
      <w:start w:val="9"/>
    </w:lvl>
    <w:lvl w:ilvl="1">
      <w:lvlJc w:val="left"/>
      <w:lvlText w:val="(%2)"/>
      <w:numFmt w:val="lowerLetter"/>
      <w:start w:val="2"/>
    </w:lvl>
  </w:abstractNum>
  <w:abstractNum w:abstractNumId="147">
    <w:nsid w:val="3F7C2FF4"/>
    <w:multiLevelType w:val="hybridMultilevel"/>
    <w:lvl w:ilvl="0">
      <w:lvlJc w:val="left"/>
      <w:lvlText w:val="(%1)"/>
      <w:numFmt w:val="lowerLetter"/>
      <w:start w:val="3"/>
    </w:lvl>
  </w:abstractNum>
  <w:abstractNum w:abstractNumId="148">
    <w:nsid w:val="25413BEC"/>
    <w:multiLevelType w:val="hybridMultilevel"/>
    <w:lvl w:ilvl="0">
      <w:lvlJc w:val="left"/>
      <w:lvlText w:val="(%1)"/>
      <w:numFmt w:val="lowerLetter"/>
      <w:start w:val="4"/>
    </w:lvl>
  </w:abstractNum>
  <w:abstractNum w:abstractNumId="149">
    <w:nsid w:val="17180B0B"/>
    <w:multiLevelType w:val="hybridMultilevel"/>
    <w:lvl w:ilvl="0">
      <w:lvlJc w:val="left"/>
      <w:lvlText w:val="%1"/>
      <w:numFmt w:val="decimal"/>
      <w:start w:val="1"/>
    </w:lvl>
    <w:lvl w:ilvl="1">
      <w:lvlJc w:val="left"/>
      <w:lvlText w:val="(%2)"/>
      <w:numFmt w:val="lowerLetter"/>
      <w:start w:val="2"/>
    </w:lvl>
  </w:abstractNum>
  <w:abstractNum w:abstractNumId="150">
    <w:nsid w:val="579328B9"/>
    <w:multiLevelType w:val="hybridMultilevel"/>
    <w:lvl w:ilvl="0">
      <w:lvlJc w:val="left"/>
      <w:lvlText w:val="%1."/>
      <w:numFmt w:val="decimal"/>
      <w:start w:val="11"/>
    </w:lvl>
    <w:lvl w:ilvl="1">
      <w:lvlJc w:val="left"/>
      <w:lvlText w:val="%2"/>
      <w:numFmt w:val="lowerLetter"/>
      <w:start w:val="1"/>
    </w:lvl>
  </w:abstractNum>
  <w:abstractNum w:abstractNumId="151">
    <w:nsid w:val="5D205E20"/>
    <w:multiLevelType w:val="hybridMultilevel"/>
    <w:lvl w:ilvl="0">
      <w:lvlJc w:val="left"/>
      <w:lvlText w:val="%1."/>
      <w:numFmt w:val="decimal"/>
      <w:start w:val="12"/>
    </w:lvl>
  </w:abstractNum>
  <w:abstractNum w:abstractNumId="152">
    <w:nsid w:val="11CCA8BA"/>
    <w:multiLevelType w:val="hybridMultilevel"/>
    <w:lvl w:ilvl="0">
      <w:lvlJc w:val="left"/>
      <w:lvlText w:val="%1."/>
      <w:numFmt w:val="decimal"/>
      <w:start w:val="14"/>
    </w:lvl>
  </w:abstractNum>
  <w:abstractNum w:abstractNumId="153">
    <w:nsid w:val="4D32AB86"/>
    <w:multiLevelType w:val="hybridMultilevel"/>
    <w:lvl w:ilvl="0">
      <w:lvlJc w:val="left"/>
      <w:lvlText w:val="%1."/>
      <w:numFmt w:val="decimal"/>
      <w:start w:val="23"/>
    </w:lvl>
    <w:lvl w:ilvl="1">
      <w:lvlJc w:val="left"/>
      <w:lvlText w:val="(%2)"/>
      <w:numFmt w:val="lowerLetter"/>
      <w:start w:val="1"/>
    </w:lvl>
  </w:abstractNum>
  <w:abstractNum w:abstractNumId="154">
    <w:nsid w:val="3F07ACC3"/>
    <w:multiLevelType w:val="hybridMultilevel"/>
    <w:lvl w:ilvl="0">
      <w:lvlJc w:val="left"/>
      <w:lvlText w:val="(%1)"/>
      <w:numFmt w:val="lowerLetter"/>
      <w:start w:val="1"/>
    </w:lvl>
  </w:abstractNum>
  <w:abstractNum w:abstractNumId="155">
    <w:nsid w:val="6B47F63E"/>
    <w:multiLevelType w:val="hybridMultilevel"/>
    <w:lvl w:ilvl="0">
      <w:lvlJc w:val="left"/>
      <w:lvlText w:val="1"/>
      <w:numFmt w:val="bullet"/>
      <w:start w:val="1"/>
    </w:lvl>
  </w:abstractNum>
  <w:abstractNum w:abstractNumId="156">
    <w:nsid w:val="5CB44A05"/>
    <w:multiLevelType w:val="hybridMultilevel"/>
    <w:lvl w:ilvl="0">
      <w:lvlJc w:val="left"/>
      <w:lvlText w:val="%1"/>
      <w:numFmt w:val="lowerLetter"/>
      <w:start w:val="1"/>
    </w:lvl>
    <w:lvl w:ilvl="1">
      <w:lvlJc w:val="left"/>
      <w:lvlText w:val="(%2)"/>
      <w:numFmt w:val="decimal"/>
      <w:start w:val="1"/>
    </w:lvl>
  </w:abstractNum>
  <w:abstractNum w:abstractNumId="157">
    <w:nsid w:val="16CF80F1"/>
    <w:multiLevelType w:val="hybridMultilevel"/>
    <w:lvl w:ilvl="0">
      <w:lvlJc w:val="left"/>
      <w:lvlText w:val="(%1)"/>
      <w:numFmt w:val="lowerLetter"/>
      <w:start w:val="25"/>
    </w:lvl>
    <w:lvl w:ilvl="1">
      <w:lvlJc w:val="left"/>
      <w:lvlText w:val="(%2)"/>
      <w:numFmt w:val="decimal"/>
      <w:start w:val="2"/>
    </w:lvl>
  </w:abstractNum>
  <w:abstractNum w:abstractNumId="158">
    <w:nsid w:val="1C695DEC"/>
    <w:multiLevelType w:val="hybridMultilevel"/>
    <w:lvl w:ilvl="0">
      <w:lvlJc w:val="left"/>
      <w:lvlText w:val="(%1)"/>
      <w:numFmt w:val="decimal"/>
      <w:start w:val="5"/>
    </w:lvl>
  </w:abstractNum>
  <w:abstractNum w:abstractNumId="159">
    <w:nsid w:val="3FCFAED9"/>
    <w:multiLevelType w:val="hybridMultilevel"/>
    <w:lvl w:ilvl="0">
      <w:lvlJc w:val="left"/>
      <w:lvlText w:val="2"/>
      <w:numFmt w:val="bullet"/>
      <w:start w:val="1"/>
    </w:lvl>
  </w:abstractNum>
  <w:abstractNum w:abstractNumId="160">
    <w:nsid w:val="F856867"/>
    <w:multiLevelType w:val="hybridMultilevel"/>
    <w:lvl w:ilvl="0">
      <w:lvlJc w:val="left"/>
      <w:lvlText w:val="3"/>
      <w:numFmt w:val="bullet"/>
      <w:start w:val="1"/>
    </w:lvl>
  </w:abstractNum>
  <w:abstractNum w:abstractNumId="161">
    <w:nsid w:val="11B1CC33"/>
    <w:multiLevelType w:val="hybridMultilevel"/>
    <w:lvl w:ilvl="0">
      <w:lvlJc w:val="left"/>
      <w:lvlText w:val="(%1)"/>
      <w:numFmt w:val="lowerLetter"/>
      <w:start w:val="1"/>
    </w:lvl>
  </w:abstractNum>
  <w:abstractNum w:abstractNumId="162">
    <w:nsid w:val="2E22FBB7"/>
    <w:multiLevelType w:val="hybridMultilevel"/>
    <w:lvl w:ilvl="0">
      <w:lvlJc w:val="left"/>
      <w:lvlText w:val="(%1)"/>
      <w:numFmt w:val="lowerRoman"/>
      <w:start w:val="13"/>
    </w:lvl>
  </w:abstractNum>
  <w:abstractNum w:abstractNumId="163">
    <w:nsid w:val="29934699"/>
    <w:multiLevelType w:val="hybridMultilevel"/>
    <w:lvl w:ilvl="0">
      <w:lvlJc w:val="left"/>
      <w:lvlText w:val="4"/>
      <w:numFmt w:val="bullet"/>
      <w:start w:val="1"/>
    </w:lvl>
  </w:abstractNum>
  <w:abstractNum w:abstractNumId="164">
    <w:nsid w:val="77485850"/>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jpe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14" Type="http://schemas.openxmlformats.org/officeDocument/2006/relationships/image" Target="media/image290.png"/><Relationship Id="rId315" Type="http://schemas.openxmlformats.org/officeDocument/2006/relationships/image" Target="media/image291.png"/><Relationship Id="rId327" Type="http://schemas.openxmlformats.org/officeDocument/2006/relationships/image" Target="media/image292.png"/><Relationship Id="rId328" Type="http://schemas.openxmlformats.org/officeDocument/2006/relationships/image" Target="media/image293.png"/><Relationship Id="rId329" Type="http://schemas.openxmlformats.org/officeDocument/2006/relationships/image" Target="media/image294.png"/><Relationship Id="rId330" Type="http://schemas.openxmlformats.org/officeDocument/2006/relationships/image" Target="media/image295.png"/><Relationship Id="rId331" Type="http://schemas.openxmlformats.org/officeDocument/2006/relationships/image" Target="media/image296.png"/><Relationship Id="rId332" Type="http://schemas.openxmlformats.org/officeDocument/2006/relationships/image" Target="media/image297.png"/><Relationship Id="rId333" Type="http://schemas.openxmlformats.org/officeDocument/2006/relationships/image" Target="media/image298.png"/><Relationship Id="rId334" Type="http://schemas.openxmlformats.org/officeDocument/2006/relationships/image" Target="media/image299.png"/><Relationship Id="rId335" Type="http://schemas.openxmlformats.org/officeDocument/2006/relationships/image" Target="media/image300.png"/><Relationship Id="rId336" Type="http://schemas.openxmlformats.org/officeDocument/2006/relationships/image" Target="media/image301.png"/><Relationship Id="rId337" Type="http://schemas.openxmlformats.org/officeDocument/2006/relationships/image" Target="media/image302.png"/><Relationship Id="rId338" Type="http://schemas.openxmlformats.org/officeDocument/2006/relationships/image" Target="media/image303.png"/><Relationship Id="rId339" Type="http://schemas.openxmlformats.org/officeDocument/2006/relationships/image" Target="media/image304.png"/><Relationship Id="rId340" Type="http://schemas.openxmlformats.org/officeDocument/2006/relationships/image" Target="media/image305.png"/><Relationship Id="rId341" Type="http://schemas.openxmlformats.org/officeDocument/2006/relationships/image" Target="media/image306.png"/><Relationship Id="rId342" Type="http://schemas.openxmlformats.org/officeDocument/2006/relationships/image" Target="media/image307.png"/><Relationship Id="rId343" Type="http://schemas.openxmlformats.org/officeDocument/2006/relationships/image" Target="media/image308.png"/><Relationship Id="rId344" Type="http://schemas.openxmlformats.org/officeDocument/2006/relationships/image" Target="media/image309.png"/><Relationship Id="rId345" Type="http://schemas.openxmlformats.org/officeDocument/2006/relationships/image" Target="media/image310.png"/><Relationship Id="rId346" Type="http://schemas.openxmlformats.org/officeDocument/2006/relationships/image" Target="media/image311.png"/><Relationship Id="rId347" Type="http://schemas.openxmlformats.org/officeDocument/2006/relationships/image" Target="media/image312.png"/><Relationship Id="rId348" Type="http://schemas.openxmlformats.org/officeDocument/2006/relationships/image" Target="media/image313.png"/><Relationship Id="rId349" Type="http://schemas.openxmlformats.org/officeDocument/2006/relationships/image" Target="media/image314.png"/><Relationship Id="rId350" Type="http://schemas.openxmlformats.org/officeDocument/2006/relationships/image" Target="media/image315.png"/><Relationship Id="rId351" Type="http://schemas.openxmlformats.org/officeDocument/2006/relationships/image" Target="media/image316.png"/><Relationship Id="rId352" Type="http://schemas.openxmlformats.org/officeDocument/2006/relationships/image" Target="media/image317.png"/><Relationship Id="rId353" Type="http://schemas.openxmlformats.org/officeDocument/2006/relationships/image" Target="media/image318.png"/><Relationship Id="rId354" Type="http://schemas.openxmlformats.org/officeDocument/2006/relationships/image" Target="media/image319.png"/><Relationship Id="rId355" Type="http://schemas.openxmlformats.org/officeDocument/2006/relationships/image" Target="media/image320.png"/><Relationship Id="rId356" Type="http://schemas.openxmlformats.org/officeDocument/2006/relationships/image" Target="media/image321.png"/><Relationship Id="rId357" Type="http://schemas.openxmlformats.org/officeDocument/2006/relationships/image" Target="media/image322.png"/><Relationship Id="rId358" Type="http://schemas.openxmlformats.org/officeDocument/2006/relationships/image" Target="media/image323.png"/><Relationship Id="rId359" Type="http://schemas.openxmlformats.org/officeDocument/2006/relationships/image" Target="media/image324.png"/><Relationship Id="rId360" Type="http://schemas.openxmlformats.org/officeDocument/2006/relationships/image" Target="media/image325.png"/><Relationship Id="rId361" Type="http://schemas.openxmlformats.org/officeDocument/2006/relationships/image" Target="media/image326.png"/><Relationship Id="rId362" Type="http://schemas.openxmlformats.org/officeDocument/2006/relationships/image" Target="media/image327.png"/><Relationship Id="rId363" Type="http://schemas.openxmlformats.org/officeDocument/2006/relationships/image" Target="media/image328.png"/><Relationship Id="rId364" Type="http://schemas.openxmlformats.org/officeDocument/2006/relationships/image" Target="media/image329.png"/><Relationship Id="rId365" Type="http://schemas.openxmlformats.org/officeDocument/2006/relationships/image" Target="media/image330.png"/><Relationship Id="rId366" Type="http://schemas.openxmlformats.org/officeDocument/2006/relationships/image" Target="media/image331.png"/><Relationship Id="rId367" Type="http://schemas.openxmlformats.org/officeDocument/2006/relationships/image" Target="media/image332.png"/><Relationship Id="rId368" Type="http://schemas.openxmlformats.org/officeDocument/2006/relationships/image" Target="media/image333.png"/><Relationship Id="rId369" Type="http://schemas.openxmlformats.org/officeDocument/2006/relationships/image" Target="media/image334.png"/><Relationship Id="rId370" Type="http://schemas.openxmlformats.org/officeDocument/2006/relationships/image" Target="media/image335.png"/><Relationship Id="rId371" Type="http://schemas.openxmlformats.org/officeDocument/2006/relationships/image" Target="media/image336.png"/><Relationship Id="rId372" Type="http://schemas.openxmlformats.org/officeDocument/2006/relationships/image" Target="media/image337.png"/><Relationship Id="rId373" Type="http://schemas.openxmlformats.org/officeDocument/2006/relationships/image" Target="media/image338.png"/><Relationship Id="rId374" Type="http://schemas.openxmlformats.org/officeDocument/2006/relationships/image" Target="media/image339.png"/><Relationship Id="rId375" Type="http://schemas.openxmlformats.org/officeDocument/2006/relationships/image" Target="media/image340.png"/><Relationship Id="rId376" Type="http://schemas.openxmlformats.org/officeDocument/2006/relationships/image" Target="media/image341.png"/><Relationship Id="rId377" Type="http://schemas.openxmlformats.org/officeDocument/2006/relationships/image" Target="media/image342.png"/><Relationship Id="rId378" Type="http://schemas.openxmlformats.org/officeDocument/2006/relationships/image" Target="media/image343.png"/><Relationship Id="rId379" Type="http://schemas.openxmlformats.org/officeDocument/2006/relationships/image" Target="media/image344.png"/><Relationship Id="rId380" Type="http://schemas.openxmlformats.org/officeDocument/2006/relationships/image" Target="media/image345.png"/><Relationship Id="rId381" Type="http://schemas.openxmlformats.org/officeDocument/2006/relationships/image" Target="media/image346.png"/><Relationship Id="rId382" Type="http://schemas.openxmlformats.org/officeDocument/2006/relationships/image" Target="media/image347.png"/><Relationship Id="rId383" Type="http://schemas.openxmlformats.org/officeDocument/2006/relationships/image" Target="media/image348.png"/><Relationship Id="rId384" Type="http://schemas.openxmlformats.org/officeDocument/2006/relationships/image" Target="media/image349.png"/><Relationship Id="rId385" Type="http://schemas.openxmlformats.org/officeDocument/2006/relationships/image" Target="media/image350.png"/><Relationship Id="rId386" Type="http://schemas.openxmlformats.org/officeDocument/2006/relationships/image" Target="media/image351.png"/><Relationship Id="rId387" Type="http://schemas.openxmlformats.org/officeDocument/2006/relationships/image" Target="media/image352.png"/><Relationship Id="rId388" Type="http://schemas.openxmlformats.org/officeDocument/2006/relationships/image" Target="media/image353.png"/><Relationship Id="rId389" Type="http://schemas.openxmlformats.org/officeDocument/2006/relationships/image" Target="media/image354.png"/><Relationship Id="rId390" Type="http://schemas.openxmlformats.org/officeDocument/2006/relationships/image" Target="media/image355.png"/><Relationship Id="rId282" Type="http://schemas.openxmlformats.org/officeDocument/2006/relationships/hyperlink" Target="http://www.sec.gov/Archives/edgar/data/1758730/000155837020001170/tw-20191231x10k.htm" TargetMode="External"/><Relationship Id="rId285" Type="http://schemas.openxmlformats.org/officeDocument/2006/relationships/hyperlink" Target="http://www.sec.gov/Archives/edgar/data/1758730/000155837020002031/tw-20191231x10ka.htm" TargetMode="External"/><Relationship Id="rId286" Type="http://schemas.openxmlformats.org/officeDocument/2006/relationships/hyperlink" Target="http://www.sec.gov/Archives/edgar/data/1758730/000110465920045230/tm209417-2_def14a.htm" TargetMode="External"/><Relationship Id="rId287" Type="http://schemas.openxmlformats.org/officeDocument/2006/relationships/hyperlink" Target="http://www.sec.gov/Archives/edgar/data/1758730/000110465920038559/tm2013826d1_8k.htm" TargetMode="External"/><Relationship Id="rId301" Type="http://schemas.openxmlformats.org/officeDocument/2006/relationships/hyperlink" Target="http://www.sec.gov/Archives/edgar/data/1758730/000114420419018920/tv518458_ex3-1.htm" TargetMode="External"/><Relationship Id="rId302" Type="http://schemas.openxmlformats.org/officeDocument/2006/relationships/hyperlink" Target="http://www.sec.gov/Archives/edgar/data/1758730/000114420419018920/tv518458_ex3-2.htm" TargetMode="External"/><Relationship Id="rId303" Type="http://schemas.openxmlformats.org/officeDocument/2006/relationships/hyperlink" Target="http://www.sec.gov/Archives/edgar/data/1758730/000114420419015220/tv516514_ex4-1.htm" TargetMode="External"/><Relationship Id="rId304" Type="http://schemas.openxmlformats.org/officeDocument/2006/relationships/hyperlink" Target="http://www.sec.gov/Archives/edgar/data/1758730/000110465919030556/a19-9947_1ex10d1.htm" TargetMode="External"/><Relationship Id="rId305" Type="http://schemas.openxmlformats.org/officeDocument/2006/relationships/hyperlink" Target="http://www.sec.gov/Archives/edgar/data/1758730/000110465919030556/a19-9947_1ex10d2.htm" TargetMode="External"/><Relationship Id="rId306" Type="http://schemas.openxmlformats.org/officeDocument/2006/relationships/hyperlink" Target="http://www.sec.gov/Archives/edgar/data/1758730/000110465919030556/a19-9947_1ex10d3.htm" TargetMode="External"/><Relationship Id="rId307" Type="http://schemas.openxmlformats.org/officeDocument/2006/relationships/hyperlink" Target="http://www.sec.gov/Archives/edgar/data/1758730/000110465919030556/a19-9947_1ex10d4.htm" TargetMode="External"/><Relationship Id="rId308" Type="http://schemas.openxmlformats.org/officeDocument/2006/relationships/hyperlink" Target="http://www.sec.gov/Archives/edgar/data/1758730/000110465919030556/a19-9947_1ex10d5.htm" TargetMode="External"/><Relationship Id="rId309" Type="http://schemas.openxmlformats.org/officeDocument/2006/relationships/hyperlink" Target="http://www.sec.gov/Archives/edgar/data/1758730/000110465919054160/tv529956_ex10-6.htm" TargetMode="External"/><Relationship Id="rId310" Type="http://schemas.openxmlformats.org/officeDocument/2006/relationships/hyperlink" Target="http://www.sec.gov/Archives/edgar/data/1758730/000110465919054160/tv529956_ex10-7.htm" TargetMode="External"/><Relationship Id="rId311" Type="http://schemas.openxmlformats.org/officeDocument/2006/relationships/hyperlink" Target="http://www.sec.gov/Archives/edgar/data/1758730/000110465919030556/a19-9947_1ex10d6.htm" TargetMode="External"/><Relationship Id="rId312" Type="http://schemas.openxmlformats.org/officeDocument/2006/relationships/hyperlink" Target="http://www.sec.gov/Archives/edgar/data/1758730/000155837019010595/tw-20190930ex1011b90d3.htm" TargetMode="External"/><Relationship Id="rId313" Type="http://schemas.openxmlformats.org/officeDocument/2006/relationships/hyperlink" Target="http://www.sec.gov/Archives/edgar/data/1758730/000110465919030556/a19-9947_1ex10d7.htm" TargetMode="External"/><Relationship Id="rId316" Type="http://schemas.openxmlformats.org/officeDocument/2006/relationships/hyperlink" Target="http://www.sec.gov/Archives/edgar/data/1758730/000114420419015220/tv516514_ex10-8.htm" TargetMode="External"/><Relationship Id="rId317" Type="http://schemas.openxmlformats.org/officeDocument/2006/relationships/hyperlink" Target="http://www.sec.gov/Archives/edgar/data/1758730/000114420419015220/tv516514_ex10-9.htm" TargetMode="External"/><Relationship Id="rId318" Type="http://schemas.openxmlformats.org/officeDocument/2006/relationships/hyperlink" Target="http://www.sec.gov/Archives/edgar/data/1758730/000110465919030556/a19-9947_1ex10d8.htm" TargetMode="External"/><Relationship Id="rId319" Type="http://schemas.openxmlformats.org/officeDocument/2006/relationships/hyperlink" Target="http://www.sec.gov/Archives/edgar/data/1758730/000114420419015220/tv516514_ex10-11.htm" TargetMode="External"/><Relationship Id="rId320" Type="http://schemas.openxmlformats.org/officeDocument/2006/relationships/hyperlink" Target="http://www.sec.gov/Archives/edgar/data/1758730/000110465919030556/a19-9947_1ex10d9.htm" TargetMode="External"/><Relationship Id="rId321" Type="http://schemas.openxmlformats.org/officeDocument/2006/relationships/hyperlink" Target="http://www.sec.gov/Archives/edgar/data/1758730/000114420419015220/tv516514_ex10-13.htm" TargetMode="External"/><Relationship Id="rId322" Type="http://schemas.openxmlformats.org/officeDocument/2006/relationships/hyperlink" Target="http://www.sec.gov/Archives/edgar/data/1758730/000110465919030556/a19-9947_1ex10d10.htm" TargetMode="External"/><Relationship Id="rId323" Type="http://schemas.openxmlformats.org/officeDocument/2006/relationships/hyperlink" Target="http://www.sec.gov/Archives/edgar/data/1758730/000110465919030556/a19-9947_1ex10d11.htm" TargetMode="External"/><Relationship Id="rId324" Type="http://schemas.openxmlformats.org/officeDocument/2006/relationships/hyperlink" Target="http://www.sec.gov/Archives/edgar/data/1758730/000114420419012677/tv513417_ex10-14.htm" TargetMode="External"/><Relationship Id="rId325" Type="http://schemas.openxmlformats.org/officeDocument/2006/relationships/hyperlink" Target="http://www.sec.gov/Archives/edgar/data/1758730/000114420419015706/tv515721_ex10-16.htm" TargetMode="External"/><Relationship Id="rId326" Type="http://schemas.openxmlformats.org/officeDocument/2006/relationships/hyperlink" Target="http://www.sec.gov/Archives/edgar/data/1758730/000155837020001170/tw-20191231ex21104a5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2020-04-20T16:08:31Z</dcterms:created>
  <dcterms:modified xsi:type="dcterms:W3CDTF">2020-04-20T16:08:31Z</dcterms:modified>
</cp:coreProperties>
</file>