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60005" cy="9946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60005" cy="99460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24A9BF"/>
        </w:rPr>
        <w:t xml:space="preserve">2024 </w:t>
      </w:r>
      <w:r>
        <w:rPr>
          <w:rFonts w:ascii="Arial" w:cs="Arial" w:eastAsia="Arial" w:hAnsi="Arial"/>
          <w:sz w:val="18"/>
          <w:szCs w:val="18"/>
          <w:color w:val="FFFFFF"/>
        </w:rPr>
        <w:t>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140"/>
        <w:spacing w:after="0"/>
        <w:rPr>
          <w:sz w:val="20"/>
          <w:szCs w:val="20"/>
          <w:color w:val="auto"/>
        </w:rPr>
      </w:pPr>
      <w:r>
        <w:rPr>
          <w:rFonts w:ascii="Arial" w:cs="Arial" w:eastAsia="Arial" w:hAnsi="Arial"/>
          <w:sz w:val="72"/>
          <w:szCs w:val="72"/>
          <w:color w:val="24A9BF"/>
        </w:rPr>
        <w:t>Redefining</w:t>
      </w:r>
    </w:p>
    <w:p>
      <w:pPr>
        <w:ind w:left="140"/>
        <w:spacing w:after="0"/>
        <w:rPr>
          <w:sz w:val="20"/>
          <w:szCs w:val="20"/>
          <w:color w:val="auto"/>
        </w:rPr>
      </w:pPr>
      <w:r>
        <w:rPr>
          <w:rFonts w:ascii="Arial" w:cs="Arial" w:eastAsia="Arial" w:hAnsi="Arial"/>
          <w:sz w:val="61"/>
          <w:szCs w:val="61"/>
          <w:color w:val="FFFFFF"/>
        </w:rPr>
        <w:t>Electronic Trading</w:t>
      </w:r>
    </w:p>
    <w:p>
      <w:pPr>
        <w:sectPr>
          <w:pgSz w:w="12060" w:h="15663" w:orient="portrait"/>
          <w:cols w:equalWidth="0" w:num="1">
            <w:col w:w="9183"/>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60005" cy="9946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60005" cy="994600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152"/>
        <w:spacing w:after="0"/>
        <w:rPr>
          <w:sz w:val="20"/>
          <w:szCs w:val="20"/>
          <w:color w:val="auto"/>
        </w:rPr>
      </w:pPr>
      <w:r>
        <w:rPr>
          <w:rFonts w:ascii="Arial" w:cs="Arial" w:eastAsia="Arial" w:hAnsi="Arial"/>
          <w:sz w:val="72"/>
          <w:szCs w:val="72"/>
          <w:color w:val="24A9BF"/>
        </w:rPr>
        <w:t>Redefining</w:t>
      </w:r>
    </w:p>
    <w:p>
      <w:pPr>
        <w:ind w:left="1152"/>
        <w:spacing w:after="0" w:line="214" w:lineRule="auto"/>
        <w:rPr>
          <w:sz w:val="20"/>
          <w:szCs w:val="20"/>
          <w:color w:val="auto"/>
        </w:rPr>
      </w:pPr>
      <w:r>
        <w:rPr>
          <w:rFonts w:ascii="Arial" w:cs="Arial" w:eastAsia="Arial" w:hAnsi="Arial"/>
          <w:sz w:val="72"/>
          <w:szCs w:val="72"/>
          <w:color w:val="FFFFFF"/>
        </w:rPr>
        <w:t>Electronic Trading</w:t>
      </w:r>
    </w:p>
    <w:p>
      <w:pPr>
        <w:spacing w:after="0" w:line="200" w:lineRule="exact"/>
        <w:rPr>
          <w:sz w:val="20"/>
          <w:szCs w:val="20"/>
          <w:color w:val="auto"/>
        </w:rPr>
      </w:pPr>
    </w:p>
    <w:p>
      <w:pPr>
        <w:spacing w:after="0" w:line="386"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72"/>
          <w:szCs w:val="72"/>
          <w:color w:val="FFFFFF"/>
        </w:rPr>
        <w:t>“</w:t>
      </w:r>
    </w:p>
    <w:p>
      <w:pPr>
        <w:ind w:left="1232" w:right="1200"/>
        <w:spacing w:after="0" w:line="322" w:lineRule="auto"/>
        <w:rPr>
          <w:sz w:val="20"/>
          <w:szCs w:val="20"/>
          <w:color w:val="auto"/>
        </w:rPr>
      </w:pPr>
      <w:r>
        <w:rPr>
          <w:rFonts w:ascii="Arial" w:cs="Arial" w:eastAsia="Arial" w:hAnsi="Arial"/>
          <w:sz w:val="28"/>
          <w:szCs w:val="28"/>
          <w:color w:val="FFFFFF"/>
        </w:rPr>
        <w:t>In 2024, Tradeweb reinforced its central position in modern financial markets. As geopolitical shifts, market structure changes and evolving sources of liquidity reshaped the landscape, we provided the tools and technology to help markets adapt and grow. Clients accelerated their use of algorithmic trading, digital assets gained ground and cross-asset workflows became even more efficient. Our focus on automation, AI and liquidity solutions keeps us at the forefront of market innovation. In 2025, we will continue to push for smarter, faster and more connected financial markets—together with our clients.</w:t>
      </w:r>
      <w:r>
        <w:rPr>
          <w:rFonts w:ascii="Times New Roman" w:cs="Times New Roman" w:eastAsia="Times New Roman" w:hAnsi="Times New Roman"/>
          <w:sz w:val="28"/>
          <w:szCs w:val="28"/>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212" w:type="dxa"/>
        <w:tblCellMar>
          <w:top w:w="0" w:type="dxa"/>
          <w:left w:w="0" w:type="dxa"/>
          <w:bottom w:w="0" w:type="dxa"/>
          <w:right w:w="0" w:type="dxa"/>
        </w:tblCellMar>
      </w:tblPr>
      <w:tr>
        <w:trPr>
          <w:trHeight w:val="414"/>
        </w:trPr>
        <w:tc>
          <w:tcPr>
            <w:tcW w:w="1460" w:type="dxa"/>
            <w:vAlign w:val="bottom"/>
          </w:tcPr>
          <w:p>
            <w:pPr>
              <w:spacing w:after="0"/>
              <w:rPr>
                <w:sz w:val="20"/>
                <w:szCs w:val="20"/>
                <w:color w:val="auto"/>
              </w:rPr>
            </w:pPr>
            <w:r>
              <w:rPr>
                <w:rFonts w:ascii="Arial" w:cs="Arial" w:eastAsia="Arial" w:hAnsi="Arial"/>
                <w:sz w:val="36"/>
                <w:szCs w:val="36"/>
                <w:color w:val="00002F"/>
              </w:rPr>
              <w:t>$1.7B</w:t>
            </w:r>
          </w:p>
        </w:tc>
        <w:tc>
          <w:tcPr>
            <w:tcW w:w="1020" w:type="dxa"/>
            <w:vAlign w:val="bottom"/>
          </w:tcPr>
          <w:p>
            <w:pPr>
              <w:ind w:left="160"/>
              <w:spacing w:after="0"/>
              <w:rPr>
                <w:sz w:val="20"/>
                <w:szCs w:val="20"/>
                <w:color w:val="auto"/>
              </w:rPr>
            </w:pPr>
            <w:r>
              <w:rPr>
                <w:rFonts w:ascii="Arial" w:cs="Arial" w:eastAsia="Arial" w:hAnsi="Arial"/>
                <w:sz w:val="36"/>
                <w:szCs w:val="36"/>
                <w:color w:val="FFFFFF"/>
              </w:rPr>
              <w:t>50+</w:t>
            </w:r>
          </w:p>
        </w:tc>
        <w:tc>
          <w:tcPr>
            <w:tcW w:w="1060" w:type="dxa"/>
            <w:vAlign w:val="bottom"/>
          </w:tcPr>
          <w:p>
            <w:pPr>
              <w:ind w:left="200"/>
              <w:spacing w:after="0"/>
              <w:rPr>
                <w:sz w:val="20"/>
                <w:szCs w:val="20"/>
                <w:color w:val="auto"/>
              </w:rPr>
            </w:pPr>
            <w:r>
              <w:rPr>
                <w:rFonts w:ascii="Arial" w:cs="Arial" w:eastAsia="Arial" w:hAnsi="Arial"/>
                <w:sz w:val="36"/>
                <w:szCs w:val="36"/>
                <w:color w:val="FFFFFF"/>
              </w:rPr>
              <w:t>85+</w:t>
            </w:r>
          </w:p>
        </w:tc>
        <w:tc>
          <w:tcPr>
            <w:tcW w:w="1300" w:type="dxa"/>
            <w:vAlign w:val="bottom"/>
          </w:tcPr>
          <w:p>
            <w:pPr>
              <w:ind w:left="180"/>
              <w:spacing w:after="0"/>
              <w:rPr>
                <w:sz w:val="20"/>
                <w:szCs w:val="20"/>
                <w:color w:val="auto"/>
              </w:rPr>
            </w:pPr>
            <w:r>
              <w:rPr>
                <w:rFonts w:ascii="Arial" w:cs="Arial" w:eastAsia="Arial" w:hAnsi="Arial"/>
                <w:sz w:val="36"/>
                <w:szCs w:val="36"/>
                <w:color w:val="FFFFFF"/>
                <w:w w:val="98"/>
              </w:rPr>
              <w:t>3,000+</w:t>
            </w:r>
          </w:p>
        </w:tc>
        <w:tc>
          <w:tcPr>
            <w:tcW w:w="1660" w:type="dxa"/>
            <w:vAlign w:val="bottom"/>
          </w:tcPr>
          <w:p>
            <w:pPr>
              <w:ind w:left="140"/>
              <w:spacing w:after="0"/>
              <w:rPr>
                <w:sz w:val="20"/>
                <w:szCs w:val="20"/>
                <w:color w:val="auto"/>
              </w:rPr>
            </w:pPr>
            <w:r>
              <w:rPr>
                <w:rFonts w:ascii="Arial" w:cs="Arial" w:eastAsia="Arial" w:hAnsi="Arial"/>
                <w:sz w:val="36"/>
                <w:szCs w:val="36"/>
                <w:color w:val="FFFFFF"/>
              </w:rPr>
              <w:t>$2.2T</w:t>
            </w:r>
          </w:p>
        </w:tc>
        <w:tc>
          <w:tcPr>
            <w:tcW w:w="1320" w:type="dxa"/>
            <w:vAlign w:val="bottom"/>
          </w:tcPr>
          <w:p>
            <w:pPr>
              <w:ind w:left="140"/>
              <w:spacing w:after="0"/>
              <w:rPr>
                <w:sz w:val="20"/>
                <w:szCs w:val="20"/>
                <w:color w:val="auto"/>
              </w:rPr>
            </w:pPr>
            <w:r>
              <w:rPr>
                <w:rFonts w:ascii="Arial" w:cs="Arial" w:eastAsia="Arial" w:hAnsi="Arial"/>
                <w:sz w:val="36"/>
                <w:szCs w:val="36"/>
                <w:color w:val="FFFFFF"/>
              </w:rPr>
              <w:t>400+</w:t>
            </w:r>
          </w:p>
        </w:tc>
        <w:tc>
          <w:tcPr>
            <w:tcW w:w="1520" w:type="dxa"/>
            <w:vAlign w:val="bottom"/>
          </w:tcPr>
          <w:p>
            <w:pPr>
              <w:ind w:left="200"/>
              <w:spacing w:after="0"/>
              <w:rPr>
                <w:sz w:val="20"/>
                <w:szCs w:val="20"/>
                <w:color w:val="auto"/>
              </w:rPr>
            </w:pPr>
            <w:r>
              <w:rPr>
                <w:rFonts w:ascii="Arial" w:cs="Arial" w:eastAsia="Arial" w:hAnsi="Arial"/>
                <w:sz w:val="36"/>
                <w:szCs w:val="36"/>
                <w:color w:val="FFFFFF"/>
                <w:w w:val="85"/>
              </w:rPr>
              <w:t>150,000+</w:t>
            </w:r>
          </w:p>
        </w:tc>
      </w:tr>
      <w:tr>
        <w:trPr>
          <w:trHeight w:val="302"/>
        </w:trPr>
        <w:tc>
          <w:tcPr>
            <w:tcW w:w="1460" w:type="dxa"/>
            <w:vAlign w:val="bottom"/>
          </w:tcPr>
          <w:p>
            <w:pPr>
              <w:spacing w:after="0"/>
              <w:rPr>
                <w:sz w:val="20"/>
                <w:szCs w:val="20"/>
                <w:color w:val="auto"/>
              </w:rPr>
            </w:pPr>
            <w:r>
              <w:rPr>
                <w:rFonts w:ascii="Arial" w:cs="Arial" w:eastAsia="Arial" w:hAnsi="Arial"/>
                <w:sz w:val="18"/>
                <w:szCs w:val="18"/>
                <w:color w:val="FFFFFF"/>
              </w:rPr>
              <w:t>full-year revenues</w:t>
            </w:r>
          </w:p>
        </w:tc>
        <w:tc>
          <w:tcPr>
            <w:tcW w:w="1020" w:type="dxa"/>
            <w:vAlign w:val="bottom"/>
          </w:tcPr>
          <w:p>
            <w:pPr>
              <w:ind w:left="160"/>
              <w:spacing w:after="0"/>
              <w:rPr>
                <w:sz w:val="20"/>
                <w:szCs w:val="20"/>
                <w:color w:val="auto"/>
              </w:rPr>
            </w:pPr>
            <w:r>
              <w:rPr>
                <w:rFonts w:ascii="Arial" w:cs="Arial" w:eastAsia="Arial" w:hAnsi="Arial"/>
                <w:sz w:val="18"/>
                <w:szCs w:val="18"/>
                <w:color w:val="FFFFFF"/>
              </w:rPr>
              <w:t>products</w:t>
            </w:r>
          </w:p>
        </w:tc>
        <w:tc>
          <w:tcPr>
            <w:tcW w:w="1060" w:type="dxa"/>
            <w:vAlign w:val="bottom"/>
          </w:tcPr>
          <w:p>
            <w:pPr>
              <w:ind w:left="200"/>
              <w:spacing w:after="0"/>
              <w:rPr>
                <w:sz w:val="20"/>
                <w:szCs w:val="20"/>
                <w:color w:val="auto"/>
              </w:rPr>
            </w:pPr>
            <w:r>
              <w:rPr>
                <w:rFonts w:ascii="Arial" w:cs="Arial" w:eastAsia="Arial" w:hAnsi="Arial"/>
                <w:sz w:val="18"/>
                <w:szCs w:val="18"/>
                <w:color w:val="FFFFFF"/>
              </w:rPr>
              <w:t>countries</w:t>
            </w:r>
          </w:p>
        </w:tc>
        <w:tc>
          <w:tcPr>
            <w:tcW w:w="1300" w:type="dxa"/>
            <w:vAlign w:val="bottom"/>
          </w:tcPr>
          <w:p>
            <w:pPr>
              <w:ind w:left="180"/>
              <w:spacing w:after="0"/>
              <w:rPr>
                <w:sz w:val="20"/>
                <w:szCs w:val="20"/>
                <w:color w:val="auto"/>
              </w:rPr>
            </w:pPr>
            <w:r>
              <w:rPr>
                <w:rFonts w:ascii="Arial" w:cs="Arial" w:eastAsia="Arial" w:hAnsi="Arial"/>
                <w:sz w:val="18"/>
                <w:szCs w:val="18"/>
                <w:color w:val="FFFFFF"/>
              </w:rPr>
              <w:t>clients</w:t>
            </w:r>
          </w:p>
        </w:tc>
        <w:tc>
          <w:tcPr>
            <w:tcW w:w="1660" w:type="dxa"/>
            <w:vAlign w:val="bottom"/>
          </w:tcPr>
          <w:p>
            <w:pPr>
              <w:ind w:left="140"/>
              <w:spacing w:after="0"/>
              <w:rPr>
                <w:sz w:val="20"/>
                <w:szCs w:val="20"/>
                <w:color w:val="auto"/>
              </w:rPr>
            </w:pPr>
            <w:r>
              <w:rPr>
                <w:rFonts w:ascii="Arial" w:cs="Arial" w:eastAsia="Arial" w:hAnsi="Arial"/>
                <w:sz w:val="18"/>
                <w:szCs w:val="18"/>
                <w:color w:val="FFFFFF"/>
              </w:rPr>
              <w:t>full-year average</w:t>
            </w:r>
          </w:p>
        </w:tc>
        <w:tc>
          <w:tcPr>
            <w:tcW w:w="1320" w:type="dxa"/>
            <w:vAlign w:val="bottom"/>
          </w:tcPr>
          <w:p>
            <w:pPr>
              <w:ind w:left="140"/>
              <w:spacing w:after="0"/>
              <w:rPr>
                <w:sz w:val="20"/>
                <w:szCs w:val="20"/>
                <w:color w:val="auto"/>
              </w:rPr>
            </w:pPr>
            <w:r>
              <w:rPr>
                <w:rFonts w:ascii="Arial" w:cs="Arial" w:eastAsia="Arial" w:hAnsi="Arial"/>
                <w:sz w:val="18"/>
                <w:szCs w:val="18"/>
                <w:color w:val="FFFFFF"/>
              </w:rPr>
              <w:t>technologists</w:t>
            </w:r>
          </w:p>
        </w:tc>
        <w:tc>
          <w:tcPr>
            <w:tcW w:w="1520" w:type="dxa"/>
            <w:vAlign w:val="bottom"/>
          </w:tcPr>
          <w:p>
            <w:pPr>
              <w:ind w:left="200"/>
              <w:spacing w:after="0"/>
              <w:rPr>
                <w:sz w:val="20"/>
                <w:szCs w:val="20"/>
                <w:color w:val="auto"/>
              </w:rPr>
            </w:pPr>
            <w:r>
              <w:rPr>
                <w:rFonts w:ascii="Arial" w:cs="Arial" w:eastAsia="Arial" w:hAnsi="Arial"/>
                <w:sz w:val="18"/>
                <w:szCs w:val="18"/>
                <w:color w:val="FFFFFF"/>
              </w:rPr>
              <w:t>daily trades</w:t>
            </w: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FFFFFF"/>
              </w:rPr>
              <w:t>DECEMBER 31, 2024</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FFFFFF"/>
                <w:w w:val="97"/>
              </w:rPr>
              <w:t>daily volume (ADV)</w:t>
            </w:r>
          </w:p>
        </w:tc>
        <w:tc>
          <w:tcPr>
            <w:tcW w:w="1320" w:type="dxa"/>
            <w:vAlign w:val="bottom"/>
          </w:tcPr>
          <w:p>
            <w:pPr>
              <w:spacing w:after="0"/>
              <w:rPr>
                <w:sz w:val="18"/>
                <w:szCs w:val="18"/>
                <w:color w:val="auto"/>
              </w:rPr>
            </w:pPr>
          </w:p>
        </w:tc>
        <w:tc>
          <w:tcPr>
            <w:tcW w:w="1520" w:type="dxa"/>
            <w:vAlign w:val="bottom"/>
          </w:tcPr>
          <w:p>
            <w:pPr>
              <w:ind w:left="200"/>
              <w:spacing w:after="0"/>
              <w:rPr>
                <w:sz w:val="20"/>
                <w:szCs w:val="20"/>
                <w:color w:val="auto"/>
              </w:rPr>
            </w:pPr>
            <w:r>
              <w:rPr>
                <w:rFonts w:ascii="Arial" w:cs="Arial" w:eastAsia="Arial" w:hAnsi="Arial"/>
                <w:sz w:val="18"/>
                <w:szCs w:val="18"/>
                <w:color w:val="FFFFFF"/>
              </w:rPr>
              <w:t>on average</w:t>
            </w:r>
          </w:p>
        </w:tc>
      </w:tr>
      <w:tr>
        <w:trPr>
          <w:trHeight w:val="192"/>
        </w:trPr>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FFFFFF"/>
              </w:rPr>
              <w:t>DECEMBER 31, 2024</w:t>
            </w:r>
          </w:p>
        </w:tc>
        <w:tc>
          <w:tcPr>
            <w:tcW w:w="1320" w:type="dxa"/>
            <w:vAlign w:val="bottom"/>
          </w:tcPr>
          <w:p>
            <w:pPr>
              <w:spacing w:after="0"/>
              <w:rPr>
                <w:sz w:val="16"/>
                <w:szCs w:val="16"/>
                <w:color w:val="auto"/>
              </w:rPr>
            </w:pPr>
          </w:p>
        </w:tc>
        <w:tc>
          <w:tcPr>
            <w:tcW w:w="1520" w:type="dxa"/>
            <w:vAlign w:val="bottom"/>
          </w:tcPr>
          <w:p>
            <w:pPr>
              <w:ind w:left="200"/>
              <w:spacing w:after="0"/>
              <w:rPr>
                <w:sz w:val="20"/>
                <w:szCs w:val="20"/>
                <w:color w:val="auto"/>
              </w:rPr>
            </w:pPr>
            <w:r>
              <w:rPr>
                <w:rFonts w:ascii="Arial" w:cs="Arial" w:eastAsia="Arial" w:hAnsi="Arial"/>
                <w:sz w:val="14"/>
                <w:szCs w:val="14"/>
                <w:color w:val="FFFFFF"/>
                <w:w w:val="94"/>
              </w:rPr>
              <w:t>DECEMBER 31, 2024</w:t>
            </w:r>
          </w:p>
        </w:tc>
      </w:tr>
    </w:tbl>
    <w:p>
      <w:pPr>
        <w:spacing w:after="0" w:line="200" w:lineRule="exact"/>
        <w:rPr>
          <w:sz w:val="20"/>
          <w:szCs w:val="20"/>
          <w:color w:val="auto"/>
        </w:rPr>
      </w:pPr>
    </w:p>
    <w:p>
      <w:pPr>
        <w:sectPr>
          <w:pgSz w:w="12060" w:h="15663" w:orient="portrait"/>
          <w:cols w:equalWidth="0" w:num="1">
            <w:col w:w="10552"/>
          </w:cols>
          <w:pgMar w:left="728" w:top="1440" w:right="783" w:bottom="8" w:gutter="0" w:footer="0" w:header="0"/>
        </w:sectPr>
      </w:pPr>
    </w:p>
    <w:p>
      <w:pPr>
        <w:spacing w:after="0" w:line="99" w:lineRule="exact"/>
        <w:rPr>
          <w:sz w:val="20"/>
          <w:szCs w:val="20"/>
          <w:color w:val="auto"/>
        </w:rPr>
      </w:pPr>
    </w:p>
    <w:p>
      <w:pPr>
        <w:ind w:left="312" w:hanging="312"/>
        <w:spacing w:after="0"/>
        <w:tabs>
          <w:tab w:leader="none" w:pos="312" w:val="left"/>
        </w:tabs>
        <w:numPr>
          <w:ilvl w:val="0"/>
          <w:numId w:val="1"/>
        </w:numPr>
        <w:rPr>
          <w:rFonts w:ascii="Arial" w:cs="Arial" w:eastAsia="Arial" w:hAnsi="Arial"/>
          <w:sz w:val="13"/>
          <w:szCs w:val="13"/>
          <w:color w:val="00002F"/>
        </w:rPr>
      </w:pPr>
      <w:r>
        <w:rPr>
          <w:rFonts w:ascii="Arial" w:cs="Arial" w:eastAsia="Arial" w:hAnsi="Arial"/>
          <w:sz w:val="13"/>
          <w:szCs w:val="13"/>
          <w:color w:val="00002F"/>
        </w:rPr>
        <w:t>TRADEWEB MARKETS</w:t>
      </w:r>
    </w:p>
    <w:p>
      <w:pPr>
        <w:sectPr>
          <w:pgSz w:w="12060" w:h="15663" w:orient="portrait"/>
          <w:cols w:equalWidth="0" w:num="1">
            <w:col w:w="10552"/>
          </w:cols>
          <w:pgMar w:left="728" w:top="1440" w:right="783" w:bottom="8" w:gutter="0" w:footer="0" w:header="0"/>
          <w:type w:val="continuous"/>
        </w:sectPr>
      </w:pPr>
    </w:p>
    <w:bookmarkStart w:id="2" w:name="page3"/>
    <w:bookmarkEnd w:id="2"/>
    <w:p>
      <w:pPr>
        <w:ind w:left="2980"/>
        <w:spacing w:after="0"/>
        <w:rPr>
          <w:sz w:val="20"/>
          <w:szCs w:val="20"/>
          <w:color w:val="auto"/>
        </w:rPr>
      </w:pPr>
      <w:r>
        <w:rPr>
          <w:rFonts w:ascii="Arial" w:cs="Arial" w:eastAsia="Arial" w:hAnsi="Arial"/>
          <w:sz w:val="24"/>
          <w:szCs w:val="24"/>
          <w:color w:val="00568F"/>
        </w:rPr>
        <mc:AlternateContent>
          <mc:Choice Requires="wps">
            <w:drawing>
              <wp:anchor simplePos="0" relativeHeight="251657728" behindDoc="1" locked="0" layoutInCell="0" allowOverlap="1">
                <wp:simplePos x="0" y="0"/>
                <wp:positionH relativeFrom="page">
                  <wp:posOffset>-3810</wp:posOffset>
                </wp:positionH>
                <wp:positionV relativeFrom="page">
                  <wp:posOffset>0</wp:posOffset>
                </wp:positionV>
                <wp:extent cx="762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2999pt,0pt" to="0.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12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499pt,0pt" to="0.05pt,0pt" o:allowincell="f" strokecolor="#000000" strokeweight="0.125pt">
                <w10:wrap anchorx="page" anchory="page"/>
              </v:line>
            </w:pict>
          </mc:Fallback>
        </mc:AlternateContent>
        <mc:AlternateContent>
          <mc:Choice Requires="wps">
            <w:drawing>
              <wp:anchor simplePos="0" relativeHeight="251657728" behindDoc="1" locked="0" layoutInCell="0" allowOverlap="1">
                <wp:simplePos x="0" y="0"/>
                <wp:positionH relativeFrom="page">
                  <wp:posOffset>7653655</wp:posOffset>
                </wp:positionH>
                <wp:positionV relativeFrom="page">
                  <wp:posOffset>0</wp:posOffset>
                </wp:positionV>
                <wp:extent cx="825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2.65pt,0pt" to="603.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7656830</wp:posOffset>
                </wp:positionH>
                <wp:positionV relativeFrom="page">
                  <wp:posOffset>0</wp:posOffset>
                </wp:positionV>
                <wp:extent cx="19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2.9pt,0pt" to="603.05pt,0pt" o:allowincell="f" strokecolor="#000000" strokeweight="0.125pt">
                <w10:wrap anchorx="page" anchory="page"/>
              </v:line>
            </w:pict>
          </mc:Fallback>
        </mc:AlternateContent>
        <w:t>TO MY FELLOW SHAREHOLDERS,</w:t>
      </w:r>
    </w:p>
    <w:p>
      <w:pPr>
        <w:spacing w:after="0" w:line="224" w:lineRule="exact"/>
        <w:rPr>
          <w:sz w:val="20"/>
          <w:szCs w:val="20"/>
          <w:color w:val="auto"/>
        </w:rPr>
      </w:pPr>
    </w:p>
    <w:p>
      <w:pPr>
        <w:ind w:left="2980" w:right="180"/>
        <w:spacing w:after="0" w:line="313" w:lineRule="auto"/>
        <w:rPr>
          <w:sz w:val="20"/>
          <w:szCs w:val="20"/>
          <w:color w:val="auto"/>
        </w:rPr>
      </w:pPr>
      <w:r>
        <w:rPr>
          <w:rFonts w:ascii="Arial" w:cs="Arial" w:eastAsia="Arial" w:hAnsi="Arial"/>
          <w:sz w:val="28"/>
          <w:szCs w:val="28"/>
          <w:color w:val="auto"/>
        </w:rPr>
        <w:t>As Tradeweb approaches nearly three decades of driving the electronification of markets, we are pleased to report another remarkable year of growth and client collaboration. In 2024, we achieved record trading activity across many of our products, we successfully integrated key strategic acquisitions and we continued the expansion of our international business. Our revenue grew 29% to $1.7 billion year over year, which is a testament to our track record of listening to clients, our relentless delivery of technological solutions, and resulting market share gains. Our clients remain our focal point as we enhance our technology, expanding their access to liquidity and to tools that optimize trading. The acquisition of ICD in 2024 further strengthened our network, adding corporate treasurers to our family of clients. Ambition is core to our identity at Tradeweb, driving us to act in the best interests of our company, employees, clients and importantly,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-1179830</wp:posOffset>
            </wp:positionV>
            <wp:extent cx="3612515" cy="4900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3612515" cy="490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4"/>
          <w:szCs w:val="24"/>
          <w:color w:val="auto"/>
        </w:rPr>
        <w:t>Billy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-151765</wp:posOffset>
            </wp:positionV>
            <wp:extent cx="2513965" cy="781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2513965" cy="78105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6"/>
          <w:szCs w:val="16"/>
          <w:color w:val="auto"/>
        </w:rPr>
        <w:t>CHIEF EXECUTIVE OFFICER,</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TRADEWEB MARKETS</w:t>
      </w:r>
    </w:p>
    <w:p>
      <w:pPr>
        <w:sectPr>
          <w:pgSz w:w="12060" w:h="15660" w:orient="portrait"/>
          <w:cols w:equalWidth="0" w:num="1">
            <w:col w:w="9900"/>
          </w:cols>
          <w:pgMar w:left="1440" w:top="1321" w:right="7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100"/>
        <w:spacing w:after="0"/>
        <w:tabs>
          <w:tab w:leader="none" w:pos="9720" w:val="left"/>
        </w:tabs>
        <w:rPr>
          <w:sz w:val="20"/>
          <w:szCs w:val="20"/>
          <w:color w:val="auto"/>
        </w:rPr>
      </w:pPr>
      <w:r>
        <w:rPr>
          <w:rFonts w:ascii="Arial" w:cs="Arial" w:eastAsia="Arial" w:hAnsi="Arial"/>
          <w:sz w:val="16"/>
          <w:szCs w:val="16"/>
          <w:color w:val="00002F"/>
        </w:rPr>
        <w:t>TRADEWEB MARKETS</w:t>
      </w:r>
      <w:r>
        <w:rPr>
          <w:sz w:val="20"/>
          <w:szCs w:val="20"/>
          <w:color w:val="auto"/>
        </w:rPr>
        <w:tab/>
      </w:r>
      <w:r>
        <w:rPr>
          <w:rFonts w:ascii="Arial" w:cs="Arial" w:eastAsia="Arial" w:hAnsi="Arial"/>
          <w:sz w:val="14"/>
          <w:szCs w:val="14"/>
          <w:color w:val="00002F"/>
        </w:rPr>
        <w:t>01</w:t>
      </w:r>
    </w:p>
    <w:p>
      <w:pPr>
        <w:sectPr>
          <w:pgSz w:w="12060" w:h="15660" w:orient="portrait"/>
          <w:cols w:equalWidth="0" w:num="1">
            <w:col w:w="9900"/>
          </w:cols>
          <w:pgMar w:left="1440" w:top="1321" w:right="720" w:bottom="6" w:gutter="0" w:footer="0" w:header="0"/>
          <w:type w:val="continuous"/>
        </w:sectPr>
      </w:pPr>
    </w:p>
    <w:bookmarkStart w:id="3" w:name="page4"/>
    <w:bookmarkEnd w:id="3"/>
    <w:p>
      <w:pPr>
        <w:spacing w:after="0" w:line="2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-3810</wp:posOffset>
                </wp:positionH>
                <wp:positionV relativeFrom="page">
                  <wp:posOffset>0</wp:posOffset>
                </wp:positionV>
                <wp:extent cx="76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2999pt,0pt" to="0.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12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499pt,0pt" to="0.05pt,0pt" o:allowincell="f" strokecolor="#000000" strokeweight="0.125pt">
                <w10:wrap anchorx="page" anchory="page"/>
              </v:line>
            </w:pict>
          </mc:Fallback>
        </mc:AlternateContent>
      </w:r>
    </w:p>
    <w:p>
      <w:pPr>
        <w:spacing w:after="0"/>
        <w:rPr>
          <w:sz w:val="20"/>
          <w:szCs w:val="20"/>
          <w:color w:val="auto"/>
        </w:rPr>
      </w:pPr>
      <w:r>
        <w:rPr>
          <w:rFonts w:ascii="Arial" w:cs="Arial" w:eastAsia="Arial" w:hAnsi="Arial"/>
          <w:sz w:val="18"/>
          <w:szCs w:val="18"/>
          <w:color w:val="00568F"/>
        </w:rPr>
        <w:t>2024 AWARD HIGHLIGHTS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00568F"/>
        </w:rPr>
        <w:t>America’s Best Companies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FORBES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Best Financial Services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Companies to Work For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U.S. NEWS &amp; WORLD REPORT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Best Sustainable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Companies to Own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MORNINGSTAR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RFQ Platform of the Year,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ETF Stream Awards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ETF STREAM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Multi-Asset Trading</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System of the Year,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Asia Pacific Awards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FOW</w:t>
      </w:r>
    </w:p>
    <w:p>
      <w:pPr>
        <w:spacing w:after="0" w:line="277" w:lineRule="exact"/>
        <w:rPr>
          <w:sz w:val="20"/>
          <w:szCs w:val="20"/>
          <w:color w:val="auto"/>
        </w:rPr>
      </w:pPr>
    </w:p>
    <w:p>
      <w:pPr>
        <w:ind w:right="960"/>
        <w:spacing w:after="0" w:line="241" w:lineRule="auto"/>
        <w:rPr>
          <w:sz w:val="20"/>
          <w:szCs w:val="20"/>
          <w:color w:val="auto"/>
        </w:rPr>
      </w:pPr>
      <w:r>
        <w:rPr>
          <w:rFonts w:ascii="Arial" w:cs="Arial" w:eastAsia="Arial" w:hAnsi="Arial"/>
          <w:sz w:val="16"/>
          <w:szCs w:val="16"/>
          <w:color w:val="00568F"/>
        </w:rPr>
        <w:t>Notable Leaders in Finance —  Billy Hult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CRAIN’S NEW YORK BUSINESS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Most Influential in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European Finance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Enrico Bruni</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FINANCIAL NEWS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 xml:space="preserve">CFO of the Year —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Sara Furber,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Markets Choice Awards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MARKETS MEDIA</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68F"/>
        </w:rPr>
        <w:t>Notable General Counsel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568F"/>
        </w:rPr>
        <w:t>Doug Friedman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CRAIN’S NEW YORK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2444115</wp:posOffset>
            </wp:positionV>
            <wp:extent cx="2486025" cy="59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2486025" cy="590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568F"/>
        </w:rPr>
        <w:t>Leading Our Markets</w:t>
      </w:r>
    </w:p>
    <w:p>
      <w:pPr>
        <w:spacing w:after="0" w:line="162"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Strong growth in 2024 was driven by double-digit revenue increases across rates, credit, money markets and our market data business. Rates and credit continued to lead, accounting for 54% and 24% of our revenue growth, respectively. The resilience and diversity of our revenue growth were evident across asset classes and client channels, with the institutional and wholesale channels contributing 62% and 19%, respectively.</w:t>
      </w:r>
    </w:p>
    <w:p>
      <w:pPr>
        <w:spacing w:after="0" w:line="232"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continued to expand our market share in U.S. Treasuries, global swaps and global credit, while also scaling our global Exchange-Traded Fund (ETF) offerings and further digitizing the repo market. As a result, we achieved record revenues across global government bonds, mortgages, global swaps, U.S. and European credit, municipal bonds, global ETFs, equity derivatives, global repos and market data.</w:t>
      </w:r>
    </w:p>
    <w:p>
      <w:pPr>
        <w:spacing w:after="0" w:line="240" w:lineRule="exact"/>
        <w:rPr>
          <w:sz w:val="20"/>
          <w:szCs w:val="20"/>
          <w:color w:val="auto"/>
        </w:rPr>
      </w:pPr>
    </w:p>
    <w:p>
      <w:pPr>
        <w:spacing w:after="0" w:line="332" w:lineRule="auto"/>
        <w:rPr>
          <w:sz w:val="20"/>
          <w:szCs w:val="20"/>
          <w:color w:val="auto"/>
        </w:rPr>
      </w:pPr>
      <w:r>
        <w:rPr>
          <w:rFonts w:ascii="Arial" w:cs="Arial" w:eastAsia="Arial" w:hAnsi="Arial"/>
          <w:sz w:val="15"/>
          <w:szCs w:val="15"/>
          <w:color w:val="auto"/>
        </w:rPr>
        <w:t>2024 was another milestone year for our credit business and we believe the best is yet to come. We ended the year as the #1 player in U.S. electronic High Grade (HG) Credit and achieved record fully electronic share of U.S High Yield (HY) Credit in Q4, reflecting our ongoing investments on behalf of our clients. We continue to focus on leading with innovation through portfolio trading (PT), which resonates with our clients and is synonymous with Tradeweb. In addition, some of our strongest revenue growth in credit stems from our continued investments in request for quote (RFQ)/all-to-all (A2A) and our wholesale business. Since 2019, we have grown our quarterly fully electronic U.S. HG and U.S. HY market share by over 1,400 and 650 basis points, respectively.</w:t>
      </w:r>
      <w:r>
        <w:rPr>
          <w:rFonts w:ascii="Arial" w:cs="Arial" w:eastAsia="Arial" w:hAnsi="Arial"/>
          <w:sz w:val="17"/>
          <w:szCs w:val="17"/>
          <w:color w:val="auto"/>
          <w:vertAlign w:val="superscript"/>
        </w:rPr>
        <w:t>1</w:t>
      </w:r>
      <w:r>
        <w:rPr>
          <w:rFonts w:ascii="Arial" w:cs="Arial" w:eastAsia="Arial" w:hAnsi="Arial"/>
          <w:sz w:val="15"/>
          <w:szCs w:val="15"/>
          <w:color w:val="auto"/>
        </w:rPr>
        <w:t xml:space="preserve"> Over this same period, growth in our share of fully electronic U.S. HG was driven by a mix of approximately 25% RFQ, approximately 40% PT and approximately 35% sessions protocol, while growth in our share of fully electronic U.S. HY came from a mix of approximately 50% RFQ, approximately 40% PT and approximately 10% sessions protocol.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ind w:right="460"/>
        <w:spacing w:after="0" w:line="333" w:lineRule="auto"/>
        <w:rPr>
          <w:sz w:val="20"/>
          <w:szCs w:val="20"/>
          <w:color w:val="auto"/>
        </w:rPr>
      </w:pPr>
      <w:r>
        <w:rPr>
          <w:rFonts w:ascii="Arial" w:cs="Arial" w:eastAsia="Arial" w:hAnsi="Arial"/>
          <w:sz w:val="15"/>
          <w:szCs w:val="15"/>
          <w:color w:val="auto"/>
        </w:rPr>
        <w:t>Beyond global credit, our international business remains a key growth engine.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2497455</wp:posOffset>
                </wp:positionH>
                <wp:positionV relativeFrom="paragraph">
                  <wp:posOffset>-1158240</wp:posOffset>
                </wp:positionV>
                <wp:extent cx="825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65pt,-91.1999pt" to="197.3pt,-91.1999pt" o:allowincell="f" strokecolor="#FFFFFF" strokeweight="0.625pt"/>
            </w:pict>
          </mc:Fallback>
        </mc:AlternateContent>
        <mc:AlternateContent>
          <mc:Choice Requires="wps">
            <w:drawing>
              <wp:anchor simplePos="0" relativeHeight="251657728" behindDoc="1" locked="0" layoutInCell="0" allowOverlap="1">
                <wp:simplePos x="0" y="0"/>
                <wp:positionH relativeFrom="column">
                  <wp:posOffset>2500630</wp:posOffset>
                </wp:positionH>
                <wp:positionV relativeFrom="paragraph">
                  <wp:posOffset>-1158240</wp:posOffset>
                </wp:positionV>
                <wp:extent cx="190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9pt,-91.1999pt" to="197.05pt,-91.1999pt" o:allowincell="f" strokecolor="#000000" strokeweight="0.125pt"/>
            </w:pict>
          </mc:Fallback>
        </mc:AlternateContent>
      </w:r>
    </w:p>
    <w:p>
      <w:pPr>
        <w:spacing w:after="0" w:line="313" w:lineRule="auto"/>
        <w:rPr>
          <w:sz w:val="20"/>
          <w:szCs w:val="20"/>
          <w:color w:val="auto"/>
        </w:rPr>
      </w:pPr>
      <w:r>
        <w:rPr>
          <w:rFonts w:ascii="Arial" w:cs="Arial" w:eastAsia="Arial" w:hAnsi="Arial"/>
          <w:sz w:val="16"/>
          <w:szCs w:val="16"/>
          <w:color w:val="auto"/>
        </w:rPr>
        <w:t>In 2024, international revenues grew 36.4% on both a reported and constant currency basis. APAC and emerging markets are strategic priorities, with our APAC business spanning rates, credit, equities and money markets. APAC volumes more than doubled year-over-year and active client participation in APAC products increased over 20%. Notably, more than 20% of our 2024 APAC product variable revenues came from products that were not on our platform in 2019, highlighting the growing diversity of our APAC business. As we continue expanding in APAC, we are also seeing increased engagement from APAC clients in non-APAC products, reinforcing our global reach.</w:t>
      </w:r>
    </w:p>
    <w:p>
      <w:pPr>
        <w:spacing w:after="0" w:line="240"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Despite relatively quiet ETF markets in 2024, we believe that the long-term growth trajectory of ETFs remains strong. We have continued investing in our ETF offering and have seen strong product adoption within our equity derivatives franchise. Notably, our equities business surpassed the $100 million revenue threshold for the first time in our history, as we continued to enhance the client experience across the trade lifecycle.</w:t>
      </w:r>
    </w:p>
    <w:p>
      <w:pPr>
        <w:spacing w:after="0" w:line="24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Another area of opportunity is our market data business, where we are focused on modernizing the fixed income market.</w:t>
      </w:r>
    </w:p>
    <w:p>
      <w:pPr>
        <w:spacing w:after="0" w:line="2"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In 2024, we expanded our Tradeweb FTSE U.S. Treasury, European government and Gilt benchmark offerings. Additionally, we announced that FTSE plans to adopt these Tradeweb FTSE Benchmark Closing Prices in its premiere World Government Bond Index (WGBI) and other FTSE Fixed Income indices in March 2025.</w:t>
      </w:r>
    </w:p>
    <w:p>
      <w:pPr>
        <w:spacing w:after="0" w:line="240"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remain committed to expanding into new asset classes, penetrating new regions and client channels and further strengthening partnerships with key market participants.</w:t>
      </w:r>
    </w:p>
    <w:p>
      <w:pPr>
        <w:spacing w:after="0" w:line="602" w:lineRule="exact"/>
        <w:rPr>
          <w:sz w:val="20"/>
          <w:szCs w:val="20"/>
          <w:color w:val="auto"/>
        </w:rPr>
      </w:pPr>
    </w:p>
    <w:p>
      <w:pPr>
        <w:sectPr>
          <w:pgSz w:w="12060" w:h="15660" w:orient="portrait"/>
          <w:cols w:equalWidth="0" w:num="3">
            <w:col w:w="2980" w:space="720"/>
            <w:col w:w="3220" w:space="480"/>
            <w:col w:w="3220"/>
          </w:cols>
          <w:pgMar w:left="720" w:top="1313" w:right="720"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hanging="320"/>
        <w:spacing w:after="0"/>
        <w:tabs>
          <w:tab w:leader="none" w:pos="320" w:val="left"/>
        </w:tabs>
        <w:numPr>
          <w:ilvl w:val="0"/>
          <w:numId w:val="2"/>
        </w:numPr>
        <w:rPr>
          <w:rFonts w:ascii="Arial" w:cs="Arial" w:eastAsia="Arial" w:hAnsi="Arial"/>
          <w:sz w:val="13"/>
          <w:szCs w:val="13"/>
          <w:color w:val="00002F"/>
        </w:rPr>
      </w:pPr>
      <w:r>
        <w:rPr>
          <w:rFonts w:ascii="Arial" w:cs="Arial" w:eastAsia="Arial" w:hAnsi="Arial"/>
          <w:sz w:val="13"/>
          <w:szCs w:val="13"/>
          <w:color w:val="00002F"/>
        </w:rPr>
        <w:t>TRADEWEB MARKETS</w:t>
      </w:r>
    </w:p>
    <w:p>
      <w:pPr>
        <w:sectPr>
          <w:pgSz w:w="12060" w:h="15660" w:orient="portrait"/>
          <w:cols w:equalWidth="0" w:num="1">
            <w:col w:w="10620"/>
          </w:cols>
          <w:pgMar w:left="720" w:top="1313" w:right="720" w:bottom="13"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72"/>
          <w:szCs w:val="72"/>
          <w:color w:val="24A9BF"/>
        </w:rPr>
        <w:t>Transformative</w:t>
      </w:r>
    </w:p>
    <w:p>
      <w:pPr>
        <w:ind w:left="460"/>
        <w:spacing w:after="0" w:line="214" w:lineRule="auto"/>
        <w:rPr>
          <w:sz w:val="20"/>
          <w:szCs w:val="20"/>
          <w:color w:val="auto"/>
        </w:rPr>
      </w:pPr>
      <w:r>
        <w:rPr>
          <w:rFonts w:ascii="Arial" w:cs="Arial" w:eastAsia="Arial" w:hAnsi="Arial"/>
          <w:sz w:val="72"/>
          <w:szCs w:val="72"/>
          <w:color w:val="FFFFFF"/>
        </w:rPr>
        <w:t>Innovation</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50"/>
          <w:szCs w:val="50"/>
          <w:color w:val="FFFFFF"/>
        </w:rPr>
        <w:t>“</w:t>
      </w:r>
    </w:p>
    <w:p>
      <w:pPr>
        <w:ind w:left="520" w:right="23"/>
        <w:spacing w:after="0" w:line="310" w:lineRule="auto"/>
        <w:rPr>
          <w:sz w:val="20"/>
          <w:szCs w:val="20"/>
          <w:color w:val="auto"/>
        </w:rPr>
      </w:pPr>
      <w:r>
        <w:rPr>
          <w:rFonts w:ascii="Arial" w:cs="Arial" w:eastAsia="Arial" w:hAnsi="Arial"/>
          <w:sz w:val="23"/>
          <w:szCs w:val="23"/>
          <w:color w:val="FFFFFF"/>
        </w:rPr>
        <w:t>Our record $1.7 billion in revenue and expanded margins reflect Tradeweb’s disciplined approach to growth. We’re focused on making smart investments, scaling efficiently and strengthening client relationships—all while delivering real value for shareholders. With a clear commitment to execution, we’re building for long-term success.</w:t>
      </w:r>
      <w:r>
        <w:rPr>
          <w:rFonts w:ascii="Times New Roman" w:cs="Times New Roman" w:eastAsia="Times New Roman" w:hAnsi="Times New Roman"/>
          <w:sz w:val="23"/>
          <w:szCs w:val="23"/>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Arial" w:cs="Arial" w:eastAsia="Arial" w:hAnsi="Arial"/>
          <w:sz w:val="24"/>
          <w:szCs w:val="24"/>
          <w:color w:val="FFFFFF"/>
        </w:rPr>
        <w:t>Sara Furber</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16"/>
          <w:szCs w:val="16"/>
          <w:color w:val="FFFFFF"/>
        </w:rPr>
        <w:t>CHIEF FINANCIAL OFFICER,</w:t>
      </w:r>
    </w:p>
    <w:p>
      <w:pPr>
        <w:spacing w:after="0" w:line="36" w:lineRule="exact"/>
        <w:rPr>
          <w:sz w:val="20"/>
          <w:szCs w:val="20"/>
          <w:color w:val="auto"/>
        </w:rPr>
      </w:pPr>
    </w:p>
    <w:p>
      <w:pPr>
        <w:ind w:left="2980"/>
        <w:spacing w:after="0"/>
        <w:rPr>
          <w:sz w:val="20"/>
          <w:szCs w:val="20"/>
          <w:color w:val="auto"/>
        </w:rPr>
      </w:pPr>
      <w:r>
        <w:rPr>
          <w:rFonts w:ascii="Arial" w:cs="Arial" w:eastAsia="Arial" w:hAnsi="Arial"/>
          <w:sz w:val="16"/>
          <w:szCs w:val="16"/>
          <w:color w:val="FFFFFF"/>
        </w:rPr>
        <w:t>TRADEWEB MARKETS</w:t>
      </w:r>
    </w:p>
    <w:p>
      <w:pPr>
        <w:spacing w:after="0" w:line="20" w:lineRule="exact"/>
        <w:rPr>
          <w:sz w:val="20"/>
          <w:szCs w:val="20"/>
          <w:color w:val="auto"/>
        </w:rPr>
      </w:pPr>
      <w:r>
        <w:rPr>
          <w:sz w:val="20"/>
          <w:szCs w:val="20"/>
          <w:color w:val="auto"/>
        </w:rPr>
        <w:br w:type="column"/>
      </w:r>
    </w:p>
    <w:p>
      <w:pPr>
        <w:ind w:left="57" w:right="800"/>
        <w:spacing w:after="0" w:line="356" w:lineRule="auto"/>
        <w:rPr>
          <w:sz w:val="20"/>
          <w:szCs w:val="20"/>
          <w:color w:val="auto"/>
        </w:rPr>
      </w:pPr>
      <w:r>
        <w:rPr>
          <w:rFonts w:ascii="Arial" w:cs="Arial" w:eastAsia="Arial" w:hAnsi="Arial"/>
          <w:sz w:val="17"/>
          <w:szCs w:val="17"/>
          <w:color w:val="FFFFFF"/>
        </w:rPr>
        <w:t>TOTAL ADDRESSABLE MARKET— GROWTH OPPORTUNITIES</w:t>
      </w:r>
      <w:r>
        <w:rPr>
          <w:rFonts w:ascii="Arial" w:cs="Arial" w:eastAsia="Arial" w:hAnsi="Arial"/>
          <w:sz w:val="20"/>
          <w:szCs w:val="20"/>
          <w:color w:val="FFFFFF"/>
          <w:vertAlign w:val="superscript"/>
        </w:rPr>
        <w:t>1</w:t>
      </w:r>
    </w:p>
    <w:p>
      <w:pPr>
        <w:spacing w:after="0" w:line="200" w:lineRule="exact"/>
        <w:rPr>
          <w:sz w:val="20"/>
          <w:szCs w:val="20"/>
          <w:color w:val="auto"/>
        </w:rPr>
      </w:pPr>
    </w:p>
    <w:p>
      <w:pPr>
        <w:spacing w:after="0" w:line="294" w:lineRule="exact"/>
        <w:rPr>
          <w:sz w:val="20"/>
          <w:szCs w:val="20"/>
          <w:color w:val="auto"/>
        </w:rPr>
      </w:pPr>
    </w:p>
    <w:tbl>
      <w:tblPr>
        <w:tblLayout w:type="fixed"/>
        <w:tblInd w:w="57"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4"/>
                <w:szCs w:val="14"/>
                <w:color w:val="FFFFFF"/>
              </w:rPr>
              <w:t>TOTAL ADDRESSABLE</w:t>
            </w:r>
          </w:p>
        </w:tc>
        <w:tc>
          <w:tcPr>
            <w:tcW w:w="1720" w:type="dxa"/>
            <w:vAlign w:val="bottom"/>
          </w:tcPr>
          <w:p>
            <w:pPr>
              <w:ind w:left="320"/>
              <w:spacing w:after="0"/>
              <w:rPr>
                <w:sz w:val="20"/>
                <w:szCs w:val="20"/>
                <w:color w:val="auto"/>
              </w:rPr>
            </w:pPr>
            <w:r>
              <w:rPr>
                <w:rFonts w:ascii="Arial" w:cs="Arial" w:eastAsia="Arial" w:hAnsi="Arial"/>
                <w:sz w:val="14"/>
                <w:szCs w:val="14"/>
                <w:color w:val="FFFFFF"/>
                <w:w w:val="90"/>
              </w:rPr>
              <w:t>TOTAL ADDRESSABLE</w:t>
            </w:r>
          </w:p>
        </w:tc>
      </w:tr>
      <w:tr>
        <w:trPr>
          <w:trHeight w:val="180"/>
        </w:trPr>
        <w:tc>
          <w:tcPr>
            <w:tcW w:w="1700" w:type="dxa"/>
            <w:vAlign w:val="bottom"/>
          </w:tcPr>
          <w:p>
            <w:pPr>
              <w:spacing w:after="0"/>
              <w:rPr>
                <w:sz w:val="20"/>
                <w:szCs w:val="20"/>
                <w:color w:val="auto"/>
              </w:rPr>
            </w:pPr>
            <w:r>
              <w:rPr>
                <w:rFonts w:ascii="Arial" w:cs="Arial" w:eastAsia="Arial" w:hAnsi="Arial"/>
                <w:sz w:val="14"/>
                <w:szCs w:val="14"/>
                <w:color w:val="FFFFFF"/>
              </w:rPr>
              <w:t>MARKET FOR 2016</w:t>
            </w:r>
          </w:p>
        </w:tc>
        <w:tc>
          <w:tcPr>
            <w:tcW w:w="1720" w:type="dxa"/>
            <w:vAlign w:val="bottom"/>
          </w:tcPr>
          <w:p>
            <w:pPr>
              <w:ind w:left="320"/>
              <w:spacing w:after="0"/>
              <w:rPr>
                <w:sz w:val="20"/>
                <w:szCs w:val="20"/>
                <w:color w:val="auto"/>
              </w:rPr>
            </w:pPr>
            <w:r>
              <w:rPr>
                <w:rFonts w:ascii="Arial" w:cs="Arial" w:eastAsia="Arial" w:hAnsi="Arial"/>
                <w:sz w:val="14"/>
                <w:szCs w:val="14"/>
                <w:color w:val="FFFFFF"/>
              </w:rPr>
              <w:t>MARKET FOR 2024</w:t>
            </w:r>
          </w:p>
        </w:tc>
      </w:tr>
    </w:tbl>
    <w:p>
      <w:pPr>
        <w:spacing w:after="0" w:line="345" w:lineRule="exact"/>
        <w:rPr>
          <w:sz w:val="20"/>
          <w:szCs w:val="20"/>
          <w:color w:val="auto"/>
        </w:rPr>
      </w:pPr>
    </w:p>
    <w:p>
      <w:pPr>
        <w:ind w:left="2857"/>
        <w:spacing w:after="0"/>
        <w:rPr>
          <w:sz w:val="20"/>
          <w:szCs w:val="20"/>
          <w:color w:val="auto"/>
        </w:rPr>
      </w:pPr>
      <w:r>
        <w:rPr>
          <w:rFonts w:ascii="Arial" w:cs="Arial" w:eastAsia="Arial" w:hAnsi="Arial"/>
          <w:sz w:val="20"/>
          <w:szCs w:val="20"/>
          <w:color w:val="FFFFFF"/>
        </w:rPr>
        <w:t>$8.9T</w:t>
      </w:r>
    </w:p>
    <w:p>
      <w:pPr>
        <w:spacing w:after="0" w:line="175" w:lineRule="exact"/>
        <w:rPr>
          <w:sz w:val="20"/>
          <w:szCs w:val="20"/>
          <w:color w:val="auto"/>
        </w:rPr>
      </w:pPr>
    </w:p>
    <w:p>
      <w:pPr>
        <w:ind w:left="1637"/>
        <w:spacing w:after="0"/>
        <w:rPr>
          <w:sz w:val="20"/>
          <w:szCs w:val="20"/>
          <w:color w:val="auto"/>
        </w:rPr>
      </w:pPr>
      <w:r>
        <w:rPr>
          <w:rFonts w:ascii="Arial" w:cs="Arial" w:eastAsia="Arial" w:hAnsi="Arial"/>
          <w:sz w:val="24"/>
          <w:szCs w:val="24"/>
          <w:color w:val="FFFFFF"/>
        </w:rPr>
        <w:t>10%</w:t>
      </w:r>
    </w:p>
    <w:p>
      <w:pPr>
        <w:spacing w:after="0" w:line="12" w:lineRule="exact"/>
        <w:rPr>
          <w:sz w:val="20"/>
          <w:szCs w:val="20"/>
          <w:color w:val="auto"/>
        </w:rPr>
      </w:pPr>
    </w:p>
    <w:p>
      <w:pPr>
        <w:ind w:left="1637"/>
        <w:spacing w:after="0"/>
        <w:rPr>
          <w:sz w:val="20"/>
          <w:szCs w:val="20"/>
          <w:color w:val="auto"/>
        </w:rPr>
      </w:pPr>
      <w:r>
        <w:rPr>
          <w:rFonts w:ascii="Arial" w:cs="Arial" w:eastAsia="Arial" w:hAnsi="Arial"/>
          <w:sz w:val="19"/>
          <w:szCs w:val="19"/>
          <w:color w:val="FFFFFF"/>
        </w:rPr>
        <w:t>CAGR</w:t>
      </w:r>
    </w:p>
    <w:p>
      <w:pPr>
        <w:spacing w:after="0" w:line="200" w:lineRule="exact"/>
        <w:rPr>
          <w:sz w:val="20"/>
          <w:szCs w:val="20"/>
          <w:color w:val="auto"/>
        </w:rPr>
      </w:pPr>
    </w:p>
    <w:p>
      <w:pPr>
        <w:spacing w:after="0" w:line="296" w:lineRule="exact"/>
        <w:rPr>
          <w:sz w:val="20"/>
          <w:szCs w:val="20"/>
          <w:color w:val="auto"/>
        </w:rPr>
      </w:pPr>
    </w:p>
    <w:p>
      <w:pPr>
        <w:ind w:left="537"/>
        <w:spacing w:after="0"/>
        <w:rPr>
          <w:sz w:val="20"/>
          <w:szCs w:val="20"/>
          <w:color w:val="auto"/>
        </w:rPr>
      </w:pPr>
      <w:r>
        <w:rPr>
          <w:rFonts w:ascii="Arial" w:cs="Arial" w:eastAsia="Arial" w:hAnsi="Arial"/>
          <w:sz w:val="20"/>
          <w:szCs w:val="20"/>
          <w:color w:val="FFFFFF"/>
        </w:rPr>
        <w:t>$4.2T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7" w:right="420"/>
        <w:spacing w:after="0" w:line="249" w:lineRule="auto"/>
        <w:rPr>
          <w:sz w:val="20"/>
          <w:szCs w:val="20"/>
          <w:color w:val="auto"/>
        </w:rPr>
      </w:pPr>
      <w:r>
        <w:rPr>
          <w:rFonts w:ascii="Arial" w:cs="Arial" w:eastAsia="Arial" w:hAnsi="Arial"/>
          <w:sz w:val="14"/>
          <w:szCs w:val="14"/>
          <w:color w:val="FFFFFF"/>
        </w:rPr>
        <w:t>TRADEWEB’S % OF TOTAL ADDRESSABLE MARKET FOR 2024</w:t>
      </w:r>
    </w:p>
    <w:p>
      <w:pPr>
        <w:spacing w:after="0" w:line="204" w:lineRule="exact"/>
        <w:rPr>
          <w:sz w:val="20"/>
          <w:szCs w:val="20"/>
          <w:color w:val="auto"/>
        </w:rPr>
      </w:pPr>
    </w:p>
    <w:p>
      <w:pPr>
        <w:ind w:left="57"/>
        <w:spacing w:after="0"/>
        <w:tabs>
          <w:tab w:leader="none" w:pos="1117" w:val="left"/>
        </w:tabs>
        <w:rPr>
          <w:sz w:val="20"/>
          <w:szCs w:val="20"/>
          <w:color w:val="auto"/>
        </w:rPr>
      </w:pPr>
      <w:r>
        <w:rPr>
          <w:rFonts w:ascii="Arial" w:cs="Arial" w:eastAsia="Arial" w:hAnsi="Arial"/>
          <w:sz w:val="18"/>
          <w:szCs w:val="18"/>
          <w:color w:val="FFFFFF"/>
        </w:rPr>
        <w:t>RATES: $  .</w:t>
      </w:r>
      <w:r>
        <w:rPr>
          <w:sz w:val="20"/>
          <w:szCs w:val="20"/>
          <w:color w:val="auto"/>
        </w:rPr>
        <w:tab/>
      </w:r>
      <w:r>
        <w:rPr>
          <w:rFonts w:ascii="Arial" w:cs="Arial" w:eastAsia="Arial" w:hAnsi="Arial"/>
          <w:sz w:val="16"/>
          <w:szCs w:val="16"/>
          <w:color w:val="FFFFFF"/>
        </w:rPr>
        <w:t>T</w:t>
      </w:r>
    </w:p>
    <w:p>
      <w:pPr>
        <w:spacing w:after="0" w:line="67" w:lineRule="exact"/>
        <w:rPr>
          <w:sz w:val="20"/>
          <w:szCs w:val="20"/>
          <w:color w:val="auto"/>
        </w:rPr>
      </w:pPr>
    </w:p>
    <w:p>
      <w:pPr>
        <w:ind w:left="37"/>
        <w:spacing w:after="0"/>
        <w:rPr>
          <w:sz w:val="20"/>
          <w:szCs w:val="20"/>
          <w:color w:val="auto"/>
        </w:rPr>
      </w:pPr>
      <w:r>
        <w:rPr>
          <w:sz w:val="1"/>
          <w:szCs w:val="1"/>
          <w:color w:val="auto"/>
        </w:rPr>
        <w:drawing>
          <wp:inline distT="0" distB="0" distL="0" distR="0">
            <wp:extent cx="629285" cy="1860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629285" cy="186055"/>
                    </a:xfrm>
                    <a:prstGeom prst="rect">
                      <a:avLst/>
                    </a:prstGeom>
                    <a:noFill/>
                    <a:ln>
                      <a:noFill/>
                    </a:ln>
                  </pic:spPr>
                </pic:pic>
              </a:graphicData>
            </a:graphic>
          </wp:inline>
        </w:drawing>
      </w:r>
      <w:r>
        <w:rPr>
          <w:rFonts w:ascii="Arial" w:cs="Arial" w:eastAsia="Arial" w:hAnsi="Arial"/>
          <w:sz w:val="20"/>
          <w:szCs w:val="20"/>
          <w:color w:val="FFFFFF"/>
        </w:rPr>
        <w:t xml:space="preserve"> 26%</w:t>
      </w:r>
    </w:p>
    <w:p>
      <w:pPr>
        <w:spacing w:after="0" w:line="387" w:lineRule="exact"/>
        <w:rPr>
          <w:sz w:val="20"/>
          <w:szCs w:val="20"/>
          <w:color w:val="auto"/>
        </w:rPr>
      </w:pPr>
    </w:p>
    <w:p>
      <w:pPr>
        <w:ind w:left="57"/>
        <w:spacing w:after="0"/>
        <w:tabs>
          <w:tab w:leader="none" w:pos="1157" w:val="left"/>
        </w:tabs>
        <w:rPr>
          <w:sz w:val="20"/>
          <w:szCs w:val="20"/>
          <w:color w:val="auto"/>
        </w:rPr>
      </w:pPr>
      <w:r>
        <w:rPr>
          <w:rFonts w:ascii="Arial" w:cs="Arial" w:eastAsia="Arial" w:hAnsi="Arial"/>
          <w:sz w:val="18"/>
          <w:szCs w:val="18"/>
          <w:color w:val="FFFFFF"/>
        </w:rPr>
        <w:t>CREDIT : $</w:t>
      </w:r>
      <w:r>
        <w:rPr>
          <w:sz w:val="20"/>
          <w:szCs w:val="20"/>
          <w:color w:val="auto"/>
        </w:rPr>
        <w:tab/>
      </w:r>
      <w:r>
        <w:rPr>
          <w:rFonts w:ascii="Arial" w:cs="Arial" w:eastAsia="Arial" w:hAnsi="Arial"/>
          <w:sz w:val="14"/>
          <w:szCs w:val="14"/>
          <w:color w:val="FFFFFF"/>
        </w:rPr>
        <w:t>B</w:t>
      </w:r>
    </w:p>
    <w:p>
      <w:pPr>
        <w:spacing w:after="0" w:line="71" w:lineRule="exact"/>
        <w:rPr>
          <w:sz w:val="20"/>
          <w:szCs w:val="20"/>
          <w:color w:val="auto"/>
        </w:rPr>
      </w:pPr>
    </w:p>
    <w:p>
      <w:pPr>
        <w:ind w:left="37"/>
        <w:spacing w:after="0"/>
        <w:rPr>
          <w:sz w:val="20"/>
          <w:szCs w:val="20"/>
          <w:color w:val="auto"/>
        </w:rPr>
      </w:pPr>
      <w:r>
        <w:rPr>
          <w:sz w:val="1"/>
          <w:szCs w:val="1"/>
          <w:color w:val="auto"/>
        </w:rPr>
        <w:drawing>
          <wp:inline distT="0" distB="0" distL="0" distR="0">
            <wp:extent cx="417195" cy="186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417195" cy="186055"/>
                    </a:xfrm>
                    <a:prstGeom prst="rect">
                      <a:avLst/>
                    </a:prstGeom>
                    <a:noFill/>
                    <a:ln>
                      <a:noFill/>
                    </a:ln>
                  </pic:spPr>
                </pic:pic>
              </a:graphicData>
            </a:graphic>
          </wp:inline>
        </w:drawing>
      </w:r>
      <w:r>
        <w:rPr>
          <w:rFonts w:ascii="Arial" w:cs="Arial" w:eastAsia="Arial" w:hAnsi="Arial"/>
          <w:sz w:val="20"/>
          <w:szCs w:val="20"/>
          <w:color w:val="FFFFFF"/>
        </w:rPr>
        <w:t xml:space="preserve"> 17%</w:t>
      </w:r>
    </w:p>
    <w:p>
      <w:pPr>
        <w:spacing w:after="0" w:line="387" w:lineRule="exact"/>
        <w:rPr>
          <w:sz w:val="20"/>
          <w:szCs w:val="20"/>
          <w:color w:val="auto"/>
        </w:rPr>
      </w:pPr>
    </w:p>
    <w:p>
      <w:pPr>
        <w:ind w:left="57"/>
        <w:spacing w:after="0"/>
        <w:tabs>
          <w:tab w:leader="none" w:pos="897" w:val="left"/>
        </w:tabs>
        <w:rPr>
          <w:sz w:val="20"/>
          <w:szCs w:val="20"/>
          <w:color w:val="auto"/>
        </w:rPr>
      </w:pPr>
      <w:r>
        <w:rPr>
          <w:rFonts w:ascii="Arial" w:cs="Arial" w:eastAsia="Arial" w:hAnsi="Arial"/>
          <w:sz w:val="18"/>
          <w:szCs w:val="18"/>
          <w:color w:val="FFFFFF"/>
        </w:rPr>
        <w:t>ETFs: $</w:t>
      </w:r>
      <w:r>
        <w:rPr>
          <w:sz w:val="20"/>
          <w:szCs w:val="20"/>
          <w:color w:val="auto"/>
        </w:rPr>
        <w:tab/>
      </w:r>
      <w:r>
        <w:rPr>
          <w:rFonts w:ascii="Arial" w:cs="Arial" w:eastAsia="Arial" w:hAnsi="Arial"/>
          <w:sz w:val="17"/>
          <w:szCs w:val="17"/>
          <w:color w:val="FFFFFF"/>
        </w:rPr>
        <w:t>B</w:t>
      </w:r>
    </w:p>
    <w:p>
      <w:pPr>
        <w:spacing w:after="0" w:line="66" w:lineRule="exact"/>
        <w:rPr>
          <w:sz w:val="20"/>
          <w:szCs w:val="20"/>
          <w:color w:val="auto"/>
        </w:rPr>
      </w:pPr>
    </w:p>
    <w:p>
      <w:pPr>
        <w:ind w:left="37"/>
        <w:spacing w:after="0"/>
        <w:rPr>
          <w:sz w:val="20"/>
          <w:szCs w:val="20"/>
          <w:color w:val="auto"/>
        </w:rPr>
      </w:pPr>
      <w:r>
        <w:rPr>
          <w:sz w:val="1"/>
          <w:szCs w:val="1"/>
          <w:color w:val="auto"/>
        </w:rPr>
        <w:drawing>
          <wp:inline distT="0" distB="0" distL="0" distR="0">
            <wp:extent cx="186055" cy="1860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186055" cy="186055"/>
                    </a:xfrm>
                    <a:prstGeom prst="rect">
                      <a:avLst/>
                    </a:prstGeom>
                    <a:noFill/>
                    <a:ln>
                      <a:noFill/>
                    </a:ln>
                  </pic:spPr>
                </pic:pic>
              </a:graphicData>
            </a:graphic>
          </wp:inline>
        </w:drawing>
      </w:r>
      <w:r>
        <w:rPr>
          <w:rFonts w:ascii="Arial" w:cs="Arial" w:eastAsia="Arial" w:hAnsi="Arial"/>
          <w:sz w:val="20"/>
          <w:szCs w:val="20"/>
          <w:color w:val="FFFFFF"/>
        </w:rPr>
        <w:t xml:space="preserve"> 6%</w:t>
      </w:r>
    </w:p>
    <w:p>
      <w:pPr>
        <w:spacing w:after="0" w:line="390" w:lineRule="exact"/>
        <w:rPr>
          <w:sz w:val="20"/>
          <w:szCs w:val="20"/>
          <w:color w:val="auto"/>
        </w:rPr>
      </w:pPr>
    </w:p>
    <w:p>
      <w:pPr>
        <w:ind w:left="57"/>
        <w:spacing w:after="0"/>
        <w:tabs>
          <w:tab w:leader="none" w:pos="2117" w:val="left"/>
        </w:tabs>
        <w:rPr>
          <w:sz w:val="20"/>
          <w:szCs w:val="20"/>
          <w:color w:val="auto"/>
        </w:rPr>
      </w:pPr>
      <w:r>
        <w:rPr>
          <w:rFonts w:ascii="Arial" w:cs="Arial" w:eastAsia="Arial" w:hAnsi="Arial"/>
          <w:sz w:val="18"/>
          <w:szCs w:val="18"/>
          <w:color w:val="FFFFFF"/>
        </w:rPr>
        <w:t>MONEY MARKETS : $ .</w:t>
      </w:r>
      <w:r>
        <w:rPr>
          <w:sz w:val="20"/>
          <w:szCs w:val="20"/>
          <w:color w:val="auto"/>
        </w:rPr>
        <w:tab/>
      </w:r>
      <w:r>
        <w:rPr>
          <w:rFonts w:ascii="Arial" w:cs="Arial" w:eastAsia="Arial" w:hAnsi="Arial"/>
          <w:sz w:val="13"/>
          <w:szCs w:val="13"/>
          <w:color w:val="FFFFFF"/>
        </w:rPr>
        <w:t>T</w:t>
      </w:r>
    </w:p>
    <w:p>
      <w:pPr>
        <w:spacing w:after="0" w:line="68" w:lineRule="exact"/>
        <w:rPr>
          <w:sz w:val="20"/>
          <w:szCs w:val="20"/>
          <w:color w:val="auto"/>
        </w:rPr>
      </w:pPr>
    </w:p>
    <w:p>
      <w:pPr>
        <w:ind w:left="37"/>
        <w:spacing w:after="0"/>
        <w:rPr>
          <w:sz w:val="20"/>
          <w:szCs w:val="20"/>
          <w:color w:val="auto"/>
        </w:rPr>
      </w:pPr>
      <w:r>
        <w:rPr>
          <w:sz w:val="1"/>
          <w:szCs w:val="1"/>
          <w:color w:val="auto"/>
        </w:rPr>
        <w:drawing>
          <wp:inline distT="0" distB="0" distL="0" distR="0">
            <wp:extent cx="417195" cy="1860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417195" cy="186055"/>
                    </a:xfrm>
                    <a:prstGeom prst="rect">
                      <a:avLst/>
                    </a:prstGeom>
                    <a:noFill/>
                    <a:ln>
                      <a:noFill/>
                    </a:ln>
                  </pic:spPr>
                </pic:pic>
              </a:graphicData>
            </a:graphic>
          </wp:inline>
        </w:drawing>
      </w:r>
      <w:r>
        <w:rPr>
          <w:rFonts w:ascii="Arial" w:cs="Arial" w:eastAsia="Arial" w:hAnsi="Arial"/>
          <w:sz w:val="20"/>
          <w:szCs w:val="20"/>
          <w:color w:val="FFFFFF"/>
        </w:rPr>
        <w:t xml:space="preserve"> 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 w:right="40" w:hanging="57"/>
        <w:spacing w:after="0" w:line="296" w:lineRule="auto"/>
        <w:tabs>
          <w:tab w:leader="none" w:pos="57" w:val="left"/>
        </w:tabs>
        <w:numPr>
          <w:ilvl w:val="0"/>
          <w:numId w:val="3"/>
        </w:numPr>
        <w:rPr>
          <w:rFonts w:ascii="Arial" w:cs="Arial" w:eastAsia="Arial" w:hAnsi="Arial"/>
          <w:sz w:val="12"/>
          <w:szCs w:val="12"/>
          <w:color w:val="FFFFFF"/>
          <w:vertAlign w:val="superscript"/>
        </w:rPr>
      </w:pPr>
      <w:r>
        <w:rPr>
          <w:rFonts w:ascii="Arial" w:cs="Arial" w:eastAsia="Arial" w:hAnsi="Arial"/>
          <w:sz w:val="10"/>
          <w:szCs w:val="10"/>
          <w:color w:val="FFFFFF"/>
        </w:rPr>
        <w:t>As measured by total ADV by asset class based on public industry sources and Tradeweb internal estimates. Total ADVs and Tradeweb ADVs omit volumes in products where the total market ADV cannot be sourced reliably: APAC excluding Japan government bonds in rates, Chinese bonds in credit, equity derivatives in equities and commercial paper, agency discount notes and certificates of deposits in money markets. Total market size for all products included in each asset class is based on ADV through December 31, 2024, except for EUGV and EM Debt, which are an average of the previous four quarters. Public sources by asset class: rates (SIFMA, TRACE, CLARUS, AFME, JSDA); credit (TRACE, TRAX, CLARUS, SIFMA, EMTA); equities (CBOE, Flowtraders); money markets (N.Y. Fed).</w:t>
      </w:r>
    </w:p>
    <w:p>
      <w:pPr>
        <w:spacing w:after="0" w:line="158" w:lineRule="exact"/>
        <w:rPr>
          <w:rFonts w:ascii="Arial" w:cs="Arial" w:eastAsia="Arial" w:hAnsi="Arial"/>
          <w:sz w:val="12"/>
          <w:szCs w:val="12"/>
          <w:color w:val="FFFFFF"/>
          <w:vertAlign w:val="superscript"/>
        </w:rPr>
      </w:pPr>
    </w:p>
    <w:p>
      <w:pPr>
        <w:ind w:left="57" w:hanging="57"/>
        <w:spacing w:after="0"/>
        <w:tabs>
          <w:tab w:leader="none" w:pos="57" w:val="left"/>
        </w:tabs>
        <w:numPr>
          <w:ilvl w:val="0"/>
          <w:numId w:val="3"/>
        </w:numPr>
        <w:rPr>
          <w:rFonts w:ascii="Arial" w:cs="Arial" w:eastAsia="Arial" w:hAnsi="Arial"/>
          <w:sz w:val="14"/>
          <w:szCs w:val="14"/>
          <w:color w:val="FFFFFF"/>
          <w:vertAlign w:val="superscript"/>
        </w:rPr>
      </w:pPr>
      <w:r>
        <w:rPr>
          <w:rFonts w:ascii="Arial" w:cs="Arial" w:eastAsia="Arial" w:hAnsi="Arial"/>
          <w:sz w:val="12"/>
          <w:szCs w:val="12"/>
          <w:color w:val="FFFFFF"/>
        </w:rPr>
        <w:t>Total ADV for Credit excludes European credit and Chinese bonds.</w:t>
      </w:r>
    </w:p>
    <w:p>
      <w:pPr>
        <w:spacing w:after="0" w:line="43" w:lineRule="exact"/>
        <w:rPr>
          <w:rFonts w:ascii="Arial" w:cs="Arial" w:eastAsia="Arial" w:hAnsi="Arial"/>
          <w:sz w:val="14"/>
          <w:szCs w:val="14"/>
          <w:color w:val="FFFFFF"/>
          <w:vertAlign w:val="superscript"/>
        </w:rPr>
      </w:pPr>
    </w:p>
    <w:p>
      <w:pPr>
        <w:ind w:left="57" w:hanging="57"/>
        <w:spacing w:after="0"/>
        <w:tabs>
          <w:tab w:leader="none" w:pos="57" w:val="left"/>
        </w:tabs>
        <w:numPr>
          <w:ilvl w:val="0"/>
          <w:numId w:val="3"/>
        </w:numPr>
        <w:rPr>
          <w:rFonts w:ascii="Arial" w:cs="Arial" w:eastAsia="Arial" w:hAnsi="Arial"/>
          <w:sz w:val="14"/>
          <w:szCs w:val="14"/>
          <w:color w:val="FFFFFF"/>
          <w:vertAlign w:val="superscript"/>
        </w:rPr>
      </w:pPr>
      <w:r>
        <w:rPr>
          <w:rFonts w:ascii="Arial" w:cs="Arial" w:eastAsia="Arial" w:hAnsi="Arial"/>
          <w:sz w:val="12"/>
          <w:szCs w:val="12"/>
          <w:color w:val="FFFFFF"/>
        </w:rPr>
        <w:t>Total ADV for Money Markets excludes ICD.</w:t>
      </w:r>
    </w:p>
    <w:p>
      <w:pPr>
        <w:spacing w:after="0" w:line="200" w:lineRule="exact"/>
        <w:rPr>
          <w:sz w:val="20"/>
          <w:szCs w:val="20"/>
          <w:color w:val="auto"/>
        </w:rPr>
      </w:pPr>
    </w:p>
    <w:p>
      <w:pPr>
        <w:sectPr>
          <w:pgSz w:w="12060" w:h="15660" w:orient="portrait"/>
          <w:cols w:equalWidth="0" w:num="2">
            <w:col w:w="5423" w:space="720"/>
            <w:col w:w="3757"/>
          </w:cols>
          <w:pgMar w:left="1440" w:top="1339" w:right="7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100"/>
        <w:spacing w:after="0"/>
        <w:tabs>
          <w:tab w:leader="none" w:pos="9720" w:val="left"/>
        </w:tabs>
        <w:rPr>
          <w:sz w:val="20"/>
          <w:szCs w:val="20"/>
          <w:color w:val="auto"/>
        </w:rPr>
      </w:pPr>
      <w:r>
        <w:rPr>
          <w:rFonts w:ascii="Arial" w:cs="Arial" w:eastAsia="Arial" w:hAnsi="Arial"/>
          <w:sz w:val="16"/>
          <w:szCs w:val="16"/>
          <w:color w:val="FFFFFF"/>
        </w:rPr>
        <w:t>TRADEWEB MARKETS</w:t>
      </w:r>
      <w:r>
        <w:rPr>
          <w:sz w:val="20"/>
          <w:szCs w:val="20"/>
          <w:color w:val="auto"/>
        </w:rPr>
        <w:tab/>
      </w:r>
      <w:r>
        <w:rPr>
          <w:rFonts w:ascii="Arial" w:cs="Arial" w:eastAsia="Arial" w:hAnsi="Arial"/>
          <w:sz w:val="14"/>
          <w:szCs w:val="14"/>
          <w:color w:val="FFFFFF"/>
        </w:rPr>
        <w:t>03</w:t>
      </w:r>
    </w:p>
    <w:p>
      <w:pPr>
        <w:sectPr>
          <w:pgSz w:w="12060" w:h="15660" w:orient="portrait"/>
          <w:cols w:equalWidth="0" w:num="1">
            <w:col w:w="9900"/>
          </w:cols>
          <w:pgMar w:left="1440" w:top="1339" w:right="720" w:bottom="6" w:gutter="0" w:footer="0" w:header="0"/>
          <w:type w:val="continuous"/>
        </w:sectPr>
      </w:pPr>
    </w:p>
    <w:bookmarkStart w:id="5" w:name="page6"/>
    <w:bookmarkEnd w:id="5"/>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72"/>
          <w:szCs w:val="72"/>
          <w:color w:val="24A9BF"/>
        </w:rPr>
        <w:t>Growth</w:t>
      </w:r>
    </w:p>
    <w:p>
      <w:pPr>
        <w:ind w:left="700"/>
        <w:spacing w:after="0" w:line="214" w:lineRule="auto"/>
        <w:rPr>
          <w:sz w:val="20"/>
          <w:szCs w:val="20"/>
          <w:color w:val="auto"/>
        </w:rPr>
      </w:pPr>
      <w:r>
        <w:rPr>
          <w:rFonts w:ascii="Arial" w:cs="Arial" w:eastAsia="Arial" w:hAnsi="Arial"/>
          <w:sz w:val="72"/>
          <w:szCs w:val="72"/>
          <w:color w:val="FFFFFF"/>
        </w:rPr>
        <w:t>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color w:val="FFFFFF"/>
              </w:rPr>
              <w:t>AiEX BY PRODUCT</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2"/>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100%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vMerge w:val="restart"/>
          </w:tcPr>
          <w:p>
            <w:pPr>
              <w:jc w:val="center"/>
              <w:ind w:right="110"/>
              <w:spacing w:after="0"/>
              <w:rPr>
                <w:sz w:val="20"/>
                <w:szCs w:val="20"/>
                <w:color w:val="auto"/>
              </w:rPr>
            </w:pPr>
            <w:r>
              <w:rPr>
                <w:rFonts w:ascii="Arial" w:cs="Arial" w:eastAsia="Arial" w:hAnsi="Arial"/>
                <w:sz w:val="14"/>
                <w:szCs w:val="14"/>
                <w:color w:val="FFFFFF"/>
                <w:w w:val="85"/>
              </w:rPr>
              <w:t>89%</w:t>
            </w: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80%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FFFFFF"/>
              </w:rPr>
              <w:t>66%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vMerge w:val="restart"/>
          </w:tcPr>
          <w:p>
            <w:pPr>
              <w:jc w:val="right"/>
              <w:ind w:right="110"/>
              <w:spacing w:after="0"/>
              <w:rPr>
                <w:sz w:val="20"/>
                <w:szCs w:val="20"/>
                <w:color w:val="auto"/>
              </w:rPr>
            </w:pPr>
            <w:r>
              <w:rPr>
                <w:rFonts w:ascii="Arial" w:cs="Arial" w:eastAsia="Arial" w:hAnsi="Arial"/>
                <w:sz w:val="14"/>
                <w:szCs w:val="14"/>
                <w:color w:val="FFFFFF"/>
                <w:w w:val="92"/>
              </w:rPr>
              <w:t>65%</w:t>
            </w:r>
          </w:p>
        </w:tc>
        <w:tc>
          <w:tcPr>
            <w:tcW w:w="6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restart"/>
          </w:tcPr>
          <w:p>
            <w:pPr>
              <w:ind w:left="100"/>
              <w:spacing w:after="0" w:line="138" w:lineRule="exact"/>
              <w:rPr>
                <w:sz w:val="20"/>
                <w:szCs w:val="20"/>
                <w:color w:val="auto"/>
              </w:rPr>
            </w:pPr>
            <w:r>
              <w:rPr>
                <w:rFonts w:ascii="Arial" w:cs="Arial" w:eastAsia="Arial" w:hAnsi="Arial"/>
                <w:sz w:val="14"/>
                <w:szCs w:val="14"/>
                <w:color w:val="FFFFFF"/>
              </w:rPr>
              <w:t>59%</w:t>
            </w: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900" w:type="dxa"/>
            <w:vAlign w:val="bottom"/>
            <w:vMerge w:val="restart"/>
          </w:tcPr>
          <w:p>
            <w:pPr>
              <w:jc w:val="right"/>
              <w:ind w:right="330"/>
              <w:spacing w:after="0"/>
              <w:rPr>
                <w:sz w:val="20"/>
                <w:szCs w:val="20"/>
                <w:color w:val="auto"/>
              </w:rPr>
            </w:pPr>
            <w:r>
              <w:rPr>
                <w:rFonts w:ascii="Arial" w:cs="Arial" w:eastAsia="Arial" w:hAnsi="Arial"/>
                <w:sz w:val="14"/>
                <w:szCs w:val="14"/>
                <w:color w:val="FFFFFF"/>
              </w:rPr>
              <w:t>60%</w:t>
            </w: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9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right"/>
              <w:ind w:right="490"/>
              <w:spacing w:after="0" w:line="145" w:lineRule="exact"/>
              <w:rPr>
                <w:sz w:val="20"/>
                <w:szCs w:val="20"/>
                <w:color w:val="auto"/>
              </w:rPr>
            </w:pPr>
            <w:r>
              <w:rPr>
                <w:rFonts w:ascii="Arial" w:cs="Arial" w:eastAsia="Arial" w:hAnsi="Arial"/>
                <w:sz w:val="14"/>
                <w:szCs w:val="14"/>
                <w:color w:val="FFFFFF"/>
              </w:rPr>
              <w:t>53%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900" w:type="dxa"/>
            <w:vAlign w:val="bottom"/>
            <w:vMerge w:val="restart"/>
          </w:tcPr>
          <w:p>
            <w:pPr>
              <w:jc w:val="right"/>
              <w:ind w:right="330"/>
              <w:spacing w:after="0"/>
              <w:rPr>
                <w:sz w:val="20"/>
                <w:szCs w:val="20"/>
                <w:color w:val="auto"/>
              </w:rPr>
            </w:pPr>
            <w:r>
              <w:rPr>
                <w:rFonts w:ascii="Arial" w:cs="Arial" w:eastAsia="Arial" w:hAnsi="Arial"/>
                <w:sz w:val="14"/>
                <w:szCs w:val="14"/>
                <w:color w:val="FFFFFF"/>
              </w:rPr>
              <w:t>40%</w:t>
            </w:r>
          </w:p>
        </w:tc>
        <w:tc>
          <w:tcPr>
            <w:tcW w:w="40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4"/>
                <w:szCs w:val="14"/>
                <w:color w:val="FFFFFF"/>
                <w:w w:val="85"/>
              </w:rPr>
              <w:t>40%</w:t>
            </w:r>
          </w:p>
        </w:tc>
        <w:tc>
          <w:tcPr>
            <w:tcW w:w="460" w:type="dxa"/>
            <w:vAlign w:val="bottom"/>
          </w:tcPr>
          <w:p>
            <w:pPr>
              <w:spacing w:after="0"/>
              <w:rPr>
                <w:sz w:val="24"/>
                <w:szCs w:val="24"/>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color w:val="FFFFFF"/>
              </w:rPr>
              <w:t>33%</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9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vMerge w:val="restart"/>
          </w:tcPr>
          <w:p>
            <w:pPr>
              <w:ind w:left="300"/>
              <w:spacing w:after="0"/>
              <w:rPr>
                <w:sz w:val="20"/>
                <w:szCs w:val="20"/>
                <w:color w:val="auto"/>
              </w:rPr>
            </w:pPr>
            <w:r>
              <w:rPr>
                <w:rFonts w:ascii="Arial" w:cs="Arial" w:eastAsia="Arial" w:hAnsi="Arial"/>
                <w:sz w:val="14"/>
                <w:szCs w:val="14"/>
                <w:color w:val="FFFFFF"/>
                <w:w w:val="90"/>
              </w:rPr>
              <w:t>29% 29%</w:t>
            </w:r>
          </w:p>
        </w:tc>
        <w:tc>
          <w:tcPr>
            <w:tcW w:w="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20%</w:t>
            </w:r>
          </w:p>
        </w:tc>
        <w:tc>
          <w:tcPr>
            <w:tcW w:w="400" w:type="dxa"/>
            <w:vAlign w:val="bottom"/>
          </w:tcPr>
          <w:p>
            <w:pPr>
              <w:jc w:val="center"/>
              <w:ind w:left="30"/>
              <w:spacing w:after="0"/>
              <w:rPr>
                <w:sz w:val="20"/>
                <w:szCs w:val="20"/>
                <w:color w:val="auto"/>
              </w:rPr>
            </w:pPr>
            <w:r>
              <w:rPr>
                <w:rFonts w:ascii="Arial" w:cs="Arial" w:eastAsia="Arial" w:hAnsi="Arial"/>
                <w:sz w:val="14"/>
                <w:szCs w:val="14"/>
                <w:color w:val="FFFFFF"/>
                <w:w w:val="92"/>
              </w:rPr>
              <w:t>14%</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Arial" w:cs="Arial" w:eastAsia="Arial" w:hAnsi="Arial"/>
                <w:sz w:val="14"/>
                <w:szCs w:val="14"/>
                <w:color w:val="FFFFFF"/>
              </w:rPr>
              <w:t>2019</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FFFFFF"/>
              </w:rPr>
              <w:t>2024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00" w:type="dxa"/>
            <w:vAlign w:val="bottom"/>
          </w:tcPr>
          <w:p>
            <w:pPr>
              <w:ind w:left="200"/>
              <w:spacing w:after="0"/>
              <w:rPr>
                <w:sz w:val="20"/>
                <w:szCs w:val="20"/>
                <w:color w:val="auto"/>
              </w:rPr>
            </w:pPr>
            <w:r>
              <w:rPr>
                <w:rFonts w:ascii="Arial" w:cs="Arial" w:eastAsia="Arial" w:hAnsi="Arial"/>
                <w:sz w:val="14"/>
                <w:szCs w:val="14"/>
                <w:color w:val="FFFFFF"/>
                <w:w w:val="99"/>
              </w:rPr>
              <w:t>U.S. Credit</w:t>
            </w:r>
          </w:p>
        </w:tc>
        <w:tc>
          <w:tcPr>
            <w:tcW w:w="1260" w:type="dxa"/>
            <w:vAlign w:val="bottom"/>
            <w:gridSpan w:val="2"/>
          </w:tcPr>
          <w:p>
            <w:pPr>
              <w:jc w:val="right"/>
              <w:ind w:right="110"/>
              <w:spacing w:after="0"/>
              <w:rPr>
                <w:sz w:val="20"/>
                <w:szCs w:val="20"/>
                <w:color w:val="auto"/>
              </w:rPr>
            </w:pPr>
            <w:r>
              <w:rPr>
                <w:rFonts w:ascii="Arial" w:cs="Arial" w:eastAsia="Arial" w:hAnsi="Arial"/>
                <w:sz w:val="14"/>
                <w:szCs w:val="14"/>
                <w:color w:val="FFFFFF"/>
              </w:rPr>
              <w:t>European Credit</w:t>
            </w:r>
          </w:p>
        </w:tc>
        <w:tc>
          <w:tcPr>
            <w:tcW w:w="1720" w:type="dxa"/>
            <w:vAlign w:val="bottom"/>
            <w:gridSpan w:val="3"/>
          </w:tcPr>
          <w:p>
            <w:pPr>
              <w:ind w:left="180"/>
              <w:spacing w:after="0"/>
              <w:rPr>
                <w:sz w:val="20"/>
                <w:szCs w:val="20"/>
                <w:color w:val="auto"/>
              </w:rPr>
            </w:pPr>
            <w:r>
              <w:rPr>
                <w:rFonts w:ascii="Arial" w:cs="Arial" w:eastAsia="Arial" w:hAnsi="Arial"/>
                <w:sz w:val="14"/>
                <w:szCs w:val="14"/>
                <w:color w:val="FFFFFF"/>
              </w:rPr>
              <w:t>U.S. Government Bonds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gridSpan w:val="3"/>
          </w:tcPr>
          <w:p>
            <w:pPr>
              <w:ind w:left="200"/>
              <w:spacing w:after="0"/>
              <w:rPr>
                <w:sz w:val="20"/>
                <w:szCs w:val="20"/>
                <w:color w:val="auto"/>
              </w:rPr>
            </w:pPr>
            <w:r>
              <w:rPr>
                <w:rFonts w:ascii="Arial" w:cs="Arial" w:eastAsia="Arial" w:hAnsi="Arial"/>
                <w:sz w:val="14"/>
                <w:szCs w:val="14"/>
                <w:color w:val="FFFFFF"/>
              </w:rPr>
              <w:t>European Government Bonds</w:t>
            </w:r>
          </w:p>
        </w:tc>
        <w:tc>
          <w:tcPr>
            <w:tcW w:w="1080" w:type="dxa"/>
            <w:vAlign w:val="bottom"/>
            <w:gridSpan w:val="2"/>
          </w:tcPr>
          <w:p>
            <w:pPr>
              <w:ind w:left="180"/>
              <w:spacing w:after="0"/>
              <w:rPr>
                <w:sz w:val="20"/>
                <w:szCs w:val="20"/>
                <w:color w:val="auto"/>
              </w:rPr>
            </w:pPr>
            <w:r>
              <w:rPr>
                <w:rFonts w:ascii="Arial" w:cs="Arial" w:eastAsia="Arial" w:hAnsi="Arial"/>
                <w:sz w:val="14"/>
                <w:szCs w:val="14"/>
                <w:color w:val="FFFFFF"/>
                <w:w w:val="89"/>
              </w:rPr>
              <w:t>European ETFs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3"/>
          </w:tcPr>
          <w:p>
            <w:pPr>
              <w:ind w:left="260"/>
              <w:spacing w:after="0"/>
              <w:rPr>
                <w:sz w:val="20"/>
                <w:szCs w:val="20"/>
                <w:color w:val="auto"/>
              </w:rPr>
            </w:pPr>
            <w:r>
              <w:rPr>
                <w:rFonts w:ascii="Arial" w:cs="Arial" w:eastAsia="Arial" w:hAnsi="Arial"/>
                <w:sz w:val="12"/>
                <w:szCs w:val="12"/>
                <w:color w:val="FFFFFF"/>
                <w:w w:val="86"/>
              </w:rPr>
              <w:t>Source: Tradeweb Internal Data</w:t>
            </w:r>
          </w:p>
        </w:tc>
        <w:tc>
          <w:tcPr>
            <w:tcW w:w="0" w:type="dxa"/>
            <w:vAlign w:val="bottom"/>
          </w:tcPr>
          <w:p>
            <w:pPr>
              <w:spacing w:after="0"/>
              <w:rPr>
                <w:sz w:val="1"/>
                <w:szCs w:val="1"/>
                <w:color w:val="auto"/>
              </w:rPr>
            </w:pPr>
          </w:p>
        </w:tc>
      </w:tr>
      <w:tr>
        <w:trPr>
          <w:trHeight w:val="467"/>
        </w:trPr>
        <w:tc>
          <w:tcPr>
            <w:tcW w:w="2160" w:type="dxa"/>
            <w:vAlign w:val="bottom"/>
            <w:gridSpan w:val="3"/>
          </w:tcPr>
          <w:p>
            <w:pPr>
              <w:spacing w:after="0"/>
              <w:rPr>
                <w:sz w:val="20"/>
                <w:szCs w:val="20"/>
                <w:color w:val="auto"/>
              </w:rPr>
            </w:pPr>
            <w:r>
              <w:rPr>
                <w:rFonts w:ascii="Arial" w:cs="Arial" w:eastAsia="Arial" w:hAnsi="Arial"/>
                <w:sz w:val="14"/>
                <w:szCs w:val="14"/>
                <w:color w:val="FFFFFF"/>
              </w:rPr>
              <w:t>INTERNATIONAL REVENUES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line="158" w:lineRule="exact"/>
              <w:rPr>
                <w:sz w:val="20"/>
                <w:szCs w:val="20"/>
                <w:color w:val="auto"/>
              </w:rPr>
            </w:pPr>
            <w:r>
              <w:rPr>
                <w:rFonts w:ascii="Arial" w:cs="Arial" w:eastAsia="Arial" w:hAnsi="Arial"/>
                <w:sz w:val="14"/>
                <w:szCs w:val="14"/>
                <w:color w:val="FFFFFF"/>
              </w:rPr>
              <w:t>$ in millions)</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900" w:type="dxa"/>
            <w:vAlign w:val="bottom"/>
            <w:vMerge w:val="restart"/>
          </w:tcPr>
          <w:p>
            <w:pPr>
              <w:jc w:val="right"/>
              <w:ind w:right="330"/>
              <w:spacing w:after="0"/>
              <w:rPr>
                <w:sz w:val="20"/>
                <w:szCs w:val="20"/>
                <w:color w:val="auto"/>
              </w:rPr>
            </w:pPr>
            <w:r>
              <w:rPr>
                <w:rFonts w:ascii="Arial" w:cs="Arial" w:eastAsia="Arial" w:hAnsi="Arial"/>
                <w:sz w:val="14"/>
                <w:szCs w:val="14"/>
                <w:color w:val="FFFFFF"/>
              </w:rPr>
              <w:t>$700</w:t>
            </w: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center"/>
              <w:ind w:right="110"/>
              <w:spacing w:after="0"/>
              <w:rPr>
                <w:sz w:val="20"/>
                <w:szCs w:val="20"/>
                <w:color w:val="auto"/>
              </w:rPr>
            </w:pPr>
            <w:r>
              <w:rPr>
                <w:rFonts w:ascii="Arial" w:cs="Arial" w:eastAsia="Arial" w:hAnsi="Arial"/>
                <w:sz w:val="14"/>
                <w:szCs w:val="14"/>
                <w:color w:val="FFFFFF"/>
                <w:w w:val="89"/>
              </w:rPr>
              <w:t>$665</w:t>
            </w:r>
          </w:p>
        </w:tc>
        <w:tc>
          <w:tcPr>
            <w:tcW w:w="0" w:type="dxa"/>
            <w:vAlign w:val="bottom"/>
          </w:tcPr>
          <w:p>
            <w:pPr>
              <w:spacing w:after="0"/>
              <w:rPr>
                <w:sz w:val="1"/>
                <w:szCs w:val="1"/>
                <w:color w:val="auto"/>
              </w:rPr>
            </w:pPr>
          </w:p>
        </w:tc>
      </w:tr>
      <w:tr>
        <w:trPr>
          <w:trHeight w:val="51"/>
        </w:trPr>
        <w:tc>
          <w:tcPr>
            <w:tcW w:w="9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$600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vMerge w:val="restart"/>
          </w:tcPr>
          <w:p>
            <w:pPr>
              <w:jc w:val="right"/>
              <w:ind w:right="330"/>
              <w:spacing w:after="0"/>
              <w:rPr>
                <w:sz w:val="20"/>
                <w:szCs w:val="20"/>
                <w:color w:val="auto"/>
              </w:rPr>
            </w:pPr>
            <w:r>
              <w:rPr>
                <w:rFonts w:ascii="Arial" w:cs="Arial" w:eastAsia="Arial" w:hAnsi="Arial"/>
                <w:sz w:val="14"/>
                <w:szCs w:val="14"/>
                <w:color w:val="FFFFFF"/>
              </w:rPr>
              <w:t>$500</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Arial" w:cs="Arial" w:eastAsia="Arial" w:hAnsi="Arial"/>
                <w:sz w:val="14"/>
                <w:szCs w:val="14"/>
                <w:color w:val="FFFFFF"/>
              </w:rPr>
              <w:t>$488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vMerge w:val="restart"/>
          </w:tcPr>
          <w:p>
            <w:pPr>
              <w:jc w:val="right"/>
              <w:ind w:right="110"/>
              <w:spacing w:after="0"/>
              <w:rPr>
                <w:sz w:val="20"/>
                <w:szCs w:val="20"/>
                <w:color w:val="auto"/>
              </w:rPr>
            </w:pPr>
            <w:r>
              <w:rPr>
                <w:rFonts w:ascii="Arial" w:cs="Arial" w:eastAsia="Arial" w:hAnsi="Arial"/>
                <w:sz w:val="14"/>
                <w:szCs w:val="14"/>
                <w:color w:val="FFFFFF"/>
                <w:w w:val="83"/>
              </w:rPr>
              <w:t>$403</w:t>
            </w: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color w:val="FFFFFF"/>
              </w:rPr>
              <w:t>$428</w:t>
            </w: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00" w:type="dxa"/>
            <w:vAlign w:val="bottom"/>
          </w:tcPr>
          <w:p>
            <w:pPr>
              <w:jc w:val="right"/>
              <w:ind w:right="330"/>
              <w:spacing w:after="0" w:line="157" w:lineRule="exact"/>
              <w:rPr>
                <w:sz w:val="20"/>
                <w:szCs w:val="20"/>
                <w:color w:val="auto"/>
              </w:rPr>
            </w:pPr>
            <w:r>
              <w:rPr>
                <w:rFonts w:ascii="Arial" w:cs="Arial" w:eastAsia="Arial" w:hAnsi="Arial"/>
                <w:sz w:val="14"/>
                <w:szCs w:val="14"/>
                <w:color w:val="FFFFFF"/>
              </w:rPr>
              <w:t>$400</w:t>
            </w:r>
          </w:p>
        </w:tc>
        <w:tc>
          <w:tcPr>
            <w:tcW w:w="400" w:type="dxa"/>
            <w:vAlign w:val="bottom"/>
          </w:tcPr>
          <w:p>
            <w:pPr>
              <w:spacing w:after="0"/>
              <w:rPr>
                <w:sz w:val="13"/>
                <w:szCs w:val="13"/>
                <w:color w:val="auto"/>
              </w:rPr>
            </w:pPr>
          </w:p>
        </w:tc>
        <w:tc>
          <w:tcPr>
            <w:tcW w:w="860" w:type="dxa"/>
            <w:vAlign w:val="bottom"/>
            <w:vMerge w:val="restart"/>
          </w:tcPr>
          <w:p>
            <w:pPr>
              <w:jc w:val="right"/>
              <w:ind w:right="230"/>
              <w:spacing w:after="0"/>
              <w:rPr>
                <w:sz w:val="20"/>
                <w:szCs w:val="20"/>
                <w:color w:val="auto"/>
              </w:rPr>
            </w:pPr>
            <w:r>
              <w:rPr>
                <w:rFonts w:ascii="Arial" w:cs="Arial" w:eastAsia="Arial" w:hAnsi="Arial"/>
                <w:sz w:val="14"/>
                <w:szCs w:val="14"/>
                <w:color w:val="FFFFFF"/>
              </w:rPr>
              <w:t>$323</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900" w:type="dxa"/>
            <w:vAlign w:val="bottom"/>
            <w:vMerge w:val="restart"/>
          </w:tcPr>
          <w:p>
            <w:pPr>
              <w:jc w:val="right"/>
              <w:ind w:right="330"/>
              <w:spacing w:after="0"/>
              <w:rPr>
                <w:sz w:val="20"/>
                <w:szCs w:val="20"/>
                <w:color w:val="auto"/>
              </w:rPr>
            </w:pPr>
            <w:r>
              <w:rPr>
                <w:rFonts w:ascii="Arial" w:cs="Arial" w:eastAsia="Arial" w:hAnsi="Arial"/>
                <w:sz w:val="14"/>
                <w:szCs w:val="14"/>
                <w:color w:val="FFFFFF"/>
              </w:rPr>
              <w:t>$300</w:t>
            </w:r>
          </w:p>
        </w:tc>
        <w:tc>
          <w:tcPr>
            <w:tcW w:w="400" w:type="dxa"/>
            <w:vAlign w:val="bottom"/>
          </w:tcPr>
          <w:p>
            <w:pPr>
              <w:jc w:val="center"/>
              <w:ind w:left="10"/>
              <w:spacing w:after="0" w:line="147" w:lineRule="exact"/>
              <w:rPr>
                <w:sz w:val="20"/>
                <w:szCs w:val="20"/>
                <w:color w:val="auto"/>
              </w:rPr>
            </w:pPr>
            <w:r>
              <w:rPr>
                <w:rFonts w:ascii="Arial" w:cs="Arial" w:eastAsia="Arial" w:hAnsi="Arial"/>
                <w:sz w:val="14"/>
                <w:szCs w:val="14"/>
                <w:color w:val="FFFFFF"/>
                <w:w w:val="89"/>
              </w:rPr>
              <w:t>$278</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9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$200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$100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00" w:type="dxa"/>
            <w:vAlign w:val="bottom"/>
          </w:tcPr>
          <w:p>
            <w:pPr>
              <w:jc w:val="right"/>
              <w:ind w:right="330"/>
              <w:spacing w:after="0"/>
              <w:rPr>
                <w:sz w:val="20"/>
                <w:szCs w:val="20"/>
                <w:color w:val="auto"/>
              </w:rPr>
            </w:pPr>
            <w:r>
              <w:rPr>
                <w:rFonts w:ascii="Arial" w:cs="Arial" w:eastAsia="Arial" w:hAnsi="Arial"/>
                <w:sz w:val="14"/>
                <w:szCs w:val="14"/>
                <w:color w:val="FFFFFF"/>
              </w:rPr>
              <w:t>$0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400" w:type="dxa"/>
            <w:vAlign w:val="bottom"/>
          </w:tcPr>
          <w:p>
            <w:pPr>
              <w:jc w:val="center"/>
              <w:ind w:left="10"/>
              <w:spacing w:after="0"/>
              <w:rPr>
                <w:sz w:val="20"/>
                <w:szCs w:val="20"/>
                <w:color w:val="auto"/>
              </w:rPr>
            </w:pPr>
            <w:r>
              <w:rPr>
                <w:rFonts w:ascii="Arial" w:cs="Arial" w:eastAsia="Arial" w:hAnsi="Arial"/>
                <w:sz w:val="14"/>
                <w:szCs w:val="14"/>
                <w:color w:val="FFFFFF"/>
                <w:w w:val="89"/>
              </w:rPr>
              <w:t>2019</w:t>
            </w:r>
          </w:p>
        </w:tc>
        <w:tc>
          <w:tcPr>
            <w:tcW w:w="860" w:type="dxa"/>
            <w:vAlign w:val="bottom"/>
          </w:tcPr>
          <w:p>
            <w:pPr>
              <w:jc w:val="right"/>
              <w:ind w:right="150"/>
              <w:spacing w:after="0"/>
              <w:rPr>
                <w:sz w:val="20"/>
                <w:szCs w:val="20"/>
                <w:color w:val="auto"/>
              </w:rPr>
            </w:pPr>
            <w:r>
              <w:rPr>
                <w:rFonts w:ascii="Arial" w:cs="Arial" w:eastAsia="Arial" w:hAnsi="Arial"/>
                <w:sz w:val="14"/>
                <w:szCs w:val="14"/>
                <w:color w:val="FFFFFF"/>
              </w:rPr>
              <w:t>2020</w:t>
            </w:r>
          </w:p>
        </w:tc>
        <w:tc>
          <w:tcPr>
            <w:tcW w:w="460" w:type="dxa"/>
            <w:vAlign w:val="bottom"/>
          </w:tcPr>
          <w:p>
            <w:pPr>
              <w:jc w:val="right"/>
              <w:ind w:right="50"/>
              <w:spacing w:after="0"/>
              <w:rPr>
                <w:sz w:val="20"/>
                <w:szCs w:val="20"/>
                <w:color w:val="auto"/>
              </w:rPr>
            </w:pPr>
            <w:r>
              <w:rPr>
                <w:rFonts w:ascii="Arial" w:cs="Arial" w:eastAsia="Arial" w:hAnsi="Arial"/>
                <w:sz w:val="14"/>
                <w:szCs w:val="14"/>
                <w:color w:val="FFFFFF"/>
              </w:rPr>
              <w:t>2021</w:t>
            </w:r>
          </w:p>
        </w:tc>
        <w:tc>
          <w:tcPr>
            <w:tcW w:w="620" w:type="dxa"/>
            <w:vAlign w:val="bottom"/>
          </w:tcPr>
          <w:p>
            <w:pPr>
              <w:jc w:val="right"/>
              <w:ind w:right="92"/>
              <w:spacing w:after="0"/>
              <w:rPr>
                <w:sz w:val="20"/>
                <w:szCs w:val="20"/>
                <w:color w:val="auto"/>
              </w:rPr>
            </w:pPr>
            <w:r>
              <w:rPr>
                <w:rFonts w:ascii="Arial" w:cs="Arial" w:eastAsia="Arial" w:hAnsi="Arial"/>
                <w:sz w:val="14"/>
                <w:szCs w:val="14"/>
                <w:color w:val="FFFFFF"/>
              </w:rPr>
              <w:t>2022</w:t>
            </w:r>
          </w:p>
        </w:tc>
        <w:tc>
          <w:tcPr>
            <w:tcW w:w="640" w:type="dxa"/>
            <w:vAlign w:val="bottom"/>
          </w:tcPr>
          <w:p>
            <w:pPr>
              <w:jc w:val="right"/>
              <w:ind w:right="150"/>
              <w:spacing w:after="0"/>
              <w:rPr>
                <w:sz w:val="20"/>
                <w:szCs w:val="20"/>
                <w:color w:val="auto"/>
              </w:rPr>
            </w:pPr>
            <w:r>
              <w:rPr>
                <w:rFonts w:ascii="Arial" w:cs="Arial" w:eastAsia="Arial" w:hAnsi="Arial"/>
                <w:sz w:val="14"/>
                <w:szCs w:val="14"/>
                <w:color w:val="FFFFFF"/>
              </w:rPr>
              <w:t>2023</w:t>
            </w:r>
          </w:p>
        </w:tc>
        <w:tc>
          <w:tcPr>
            <w:tcW w:w="500" w:type="dxa"/>
            <w:vAlign w:val="bottom"/>
          </w:tcPr>
          <w:p>
            <w:pPr>
              <w:jc w:val="center"/>
              <w:ind w:right="130"/>
              <w:spacing w:after="0"/>
              <w:rPr>
                <w:sz w:val="20"/>
                <w:szCs w:val="20"/>
                <w:color w:val="auto"/>
              </w:rPr>
            </w:pPr>
            <w:r>
              <w:rPr>
                <w:rFonts w:ascii="Arial" w:cs="Arial" w:eastAsia="Arial" w:hAnsi="Arial"/>
                <w:sz w:val="14"/>
                <w:szCs w:val="14"/>
                <w:color w:val="FFFFFF"/>
                <w:w w:val="96"/>
              </w:rPr>
              <w:t>2024</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right"/>
        <w:ind w:right="280"/>
        <w:spacing w:after="0"/>
        <w:rPr>
          <w:sz w:val="20"/>
          <w:szCs w:val="20"/>
          <w:color w:val="auto"/>
        </w:rPr>
      </w:pPr>
      <w:r>
        <w:rPr>
          <w:rFonts w:ascii="Arial" w:cs="Arial" w:eastAsia="Arial" w:hAnsi="Arial"/>
          <w:sz w:val="12"/>
          <w:szCs w:val="12"/>
          <w:color w:val="FFFFFF"/>
        </w:rPr>
        <w:t>Source: Tradeweb Internal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tcPr>
          <w:p>
            <w:pPr>
              <w:jc w:val="right"/>
              <w:ind w:right="130"/>
              <w:spacing w:after="0"/>
              <w:rPr>
                <w:sz w:val="20"/>
                <w:szCs w:val="20"/>
                <w:color w:val="auto"/>
              </w:rPr>
            </w:pPr>
            <w:r>
              <w:rPr>
                <w:rFonts w:ascii="Arial" w:cs="Arial" w:eastAsia="Arial" w:hAnsi="Arial"/>
                <w:sz w:val="14"/>
                <w:szCs w:val="14"/>
                <w:color w:val="FFFFFF"/>
                <w:w w:val="89"/>
              </w:rPr>
              <w:t>TOTAL AiEX CLIENTS</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2"/>
        </w:trPr>
        <w:tc>
          <w:tcPr>
            <w:tcW w:w="1500" w:type="dxa"/>
            <w:vAlign w:val="bottom"/>
          </w:tcPr>
          <w:p>
            <w:pPr>
              <w:jc w:val="right"/>
              <w:ind w:right="930"/>
              <w:spacing w:after="0"/>
              <w:rPr>
                <w:sz w:val="20"/>
                <w:szCs w:val="20"/>
                <w:color w:val="auto"/>
              </w:rPr>
            </w:pPr>
            <w:r>
              <w:rPr>
                <w:rFonts w:ascii="Arial" w:cs="Arial" w:eastAsia="Arial" w:hAnsi="Arial"/>
                <w:sz w:val="14"/>
                <w:szCs w:val="14"/>
                <w:color w:val="FFFFFF"/>
              </w:rPr>
              <w:t>350</w:t>
            </w:r>
          </w:p>
        </w:tc>
        <w:tc>
          <w:tcPr>
            <w:tcW w:w="2660" w:type="dxa"/>
            <w:vAlign w:val="bottom"/>
            <w:vMerge w:val="restart"/>
          </w:tcPr>
          <w:p>
            <w:pPr>
              <w:jc w:val="right"/>
              <w:spacing w:after="0"/>
              <w:rPr>
                <w:sz w:val="20"/>
                <w:szCs w:val="20"/>
                <w:color w:val="auto"/>
              </w:rPr>
            </w:pPr>
            <w:r>
              <w:rPr>
                <w:rFonts w:ascii="Arial" w:cs="Arial" w:eastAsia="Arial" w:hAnsi="Arial"/>
                <w:sz w:val="14"/>
                <w:szCs w:val="14"/>
                <w:color w:val="FFFFFF"/>
              </w:rPr>
              <w:t>322</w:t>
            </w:r>
          </w:p>
        </w:tc>
        <w:tc>
          <w:tcPr>
            <w:tcW w:w="0" w:type="dxa"/>
            <w:vAlign w:val="bottom"/>
          </w:tcPr>
          <w:p>
            <w:pPr>
              <w:spacing w:after="0"/>
              <w:rPr>
                <w:sz w:val="1"/>
                <w:szCs w:val="1"/>
                <w:color w:val="auto"/>
              </w:rPr>
            </w:pPr>
          </w:p>
        </w:tc>
      </w:tr>
      <w:tr>
        <w:trPr>
          <w:trHeight w:val="60"/>
        </w:trPr>
        <w:tc>
          <w:tcPr>
            <w:tcW w:w="15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500" w:type="dxa"/>
            <w:vAlign w:val="bottom"/>
          </w:tcPr>
          <w:p>
            <w:pPr>
              <w:jc w:val="right"/>
              <w:ind w:right="930"/>
              <w:spacing w:after="0"/>
              <w:rPr>
                <w:sz w:val="20"/>
                <w:szCs w:val="20"/>
                <w:color w:val="auto"/>
              </w:rPr>
            </w:pPr>
            <w:r>
              <w:rPr>
                <w:rFonts w:ascii="Arial" w:cs="Arial" w:eastAsia="Arial" w:hAnsi="Arial"/>
                <w:sz w:val="14"/>
                <w:szCs w:val="14"/>
                <w:color w:val="FFFFFF"/>
              </w:rPr>
              <w:t>300</w:t>
            </w:r>
          </w:p>
        </w:tc>
        <w:tc>
          <w:tcPr>
            <w:tcW w:w="2660" w:type="dxa"/>
            <w:vAlign w:val="bottom"/>
          </w:tcPr>
          <w:p>
            <w:pPr>
              <w:jc w:val="right"/>
              <w:ind w:right="450"/>
              <w:spacing w:after="0"/>
              <w:rPr>
                <w:sz w:val="20"/>
                <w:szCs w:val="20"/>
                <w:color w:val="auto"/>
              </w:rPr>
            </w:pPr>
            <w:r>
              <w:rPr>
                <w:rFonts w:ascii="Arial" w:cs="Arial" w:eastAsia="Arial" w:hAnsi="Arial"/>
                <w:sz w:val="14"/>
                <w:szCs w:val="14"/>
                <w:color w:val="FFFFFF"/>
              </w:rPr>
              <w:t>285</w:t>
            </w:r>
          </w:p>
        </w:tc>
        <w:tc>
          <w:tcPr>
            <w:tcW w:w="0" w:type="dxa"/>
            <w:vAlign w:val="bottom"/>
          </w:tcPr>
          <w:p>
            <w:pPr>
              <w:spacing w:after="0"/>
              <w:rPr>
                <w:sz w:val="1"/>
                <w:szCs w:val="1"/>
                <w:color w:val="auto"/>
              </w:rPr>
            </w:pPr>
          </w:p>
        </w:tc>
      </w:tr>
      <w:tr>
        <w:trPr>
          <w:trHeight w:val="183"/>
        </w:trPr>
        <w:tc>
          <w:tcPr>
            <w:tcW w:w="1500" w:type="dxa"/>
            <w:vAlign w:val="bottom"/>
            <w:vMerge w:val="restart"/>
          </w:tcPr>
          <w:p>
            <w:pPr>
              <w:jc w:val="right"/>
              <w:ind w:right="930"/>
              <w:spacing w:after="0"/>
              <w:rPr>
                <w:sz w:val="20"/>
                <w:szCs w:val="20"/>
                <w:color w:val="auto"/>
              </w:rPr>
            </w:pPr>
            <w:r>
              <w:rPr>
                <w:rFonts w:ascii="Arial" w:cs="Arial" w:eastAsia="Arial" w:hAnsi="Arial"/>
                <w:sz w:val="14"/>
                <w:szCs w:val="14"/>
                <w:color w:val="FFFFFF"/>
              </w:rPr>
              <w:t>250</w:t>
            </w:r>
          </w:p>
        </w:tc>
        <w:tc>
          <w:tcPr>
            <w:tcW w:w="2660" w:type="dxa"/>
            <w:vAlign w:val="bottom"/>
          </w:tcPr>
          <w:p>
            <w:pPr>
              <w:jc w:val="right"/>
              <w:ind w:right="1030"/>
              <w:spacing w:after="0"/>
              <w:rPr>
                <w:sz w:val="20"/>
                <w:szCs w:val="20"/>
                <w:color w:val="auto"/>
              </w:rPr>
            </w:pPr>
            <w:r>
              <w:rPr>
                <w:rFonts w:ascii="Arial" w:cs="Arial" w:eastAsia="Arial" w:hAnsi="Arial"/>
                <w:sz w:val="14"/>
                <w:szCs w:val="14"/>
                <w:color w:val="FFFFFF"/>
              </w:rPr>
              <w:t>248</w:t>
            </w:r>
          </w:p>
        </w:tc>
        <w:tc>
          <w:tcPr>
            <w:tcW w:w="0" w:type="dxa"/>
            <w:vAlign w:val="bottom"/>
          </w:tcPr>
          <w:p>
            <w:pPr>
              <w:spacing w:after="0"/>
              <w:rPr>
                <w:sz w:val="1"/>
                <w:szCs w:val="1"/>
                <w:color w:val="auto"/>
              </w:rPr>
            </w:pPr>
          </w:p>
        </w:tc>
      </w:tr>
      <w:tr>
        <w:trPr>
          <w:trHeight w:val="109"/>
        </w:trPr>
        <w:tc>
          <w:tcPr>
            <w:tcW w:w="1500" w:type="dxa"/>
            <w:vAlign w:val="bottom"/>
            <w:vMerge w:val="continue"/>
          </w:tcPr>
          <w:p>
            <w:pPr>
              <w:spacing w:after="0"/>
              <w:rPr>
                <w:sz w:val="9"/>
                <w:szCs w:val="9"/>
                <w:color w:val="auto"/>
              </w:rPr>
            </w:pPr>
          </w:p>
        </w:tc>
        <w:tc>
          <w:tcPr>
            <w:tcW w:w="2660" w:type="dxa"/>
            <w:vAlign w:val="bottom"/>
            <w:vMerge w:val="restart"/>
          </w:tcPr>
          <w:p>
            <w:pPr>
              <w:jc w:val="right"/>
              <w:ind w:right="1610"/>
              <w:spacing w:after="0" w:line="145" w:lineRule="exact"/>
              <w:rPr>
                <w:sz w:val="20"/>
                <w:szCs w:val="20"/>
                <w:color w:val="auto"/>
              </w:rPr>
            </w:pPr>
            <w:r>
              <w:rPr>
                <w:rFonts w:ascii="Arial" w:cs="Arial" w:eastAsia="Arial" w:hAnsi="Arial"/>
                <w:sz w:val="14"/>
                <w:szCs w:val="14"/>
                <w:color w:val="FFFFFF"/>
              </w:rPr>
              <w:t>228</w:t>
            </w:r>
          </w:p>
        </w:tc>
        <w:tc>
          <w:tcPr>
            <w:tcW w:w="0" w:type="dxa"/>
            <w:vAlign w:val="bottom"/>
          </w:tcPr>
          <w:p>
            <w:pPr>
              <w:spacing w:after="0"/>
              <w:rPr>
                <w:sz w:val="1"/>
                <w:szCs w:val="1"/>
                <w:color w:val="auto"/>
              </w:rPr>
            </w:pPr>
          </w:p>
        </w:tc>
      </w:tr>
      <w:tr>
        <w:trPr>
          <w:trHeight w:val="36"/>
        </w:trPr>
        <w:tc>
          <w:tcPr>
            <w:tcW w:w="1500" w:type="dxa"/>
            <w:vAlign w:val="bottom"/>
          </w:tcPr>
          <w:p>
            <w:pPr>
              <w:spacing w:after="0"/>
              <w:rPr>
                <w:sz w:val="3"/>
                <w:szCs w:val="3"/>
                <w:color w:val="auto"/>
              </w:rPr>
            </w:pPr>
          </w:p>
        </w:tc>
        <w:tc>
          <w:tcPr>
            <w:tcW w:w="2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00" w:type="dxa"/>
            <w:vAlign w:val="bottom"/>
          </w:tcPr>
          <w:p>
            <w:pPr>
              <w:jc w:val="right"/>
              <w:ind w:right="930"/>
              <w:spacing w:after="0"/>
              <w:rPr>
                <w:sz w:val="20"/>
                <w:szCs w:val="20"/>
                <w:color w:val="auto"/>
              </w:rPr>
            </w:pPr>
            <w:r>
              <w:rPr>
                <w:rFonts w:ascii="Arial" w:cs="Arial" w:eastAsia="Arial" w:hAnsi="Arial"/>
                <w:sz w:val="14"/>
                <w:szCs w:val="14"/>
                <w:color w:val="FFFFFF"/>
              </w:rPr>
              <w:t>200</w:t>
            </w:r>
          </w:p>
        </w:tc>
        <w:tc>
          <w:tcPr>
            <w:tcW w:w="2660" w:type="dxa"/>
            <w:vAlign w:val="bottom"/>
          </w:tcPr>
          <w:p>
            <w:pPr>
              <w:jc w:val="right"/>
              <w:ind w:right="2170"/>
              <w:spacing w:after="0"/>
              <w:rPr>
                <w:sz w:val="20"/>
                <w:szCs w:val="20"/>
                <w:color w:val="auto"/>
              </w:rPr>
            </w:pPr>
            <w:r>
              <w:rPr>
                <w:rFonts w:ascii="Arial" w:cs="Arial" w:eastAsia="Arial" w:hAnsi="Arial"/>
                <w:sz w:val="14"/>
                <w:szCs w:val="14"/>
                <w:color w:val="FFFFFF"/>
              </w:rPr>
              <w:t>188</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00"/>
        <w:spacing w:after="0"/>
        <w:rPr>
          <w:sz w:val="20"/>
          <w:szCs w:val="20"/>
          <w:color w:val="auto"/>
        </w:rPr>
      </w:pPr>
      <w:r>
        <w:rPr>
          <w:rFonts w:ascii="Arial" w:cs="Arial" w:eastAsia="Arial" w:hAnsi="Arial"/>
          <w:sz w:val="14"/>
          <w:szCs w:val="14"/>
          <w:color w:val="FFFFFF"/>
        </w:rPr>
        <w:t>150</w:t>
      </w:r>
    </w:p>
    <w:p>
      <w:pPr>
        <w:ind w:left="1060"/>
        <w:spacing w:after="0" w:line="218" w:lineRule="auto"/>
        <w:rPr>
          <w:sz w:val="20"/>
          <w:szCs w:val="20"/>
          <w:color w:val="auto"/>
        </w:rPr>
      </w:pPr>
      <w:r>
        <w:rPr>
          <w:rFonts w:ascii="Arial" w:cs="Arial" w:eastAsia="Arial" w:hAnsi="Arial"/>
          <w:sz w:val="14"/>
          <w:szCs w:val="14"/>
          <w:color w:val="FFFFFF"/>
        </w:rPr>
        <w:t>101</w:t>
      </w:r>
    </w:p>
    <w:p>
      <w:pPr>
        <w:jc w:val="right"/>
        <w:ind w:right="3900"/>
        <w:spacing w:after="0" w:line="216" w:lineRule="auto"/>
        <w:rPr>
          <w:sz w:val="20"/>
          <w:szCs w:val="20"/>
          <w:color w:val="auto"/>
        </w:rPr>
      </w:pPr>
      <w:r>
        <w:rPr>
          <w:rFonts w:ascii="Arial" w:cs="Arial" w:eastAsia="Arial" w:hAnsi="Arial"/>
          <w:sz w:val="14"/>
          <w:szCs w:val="14"/>
          <w:color w:val="FFFFFF"/>
        </w:rPr>
        <w:t>100</w:t>
      </w:r>
    </w:p>
    <w:p>
      <w:pPr>
        <w:spacing w:after="0" w:line="131"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50</w:t>
      </w:r>
    </w:p>
    <w:p>
      <w:pPr>
        <w:spacing w:after="0" w:line="131"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0</w:t>
      </w:r>
    </w:p>
    <w:p>
      <w:pPr>
        <w:spacing w:after="0" w:line="18" w:lineRule="exact"/>
        <w:rPr>
          <w:sz w:val="20"/>
          <w:szCs w:val="20"/>
          <w:color w:val="auto"/>
        </w:rPr>
      </w:pPr>
    </w:p>
    <w:p>
      <w:pPr>
        <w:ind w:left="1020"/>
        <w:spacing w:after="0"/>
        <w:tabs>
          <w:tab w:leader="none" w:pos="1660" w:val="left"/>
          <w:tab w:leader="none" w:pos="2220" w:val="left"/>
          <w:tab w:leader="none" w:pos="2800" w:val="left"/>
          <w:tab w:leader="none" w:pos="3380" w:val="left"/>
          <w:tab w:leader="none" w:pos="3900" w:val="left"/>
        </w:tabs>
        <w:rPr>
          <w:sz w:val="20"/>
          <w:szCs w:val="20"/>
          <w:color w:val="auto"/>
        </w:rPr>
      </w:pPr>
      <w:r>
        <w:rPr>
          <w:rFonts w:ascii="Arial" w:cs="Arial" w:eastAsia="Arial" w:hAnsi="Arial"/>
          <w:sz w:val="14"/>
          <w:szCs w:val="14"/>
          <w:color w:val="FFFFFF"/>
        </w:rPr>
        <w:t>2019</w:t>
      </w:r>
      <w:r>
        <w:rPr>
          <w:sz w:val="20"/>
          <w:szCs w:val="20"/>
          <w:color w:val="auto"/>
        </w:rPr>
        <w:tab/>
      </w:r>
      <w:r>
        <w:rPr>
          <w:rFonts w:ascii="Arial" w:cs="Arial" w:eastAsia="Arial" w:hAnsi="Arial"/>
          <w:sz w:val="14"/>
          <w:szCs w:val="14"/>
          <w:color w:val="FFFFFF"/>
        </w:rPr>
        <w:t>2020</w:t>
      </w:r>
      <w:r>
        <w:rPr>
          <w:sz w:val="20"/>
          <w:szCs w:val="20"/>
          <w:color w:val="auto"/>
        </w:rPr>
        <w:tab/>
      </w:r>
      <w:r>
        <w:rPr>
          <w:rFonts w:ascii="Arial" w:cs="Arial" w:eastAsia="Arial" w:hAnsi="Arial"/>
          <w:sz w:val="14"/>
          <w:szCs w:val="14"/>
          <w:color w:val="FFFFFF"/>
        </w:rPr>
        <w:t>2021</w:t>
      </w:r>
      <w:r>
        <w:rPr>
          <w:sz w:val="20"/>
          <w:szCs w:val="20"/>
          <w:color w:val="auto"/>
        </w:rPr>
        <w:tab/>
      </w:r>
      <w:r>
        <w:rPr>
          <w:rFonts w:ascii="Arial" w:cs="Arial" w:eastAsia="Arial" w:hAnsi="Arial"/>
          <w:sz w:val="14"/>
          <w:szCs w:val="14"/>
          <w:color w:val="FFFFFF"/>
        </w:rPr>
        <w:t>2022</w:t>
      </w:r>
      <w:r>
        <w:rPr>
          <w:sz w:val="20"/>
          <w:szCs w:val="20"/>
          <w:color w:val="auto"/>
        </w:rPr>
        <w:tab/>
      </w:r>
      <w:r>
        <w:rPr>
          <w:rFonts w:ascii="Arial" w:cs="Arial" w:eastAsia="Arial" w:hAnsi="Arial"/>
          <w:sz w:val="14"/>
          <w:szCs w:val="14"/>
          <w:color w:val="FFFFFF"/>
        </w:rPr>
        <w:t>2023</w:t>
      </w:r>
      <w:r>
        <w:rPr>
          <w:sz w:val="20"/>
          <w:szCs w:val="20"/>
          <w:color w:val="auto"/>
        </w:rPr>
        <w:tab/>
      </w:r>
      <w:r>
        <w:rPr>
          <w:rFonts w:ascii="Arial" w:cs="Arial" w:eastAsia="Arial" w:hAnsi="Arial"/>
          <w:sz w:val="13"/>
          <w:szCs w:val="13"/>
          <w:color w:val="FFFFFF"/>
        </w:rPr>
        <w:t>2024</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2"/>
          <w:szCs w:val="12"/>
          <w:color w:val="FFFFFF"/>
        </w:rPr>
        <w:t>Source: Tradeweb Internal Data</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AiEX TRADE STATS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0" w:type="dxa"/>
            <w:vAlign w:val="bottom"/>
          </w:tcPr>
          <w:p>
            <w:pPr>
              <w:jc w:val="right"/>
              <w:ind w:right="170"/>
              <w:spacing w:after="0"/>
              <w:rPr>
                <w:sz w:val="20"/>
                <w:szCs w:val="20"/>
                <w:color w:val="auto"/>
              </w:rPr>
            </w:pPr>
            <w:r>
              <w:rPr>
                <w:rFonts w:ascii="Arial" w:cs="Arial" w:eastAsia="Arial" w:hAnsi="Arial"/>
                <w:sz w:val="14"/>
                <w:szCs w:val="14"/>
                <w:color w:val="FFFFFF"/>
              </w:rPr>
              <w:t>30,000</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FFFFFF"/>
                <w:w w:val="97"/>
              </w:rPr>
              <w:t>26,680</w:t>
            </w:r>
          </w:p>
        </w:tc>
        <w:tc>
          <w:tcPr>
            <w:tcW w:w="660" w:type="dxa"/>
            <w:vAlign w:val="bottom"/>
          </w:tcPr>
          <w:p>
            <w:pPr>
              <w:ind w:left="400"/>
              <w:spacing w:after="0"/>
              <w:rPr>
                <w:sz w:val="20"/>
                <w:szCs w:val="20"/>
                <w:color w:val="auto"/>
              </w:rPr>
            </w:pPr>
            <w:r>
              <w:rPr>
                <w:rFonts w:ascii="Arial" w:cs="Arial" w:eastAsia="Arial" w:hAnsi="Arial"/>
                <w:sz w:val="14"/>
                <w:szCs w:val="14"/>
                <w:color w:val="FFFFFF"/>
                <w:w w:val="85"/>
              </w:rPr>
              <w:t>50%</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w w:val="85"/>
              </w:rPr>
              <w:t>45%</w:t>
            </w: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760" w:type="dxa"/>
            <w:vAlign w:val="bottom"/>
          </w:tcPr>
          <w:p>
            <w:pPr>
              <w:jc w:val="right"/>
              <w:ind w:right="170"/>
              <w:spacing w:after="0" w:line="159" w:lineRule="exact"/>
              <w:rPr>
                <w:sz w:val="20"/>
                <w:szCs w:val="20"/>
                <w:color w:val="auto"/>
              </w:rPr>
            </w:pPr>
            <w:r>
              <w:rPr>
                <w:rFonts w:ascii="Arial" w:cs="Arial" w:eastAsia="Arial" w:hAnsi="Arial"/>
                <w:sz w:val="14"/>
                <w:szCs w:val="14"/>
                <w:color w:val="FFFFFF"/>
              </w:rPr>
              <w:t>25,000</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w w:val="85"/>
              </w:rPr>
              <w:t>40%</w:t>
            </w: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60" w:type="dxa"/>
            <w:vAlign w:val="bottom"/>
            <w:vMerge w:val="restart"/>
          </w:tcPr>
          <w:p>
            <w:pPr>
              <w:jc w:val="right"/>
              <w:ind w:right="170"/>
              <w:spacing w:after="0"/>
              <w:rPr>
                <w:sz w:val="20"/>
                <w:szCs w:val="20"/>
                <w:color w:val="auto"/>
              </w:rPr>
            </w:pPr>
            <w:r>
              <w:rPr>
                <w:rFonts w:ascii="Arial" w:cs="Arial" w:eastAsia="Arial" w:hAnsi="Arial"/>
                <w:sz w:val="14"/>
                <w:szCs w:val="14"/>
                <w:color w:val="FFFFFF"/>
              </w:rPr>
              <w:t>20,000</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FFFFFF"/>
              </w:rPr>
              <w:t>19,728</w:t>
            </w:r>
          </w:p>
        </w:tc>
        <w:tc>
          <w:tcPr>
            <w:tcW w:w="52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4"/>
                <w:szCs w:val="14"/>
                <w:color w:val="FFFFFF"/>
                <w:w w:val="85"/>
              </w:rPr>
              <w:t>35%</w:t>
            </w:r>
          </w:p>
        </w:tc>
        <w:tc>
          <w:tcPr>
            <w:tcW w:w="0" w:type="dxa"/>
            <w:vAlign w:val="bottom"/>
          </w:tcPr>
          <w:p>
            <w:pPr>
              <w:spacing w:after="0"/>
              <w:rPr>
                <w:sz w:val="1"/>
                <w:szCs w:val="1"/>
                <w:color w:val="auto"/>
              </w:rPr>
            </w:pPr>
          </w:p>
        </w:tc>
      </w:tr>
      <w:tr>
        <w:trPr>
          <w:trHeight w:val="46"/>
        </w:trPr>
        <w:tc>
          <w:tcPr>
            <w:tcW w:w="7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7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w w:val="85"/>
              </w:rPr>
              <w:t>30%</w:t>
            </w: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760" w:type="dxa"/>
            <w:vAlign w:val="bottom"/>
          </w:tcPr>
          <w:p>
            <w:pPr>
              <w:jc w:val="right"/>
              <w:ind w:right="170"/>
              <w:spacing w:after="0"/>
              <w:rPr>
                <w:sz w:val="20"/>
                <w:szCs w:val="20"/>
                <w:color w:val="auto"/>
              </w:rPr>
            </w:pPr>
            <w:r>
              <w:rPr>
                <w:rFonts w:ascii="Arial" w:cs="Arial" w:eastAsia="Arial" w:hAnsi="Arial"/>
                <w:sz w:val="14"/>
                <w:szCs w:val="14"/>
                <w:color w:val="FFFFFF"/>
              </w:rPr>
              <w:t>15,000</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FFFFFF"/>
                <w:w w:val="97"/>
              </w:rPr>
              <w:t>12,516</w:t>
            </w:r>
          </w:p>
        </w:tc>
        <w:tc>
          <w:tcPr>
            <w:tcW w:w="52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4"/>
                <w:szCs w:val="14"/>
                <w:color w:val="FFFFFF"/>
                <w:w w:val="85"/>
              </w:rPr>
              <w:t>25%</w:t>
            </w:r>
          </w:p>
        </w:tc>
        <w:tc>
          <w:tcPr>
            <w:tcW w:w="0" w:type="dxa"/>
            <w:vAlign w:val="bottom"/>
          </w:tcPr>
          <w:p>
            <w:pPr>
              <w:spacing w:after="0"/>
              <w:rPr>
                <w:sz w:val="1"/>
                <w:szCs w:val="1"/>
                <w:color w:val="auto"/>
              </w:rPr>
            </w:pPr>
          </w:p>
        </w:tc>
      </w:tr>
      <w:tr>
        <w:trPr>
          <w:trHeight w:val="79"/>
        </w:trPr>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w w:val="85"/>
              </w:rPr>
              <w:t>20%</w:t>
            </w:r>
          </w:p>
        </w:tc>
        <w:tc>
          <w:tcPr>
            <w:tcW w:w="0" w:type="dxa"/>
            <w:vAlign w:val="bottom"/>
          </w:tcPr>
          <w:p>
            <w:pPr>
              <w:spacing w:after="0"/>
              <w:rPr>
                <w:sz w:val="1"/>
                <w:szCs w:val="1"/>
                <w:color w:val="auto"/>
              </w:rPr>
            </w:pPr>
          </w:p>
        </w:tc>
      </w:tr>
      <w:tr>
        <w:trPr>
          <w:trHeight w:val="113"/>
        </w:trPr>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FFFFFF"/>
                <w:w w:val="85"/>
              </w:rPr>
              <w:t>9,063</w:t>
            </w: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60" w:type="dxa"/>
            <w:vAlign w:val="bottom"/>
          </w:tcPr>
          <w:p>
            <w:pPr>
              <w:jc w:val="right"/>
              <w:ind w:right="170"/>
              <w:spacing w:after="0" w:line="148" w:lineRule="exact"/>
              <w:rPr>
                <w:sz w:val="20"/>
                <w:szCs w:val="20"/>
                <w:color w:val="auto"/>
              </w:rPr>
            </w:pPr>
            <w:r>
              <w:rPr>
                <w:rFonts w:ascii="Arial" w:cs="Arial" w:eastAsia="Arial" w:hAnsi="Arial"/>
                <w:sz w:val="14"/>
                <w:szCs w:val="14"/>
                <w:color w:val="FFFFFF"/>
              </w:rPr>
              <w:t>10,000</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w w:val="85"/>
              </w:rPr>
              <w:t>15%</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gridSpan w:val="3"/>
            <w:vMerge w:val="restart"/>
          </w:tcPr>
          <w:p>
            <w:pPr>
              <w:jc w:val="right"/>
              <w:ind w:right="97"/>
              <w:spacing w:after="0" w:line="159" w:lineRule="exact"/>
              <w:rPr>
                <w:sz w:val="20"/>
                <w:szCs w:val="20"/>
                <w:color w:val="auto"/>
              </w:rPr>
            </w:pPr>
            <w:r>
              <w:rPr>
                <w:rFonts w:ascii="Arial" w:cs="Arial" w:eastAsia="Arial" w:hAnsi="Arial"/>
                <w:sz w:val="14"/>
                <w:szCs w:val="14"/>
                <w:color w:val="FFFFFF"/>
              </w:rPr>
              <w:t>6,234</w:t>
            </w: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60" w:type="dxa"/>
            <w:vAlign w:val="bottom"/>
            <w:vMerge w:val="restart"/>
          </w:tcPr>
          <w:p>
            <w:pPr>
              <w:jc w:val="right"/>
              <w:ind w:right="170"/>
              <w:spacing w:after="0"/>
              <w:rPr>
                <w:sz w:val="20"/>
                <w:szCs w:val="20"/>
                <w:color w:val="auto"/>
              </w:rPr>
            </w:pPr>
            <w:r>
              <w:rPr>
                <w:rFonts w:ascii="Arial" w:cs="Arial" w:eastAsia="Arial" w:hAnsi="Arial"/>
                <w:sz w:val="14"/>
                <w:szCs w:val="14"/>
                <w:color w:val="FFFFFF"/>
              </w:rPr>
              <w:t>5,000</w:t>
            </w:r>
          </w:p>
        </w:tc>
        <w:tc>
          <w:tcPr>
            <w:tcW w:w="660" w:type="dxa"/>
            <w:vAlign w:val="bottom"/>
          </w:tcPr>
          <w:p>
            <w:pPr>
              <w:jc w:val="right"/>
              <w:ind w:right="10"/>
              <w:spacing w:after="0"/>
              <w:rPr>
                <w:sz w:val="20"/>
                <w:szCs w:val="20"/>
                <w:color w:val="auto"/>
              </w:rPr>
            </w:pPr>
            <w:r>
              <w:rPr>
                <w:rFonts w:ascii="Arial" w:cs="Arial" w:eastAsia="Arial" w:hAnsi="Arial"/>
                <w:sz w:val="14"/>
                <w:szCs w:val="14"/>
                <w:color w:val="FFFFFF"/>
              </w:rPr>
              <w:t>4,795</w:t>
            </w:r>
          </w:p>
        </w:tc>
        <w:tc>
          <w:tcPr>
            <w:tcW w:w="5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4"/>
                <w:szCs w:val="14"/>
                <w:color w:val="FFFFFF"/>
                <w:w w:val="85"/>
              </w:rPr>
              <w:t>10%</w:t>
            </w:r>
          </w:p>
        </w:tc>
        <w:tc>
          <w:tcPr>
            <w:tcW w:w="0" w:type="dxa"/>
            <w:vAlign w:val="bottom"/>
          </w:tcPr>
          <w:p>
            <w:pPr>
              <w:spacing w:after="0"/>
              <w:rPr>
                <w:sz w:val="1"/>
                <w:szCs w:val="1"/>
                <w:color w:val="auto"/>
              </w:rPr>
            </w:pPr>
          </w:p>
        </w:tc>
      </w:tr>
      <w:tr>
        <w:trPr>
          <w:trHeight w:val="76"/>
        </w:trPr>
        <w:tc>
          <w:tcPr>
            <w:tcW w:w="7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restart"/>
          </w:tcPr>
          <w:p>
            <w:pPr>
              <w:ind w:left="400"/>
              <w:spacing w:after="0"/>
              <w:rPr>
                <w:sz w:val="20"/>
                <w:szCs w:val="20"/>
                <w:color w:val="auto"/>
              </w:rPr>
            </w:pPr>
            <w:r>
              <w:rPr>
                <w:rFonts w:ascii="Arial" w:cs="Arial" w:eastAsia="Arial" w:hAnsi="Arial"/>
                <w:sz w:val="14"/>
                <w:szCs w:val="14"/>
                <w:color w:val="FFFFFF"/>
              </w:rPr>
              <w:t>5%</w:t>
            </w: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0" w:type="dxa"/>
            <w:vAlign w:val="bottom"/>
          </w:tcPr>
          <w:p>
            <w:pPr>
              <w:jc w:val="right"/>
              <w:ind w:right="170"/>
              <w:spacing w:after="0"/>
              <w:rPr>
                <w:sz w:val="20"/>
                <w:szCs w:val="20"/>
                <w:color w:val="auto"/>
              </w:rPr>
            </w:pPr>
            <w:r>
              <w:rPr>
                <w:rFonts w:ascii="Arial" w:cs="Arial" w:eastAsia="Arial" w:hAnsi="Arial"/>
                <w:sz w:val="14"/>
                <w:szCs w:val="14"/>
                <w:color w:val="FFFFFF"/>
              </w:rPr>
              <w:t>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4"/>
                <w:szCs w:val="14"/>
                <w:color w:val="FFFFFF"/>
              </w:rPr>
              <w:t>0%</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FFFFFF"/>
              </w:rPr>
              <w:t>2019</w:t>
            </w:r>
          </w:p>
        </w:tc>
        <w:tc>
          <w:tcPr>
            <w:tcW w:w="520" w:type="dxa"/>
            <w:vAlign w:val="bottom"/>
            <w:gridSpan w:val="3"/>
          </w:tcPr>
          <w:p>
            <w:pPr>
              <w:jc w:val="right"/>
              <w:ind w:right="117"/>
              <w:spacing w:after="0"/>
              <w:rPr>
                <w:sz w:val="20"/>
                <w:szCs w:val="20"/>
                <w:color w:val="auto"/>
              </w:rPr>
            </w:pPr>
            <w:r>
              <w:rPr>
                <w:rFonts w:ascii="Arial" w:cs="Arial" w:eastAsia="Arial" w:hAnsi="Arial"/>
                <w:sz w:val="14"/>
                <w:szCs w:val="14"/>
                <w:color w:val="FFFFFF"/>
              </w:rPr>
              <w:t>2020</w:t>
            </w:r>
          </w:p>
        </w:tc>
        <w:tc>
          <w:tcPr>
            <w:tcW w:w="380" w:type="dxa"/>
            <w:vAlign w:val="bottom"/>
          </w:tcPr>
          <w:p>
            <w:pPr>
              <w:jc w:val="right"/>
              <w:ind w:right="10"/>
              <w:spacing w:after="0"/>
              <w:rPr>
                <w:sz w:val="20"/>
                <w:szCs w:val="20"/>
                <w:color w:val="auto"/>
              </w:rPr>
            </w:pPr>
            <w:r>
              <w:rPr>
                <w:rFonts w:ascii="Arial" w:cs="Arial" w:eastAsia="Arial" w:hAnsi="Arial"/>
                <w:sz w:val="14"/>
                <w:szCs w:val="14"/>
                <w:color w:val="FFFFFF"/>
                <w:w w:val="89"/>
              </w:rPr>
              <w:t>2021</w:t>
            </w:r>
          </w:p>
        </w:tc>
        <w:tc>
          <w:tcPr>
            <w:tcW w:w="420" w:type="dxa"/>
            <w:vAlign w:val="bottom"/>
          </w:tcPr>
          <w:p>
            <w:pPr>
              <w:jc w:val="right"/>
              <w:spacing w:after="0"/>
              <w:rPr>
                <w:sz w:val="20"/>
                <w:szCs w:val="20"/>
                <w:color w:val="auto"/>
              </w:rPr>
            </w:pPr>
            <w:r>
              <w:rPr>
                <w:rFonts w:ascii="Arial" w:cs="Arial" w:eastAsia="Arial" w:hAnsi="Arial"/>
                <w:sz w:val="14"/>
                <w:szCs w:val="14"/>
                <w:color w:val="FFFFFF"/>
              </w:rPr>
              <w:t>2022</w:t>
            </w:r>
          </w:p>
        </w:tc>
        <w:tc>
          <w:tcPr>
            <w:tcW w:w="500" w:type="dxa"/>
            <w:vAlign w:val="bottom"/>
          </w:tcPr>
          <w:p>
            <w:pPr>
              <w:jc w:val="right"/>
              <w:spacing w:after="0"/>
              <w:rPr>
                <w:sz w:val="20"/>
                <w:szCs w:val="20"/>
                <w:color w:val="auto"/>
              </w:rPr>
            </w:pPr>
            <w:r>
              <w:rPr>
                <w:rFonts w:ascii="Arial" w:cs="Arial" w:eastAsia="Arial" w:hAnsi="Arial"/>
                <w:sz w:val="14"/>
                <w:szCs w:val="14"/>
                <w:color w:val="FFFFFF"/>
              </w:rPr>
              <w:t>2023</w:t>
            </w:r>
          </w:p>
        </w:tc>
        <w:tc>
          <w:tcPr>
            <w:tcW w:w="520" w:type="dxa"/>
            <w:vAlign w:val="bottom"/>
          </w:tcPr>
          <w:p>
            <w:pPr>
              <w:jc w:val="center"/>
              <w:spacing w:after="0"/>
              <w:rPr>
                <w:sz w:val="20"/>
                <w:szCs w:val="20"/>
                <w:color w:val="auto"/>
              </w:rPr>
            </w:pPr>
            <w:r>
              <w:rPr>
                <w:rFonts w:ascii="Arial" w:cs="Arial" w:eastAsia="Arial" w:hAnsi="Arial"/>
                <w:sz w:val="14"/>
                <w:szCs w:val="14"/>
                <w:color w:val="FFFFFF"/>
                <w:w w:val="96"/>
              </w:rPr>
              <w:t>2024</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20" w:type="dxa"/>
            <w:vAlign w:val="bottom"/>
            <w:gridSpan w:val="2"/>
            <w:vMerge w:val="restart"/>
          </w:tcPr>
          <w:p>
            <w:pPr>
              <w:ind w:left="220"/>
              <w:spacing w:after="0"/>
              <w:rPr>
                <w:sz w:val="20"/>
                <w:szCs w:val="20"/>
                <w:color w:val="auto"/>
              </w:rPr>
            </w:pPr>
            <w:r>
              <w:rPr>
                <w:rFonts w:ascii="Arial" w:cs="Arial" w:eastAsia="Arial" w:hAnsi="Arial"/>
                <w:sz w:val="14"/>
                <w:szCs w:val="14"/>
                <w:color w:val="FFFFFF"/>
                <w:w w:val="87"/>
              </w:rPr>
              <w:t>Average Daily Trades</w:t>
            </w:r>
          </w:p>
        </w:tc>
        <w:tc>
          <w:tcPr>
            <w:tcW w:w="60" w:type="dxa"/>
            <w:vAlign w:val="bottom"/>
          </w:tcPr>
          <w:p>
            <w:pPr>
              <w:spacing w:after="0"/>
              <w:rPr>
                <w:sz w:val="14"/>
                <w:szCs w:val="14"/>
                <w:color w:val="auto"/>
              </w:rPr>
            </w:pPr>
          </w:p>
        </w:tc>
        <w:tc>
          <w:tcPr>
            <w:tcW w:w="260" w:type="dxa"/>
            <w:vAlign w:val="bottom"/>
            <w:tcBorders>
              <w:bottom w:val="single" w:sz="8" w:color="CCCCCC"/>
            </w:tcBorders>
          </w:tcPr>
          <w:p>
            <w:pPr>
              <w:spacing w:after="0"/>
              <w:rPr>
                <w:sz w:val="14"/>
                <w:szCs w:val="14"/>
                <w:color w:val="auto"/>
              </w:rPr>
            </w:pPr>
          </w:p>
        </w:tc>
        <w:tc>
          <w:tcPr>
            <w:tcW w:w="2680" w:type="dxa"/>
            <w:vAlign w:val="bottom"/>
            <w:gridSpan w:val="6"/>
            <w:vMerge w:val="restart"/>
          </w:tcPr>
          <w:p>
            <w:pPr>
              <w:ind w:left="40"/>
              <w:spacing w:after="0"/>
              <w:rPr>
                <w:sz w:val="20"/>
                <w:szCs w:val="20"/>
                <w:color w:val="auto"/>
              </w:rPr>
            </w:pPr>
            <w:r>
              <w:rPr>
                <w:rFonts w:ascii="Arial" w:cs="Arial" w:eastAsia="Arial" w:hAnsi="Arial"/>
                <w:sz w:val="14"/>
                <w:szCs w:val="14"/>
                <w:color w:val="FFFFFF"/>
                <w:w w:val="88"/>
              </w:rPr>
              <w:t>% of Inst. Trades</w:t>
            </w:r>
            <w:r>
              <w:rPr>
                <w:rFonts w:ascii="Arial" w:cs="Arial" w:eastAsia="Arial" w:hAnsi="Arial"/>
                <w:sz w:val="12"/>
                <w:szCs w:val="12"/>
                <w:color w:val="FFFFFF"/>
                <w:w w:val="88"/>
              </w:rPr>
              <w:t>Source: Tradeweb Internal Data</w:t>
            </w:r>
          </w:p>
        </w:tc>
        <w:tc>
          <w:tcPr>
            <w:tcW w:w="0" w:type="dxa"/>
            <w:vAlign w:val="bottom"/>
          </w:tcPr>
          <w:p>
            <w:pPr>
              <w:spacing w:after="0"/>
              <w:rPr>
                <w:sz w:val="1"/>
                <w:szCs w:val="1"/>
                <w:color w:val="auto"/>
              </w:rPr>
            </w:pPr>
          </w:p>
        </w:tc>
      </w:tr>
      <w:tr>
        <w:trPr>
          <w:trHeight w:val="54"/>
        </w:trPr>
        <w:tc>
          <w:tcPr>
            <w:tcW w:w="14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1"/>
        </w:trPr>
        <w:tc>
          <w:tcPr>
            <w:tcW w:w="3760" w:type="dxa"/>
            <w:vAlign w:val="bottom"/>
            <w:gridSpan w:val="9"/>
          </w:tcPr>
          <w:p>
            <w:pPr>
              <w:jc w:val="center"/>
              <w:ind w:right="190"/>
              <w:spacing w:after="0"/>
              <w:rPr>
                <w:sz w:val="20"/>
                <w:szCs w:val="20"/>
                <w:color w:val="auto"/>
              </w:rPr>
            </w:pPr>
            <w:r>
              <w:rPr>
                <w:rFonts w:ascii="Arial" w:cs="Arial" w:eastAsia="Arial" w:hAnsi="Arial"/>
                <w:sz w:val="14"/>
                <w:szCs w:val="14"/>
                <w:color w:val="FFFFFF"/>
                <w:w w:val="91"/>
              </w:rPr>
              <w:t>EMERGING MARKETS SWAPS AVERAGE DAILY VOLUME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$35,000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FFFFFF"/>
              </w:rPr>
              <w:t>$33,368</w:t>
            </w:r>
          </w:p>
        </w:tc>
        <w:tc>
          <w:tcPr>
            <w:tcW w:w="0" w:type="dxa"/>
            <w:vAlign w:val="bottom"/>
          </w:tcPr>
          <w:p>
            <w:pPr>
              <w:spacing w:after="0"/>
              <w:rPr>
                <w:sz w:val="1"/>
                <w:szCs w:val="1"/>
                <w:color w:val="auto"/>
              </w:rPr>
            </w:pPr>
          </w:p>
        </w:tc>
      </w:tr>
      <w:tr>
        <w:trPr>
          <w:trHeight w:val="301"/>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$30,000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$25,000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$20,000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FFFFFF"/>
                <w:w w:val="90"/>
              </w:rPr>
              <w:t>$17,674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$15,000</w:t>
            </w: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760" w:type="dxa"/>
            <w:vAlign w:val="bottom"/>
          </w:tcPr>
          <w:p>
            <w:pPr>
              <w:jc w:val="right"/>
              <w:ind w:right="170"/>
              <w:spacing w:after="0"/>
              <w:rPr>
                <w:sz w:val="20"/>
                <w:szCs w:val="20"/>
                <w:color w:val="auto"/>
              </w:rPr>
            </w:pPr>
            <w:r>
              <w:rPr>
                <w:rFonts w:ascii="Arial" w:cs="Arial" w:eastAsia="Arial" w:hAnsi="Arial"/>
                <w:sz w:val="14"/>
                <w:szCs w:val="14"/>
                <w:color w:val="FFFFFF"/>
                <w:w w:val="98"/>
              </w:rPr>
              <w:t>$10,000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FFFFFF"/>
              </w:rPr>
              <w:t>$8,212</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FFFFFF"/>
              </w:rPr>
              <w:t>$5,774</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jc w:val="right"/>
              <w:ind w:right="170"/>
              <w:spacing w:after="0" w:line="159" w:lineRule="exact"/>
              <w:rPr>
                <w:sz w:val="20"/>
                <w:szCs w:val="20"/>
                <w:color w:val="auto"/>
              </w:rPr>
            </w:pPr>
            <w:r>
              <w:rPr>
                <w:rFonts w:ascii="Arial" w:cs="Arial" w:eastAsia="Arial" w:hAnsi="Arial"/>
                <w:sz w:val="14"/>
                <w:szCs w:val="14"/>
                <w:color w:val="FFFFFF"/>
              </w:rPr>
              <w:t>$5,000</w:t>
            </w:r>
          </w:p>
        </w:tc>
        <w:tc>
          <w:tcPr>
            <w:tcW w:w="660" w:type="dxa"/>
            <w:vAlign w:val="bottom"/>
          </w:tcPr>
          <w:p>
            <w:pPr>
              <w:spacing w:after="0"/>
              <w:rPr>
                <w:sz w:val="13"/>
                <w:szCs w:val="13"/>
                <w:color w:val="auto"/>
              </w:rPr>
            </w:pPr>
          </w:p>
        </w:tc>
        <w:tc>
          <w:tcPr>
            <w:tcW w:w="520" w:type="dxa"/>
            <w:vAlign w:val="bottom"/>
            <w:gridSpan w:val="3"/>
            <w:vMerge w:val="restart"/>
          </w:tcPr>
          <w:p>
            <w:pPr>
              <w:jc w:val="center"/>
              <w:ind w:left="10"/>
              <w:spacing w:after="0"/>
              <w:rPr>
                <w:sz w:val="20"/>
                <w:szCs w:val="20"/>
                <w:color w:val="auto"/>
              </w:rPr>
            </w:pPr>
            <w:r>
              <w:rPr>
                <w:rFonts w:ascii="Arial" w:cs="Arial" w:eastAsia="Arial" w:hAnsi="Arial"/>
                <w:sz w:val="14"/>
                <w:szCs w:val="14"/>
                <w:color w:val="FFFFFF"/>
                <w:w w:val="93"/>
              </w:rPr>
              <w:t>$1,859</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760" w:type="dxa"/>
            <w:vAlign w:val="bottom"/>
          </w:tcPr>
          <w:p>
            <w:pPr>
              <w:spacing w:after="0"/>
              <w:rPr>
                <w:sz w:val="5"/>
                <w:szCs w:val="5"/>
                <w:color w:val="auto"/>
              </w:rPr>
            </w:pPr>
          </w:p>
        </w:tc>
        <w:tc>
          <w:tcPr>
            <w:tcW w:w="660" w:type="dxa"/>
            <w:vAlign w:val="bottom"/>
            <w:vMerge w:val="restart"/>
          </w:tcPr>
          <w:p>
            <w:pPr>
              <w:jc w:val="right"/>
              <w:ind w:right="30"/>
              <w:spacing w:after="0" w:line="153" w:lineRule="exact"/>
              <w:rPr>
                <w:sz w:val="20"/>
                <w:szCs w:val="20"/>
                <w:color w:val="auto"/>
              </w:rPr>
            </w:pPr>
            <w:r>
              <w:rPr>
                <w:rFonts w:ascii="Arial" w:cs="Arial" w:eastAsia="Arial" w:hAnsi="Arial"/>
                <w:sz w:val="14"/>
                <w:szCs w:val="14"/>
                <w:color w:val="FFFFFF"/>
              </w:rPr>
              <w:t>$297</w:t>
            </w:r>
          </w:p>
        </w:tc>
        <w:tc>
          <w:tcPr>
            <w:tcW w:w="5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760" w:type="dxa"/>
            <w:vAlign w:val="bottom"/>
            <w:vMerge w:val="restart"/>
          </w:tcPr>
          <w:p>
            <w:pPr>
              <w:jc w:val="right"/>
              <w:ind w:right="170"/>
              <w:spacing w:after="0"/>
              <w:rPr>
                <w:sz w:val="20"/>
                <w:szCs w:val="20"/>
                <w:color w:val="auto"/>
              </w:rPr>
            </w:pPr>
            <w:r>
              <w:rPr>
                <w:rFonts w:ascii="Arial" w:cs="Arial" w:eastAsia="Arial" w:hAnsi="Arial"/>
                <w:sz w:val="14"/>
                <w:szCs w:val="14"/>
                <w:color w:val="FFFFFF"/>
              </w:rPr>
              <w:t>$0</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7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6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FFFFFF"/>
              </w:rPr>
              <w:t>2019</w:t>
            </w:r>
          </w:p>
        </w:tc>
        <w:tc>
          <w:tcPr>
            <w:tcW w:w="520" w:type="dxa"/>
            <w:vAlign w:val="bottom"/>
            <w:gridSpan w:val="3"/>
          </w:tcPr>
          <w:p>
            <w:pPr>
              <w:jc w:val="center"/>
              <w:ind w:left="50"/>
              <w:spacing w:after="0"/>
              <w:rPr>
                <w:sz w:val="20"/>
                <w:szCs w:val="20"/>
                <w:color w:val="auto"/>
              </w:rPr>
            </w:pPr>
            <w:r>
              <w:rPr>
                <w:rFonts w:ascii="Arial" w:cs="Arial" w:eastAsia="Arial" w:hAnsi="Arial"/>
                <w:sz w:val="14"/>
                <w:szCs w:val="14"/>
                <w:color w:val="FFFFFF"/>
                <w:w w:val="89"/>
              </w:rPr>
              <w:t>2020</w:t>
            </w:r>
          </w:p>
        </w:tc>
        <w:tc>
          <w:tcPr>
            <w:tcW w:w="800" w:type="dxa"/>
            <w:vAlign w:val="bottom"/>
            <w:gridSpan w:val="2"/>
          </w:tcPr>
          <w:p>
            <w:pPr>
              <w:jc w:val="right"/>
              <w:ind w:right="190"/>
              <w:spacing w:after="0"/>
              <w:rPr>
                <w:sz w:val="20"/>
                <w:szCs w:val="20"/>
                <w:color w:val="auto"/>
              </w:rPr>
            </w:pPr>
            <w:r>
              <w:rPr>
                <w:rFonts w:ascii="Arial" w:cs="Arial" w:eastAsia="Arial" w:hAnsi="Arial"/>
                <w:sz w:val="14"/>
                <w:szCs w:val="14"/>
                <w:color w:val="FFFFFF"/>
              </w:rPr>
              <w:t>2021</w:t>
            </w:r>
          </w:p>
        </w:tc>
        <w:tc>
          <w:tcPr>
            <w:tcW w:w="500" w:type="dxa"/>
            <w:vAlign w:val="bottom"/>
          </w:tcPr>
          <w:p>
            <w:pPr>
              <w:jc w:val="right"/>
              <w:ind w:right="110"/>
              <w:spacing w:after="0"/>
              <w:rPr>
                <w:sz w:val="20"/>
                <w:szCs w:val="20"/>
                <w:color w:val="auto"/>
              </w:rPr>
            </w:pPr>
            <w:r>
              <w:rPr>
                <w:rFonts w:ascii="Arial" w:cs="Arial" w:eastAsia="Arial" w:hAnsi="Arial"/>
                <w:sz w:val="14"/>
                <w:szCs w:val="14"/>
                <w:color w:val="FFFFFF"/>
                <w:w w:val="96"/>
              </w:rPr>
              <w:t>2022</w:t>
            </w:r>
          </w:p>
        </w:tc>
        <w:tc>
          <w:tcPr>
            <w:tcW w:w="520" w:type="dxa"/>
            <w:vAlign w:val="bottom"/>
          </w:tcPr>
          <w:p>
            <w:pPr>
              <w:jc w:val="center"/>
              <w:spacing w:after="0"/>
              <w:rPr>
                <w:sz w:val="20"/>
                <w:szCs w:val="20"/>
                <w:color w:val="auto"/>
              </w:rPr>
            </w:pPr>
            <w:r>
              <w:rPr>
                <w:rFonts w:ascii="Arial" w:cs="Arial" w:eastAsia="Arial" w:hAnsi="Arial"/>
                <w:sz w:val="14"/>
                <w:szCs w:val="14"/>
                <w:color w:val="FFFFFF"/>
                <w:w w:val="96"/>
              </w:rPr>
              <w:t>2023</w:t>
            </w:r>
          </w:p>
        </w:tc>
        <w:tc>
          <w:tcPr>
            <w:tcW w:w="660" w:type="dxa"/>
            <w:vAlign w:val="bottom"/>
          </w:tcPr>
          <w:p>
            <w:pPr>
              <w:ind w:left="160"/>
              <w:spacing w:after="0"/>
              <w:rPr>
                <w:sz w:val="20"/>
                <w:szCs w:val="20"/>
                <w:color w:val="auto"/>
              </w:rPr>
            </w:pPr>
            <w:r>
              <w:rPr>
                <w:rFonts w:ascii="Arial" w:cs="Arial" w:eastAsia="Arial" w:hAnsi="Arial"/>
                <w:sz w:val="14"/>
                <w:szCs w:val="14"/>
                <w:color w:val="FFFFFF"/>
              </w:rPr>
              <w:t>2024</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900"/>
        <w:spacing w:after="0"/>
        <w:rPr>
          <w:sz w:val="20"/>
          <w:szCs w:val="20"/>
          <w:color w:val="auto"/>
        </w:rPr>
      </w:pPr>
      <w:r>
        <w:rPr>
          <w:rFonts w:ascii="Arial" w:cs="Arial" w:eastAsia="Arial" w:hAnsi="Arial"/>
          <w:sz w:val="10"/>
          <w:szCs w:val="10"/>
          <w:color w:val="FFFFFF"/>
        </w:rPr>
        <w:t>Source: Tradeweb Internal Data</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FFFFFF"/>
        </w:rPr>
        <w:t>FULLY ELECTRONIC SHARE OF TRACE</w:t>
      </w:r>
    </w:p>
    <w:p>
      <w:pPr>
        <w:spacing w:after="0" w:line="316"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20%</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18%</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16%</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14%</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12%</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10%</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8%</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6%</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4%</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2%</w:t>
      </w:r>
    </w:p>
    <w:p>
      <w:pPr>
        <w:spacing w:after="0" w:line="43" w:lineRule="exact"/>
        <w:rPr>
          <w:sz w:val="20"/>
          <w:szCs w:val="20"/>
          <w:color w:val="auto"/>
        </w:rPr>
      </w:pPr>
    </w:p>
    <w:p>
      <w:pPr>
        <w:jc w:val="right"/>
        <w:ind w:right="3900"/>
        <w:spacing w:after="0"/>
        <w:rPr>
          <w:sz w:val="20"/>
          <w:szCs w:val="20"/>
          <w:color w:val="auto"/>
        </w:rPr>
      </w:pPr>
      <w:r>
        <w:rPr>
          <w:rFonts w:ascii="Arial" w:cs="Arial" w:eastAsia="Arial" w:hAnsi="Arial"/>
          <w:sz w:val="14"/>
          <w:szCs w:val="14"/>
          <w:color w:val="FFFFFF"/>
        </w:rPr>
        <w:t>0%</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FFFFFF"/>
              </w:rPr>
              <w:t>2019</w:t>
            </w:r>
          </w:p>
        </w:tc>
        <w:tc>
          <w:tcPr>
            <w:tcW w:w="700" w:type="dxa"/>
            <w:vAlign w:val="bottom"/>
          </w:tcPr>
          <w:p>
            <w:pPr>
              <w:jc w:val="right"/>
              <w:ind w:right="110"/>
              <w:spacing w:after="0"/>
              <w:rPr>
                <w:sz w:val="20"/>
                <w:szCs w:val="20"/>
                <w:color w:val="auto"/>
              </w:rPr>
            </w:pPr>
            <w:r>
              <w:rPr>
                <w:rFonts w:ascii="Arial" w:cs="Arial" w:eastAsia="Arial" w:hAnsi="Arial"/>
                <w:sz w:val="14"/>
                <w:szCs w:val="14"/>
                <w:color w:val="FFFFFF"/>
              </w:rPr>
              <w:t>2020</w:t>
            </w:r>
          </w:p>
        </w:tc>
        <w:tc>
          <w:tcPr>
            <w:tcW w:w="400" w:type="dxa"/>
            <w:vAlign w:val="bottom"/>
          </w:tcPr>
          <w:p>
            <w:pPr>
              <w:jc w:val="right"/>
              <w:spacing w:after="0"/>
              <w:rPr>
                <w:sz w:val="20"/>
                <w:szCs w:val="20"/>
                <w:color w:val="auto"/>
              </w:rPr>
            </w:pPr>
            <w:r>
              <w:rPr>
                <w:rFonts w:ascii="Arial" w:cs="Arial" w:eastAsia="Arial" w:hAnsi="Arial"/>
                <w:sz w:val="14"/>
                <w:szCs w:val="14"/>
                <w:color w:val="FFFFFF"/>
              </w:rPr>
              <w:t>2021</w:t>
            </w:r>
          </w:p>
        </w:tc>
        <w:tc>
          <w:tcPr>
            <w:tcW w:w="660" w:type="dxa"/>
            <w:vAlign w:val="bottom"/>
          </w:tcPr>
          <w:p>
            <w:pPr>
              <w:jc w:val="right"/>
              <w:ind w:right="55"/>
              <w:spacing w:after="0"/>
              <w:rPr>
                <w:sz w:val="20"/>
                <w:szCs w:val="20"/>
                <w:color w:val="auto"/>
              </w:rPr>
            </w:pPr>
            <w:r>
              <w:rPr>
                <w:rFonts w:ascii="Arial" w:cs="Arial" w:eastAsia="Arial" w:hAnsi="Arial"/>
                <w:sz w:val="14"/>
                <w:szCs w:val="14"/>
                <w:color w:val="FFFFFF"/>
              </w:rPr>
              <w:t>2022</w:t>
            </w:r>
          </w:p>
        </w:tc>
        <w:tc>
          <w:tcPr>
            <w:tcW w:w="560" w:type="dxa"/>
            <w:vAlign w:val="bottom"/>
          </w:tcPr>
          <w:p>
            <w:pPr>
              <w:jc w:val="right"/>
              <w:ind w:right="70"/>
              <w:spacing w:after="0"/>
              <w:rPr>
                <w:sz w:val="20"/>
                <w:szCs w:val="20"/>
                <w:color w:val="auto"/>
              </w:rPr>
            </w:pPr>
            <w:r>
              <w:rPr>
                <w:rFonts w:ascii="Arial" w:cs="Arial" w:eastAsia="Arial" w:hAnsi="Arial"/>
                <w:sz w:val="14"/>
                <w:szCs w:val="14"/>
                <w:color w:val="FFFFFF"/>
              </w:rPr>
              <w:t>2023</w:t>
            </w:r>
          </w:p>
        </w:tc>
        <w:tc>
          <w:tcPr>
            <w:tcW w:w="680" w:type="dxa"/>
            <w:vAlign w:val="bottom"/>
          </w:tcPr>
          <w:p>
            <w:pPr>
              <w:jc w:val="right"/>
              <w:ind w:right="190"/>
              <w:spacing w:after="0"/>
              <w:rPr>
                <w:sz w:val="20"/>
                <w:szCs w:val="20"/>
                <w:color w:val="auto"/>
              </w:rPr>
            </w:pPr>
            <w:r>
              <w:rPr>
                <w:rFonts w:ascii="Arial" w:cs="Arial" w:eastAsia="Arial" w:hAnsi="Arial"/>
                <w:sz w:val="14"/>
                <w:szCs w:val="14"/>
                <w:color w:val="FFFFFF"/>
              </w:rPr>
              <w:t>2024</w:t>
            </w:r>
          </w:p>
        </w:tc>
        <w:tc>
          <w:tcPr>
            <w:tcW w:w="0" w:type="dxa"/>
            <w:vAlign w:val="bottom"/>
          </w:tcPr>
          <w:p>
            <w:pPr>
              <w:spacing w:after="0"/>
              <w:rPr>
                <w:sz w:val="1"/>
                <w:szCs w:val="1"/>
                <w:color w:val="auto"/>
              </w:rPr>
            </w:pPr>
          </w:p>
        </w:tc>
      </w:tr>
      <w:tr>
        <w:trPr>
          <w:trHeight w:val="126"/>
        </w:trPr>
        <w:tc>
          <w:tcPr>
            <w:tcW w:w="760" w:type="dxa"/>
            <w:vAlign w:val="bottom"/>
            <w:vMerge w:val="restart"/>
          </w:tcPr>
          <w:p>
            <w:pPr>
              <w:spacing w:after="0"/>
              <w:rPr>
                <w:sz w:val="20"/>
                <w:szCs w:val="20"/>
                <w:color w:val="auto"/>
              </w:rPr>
            </w:pPr>
            <w:r>
              <w:rPr>
                <w:rFonts w:ascii="Arial" w:cs="Arial" w:eastAsia="Arial" w:hAnsi="Arial"/>
                <w:sz w:val="14"/>
                <w:szCs w:val="14"/>
                <w:color w:val="FFFFFF"/>
              </w:rPr>
              <w:t>High Grade</w:t>
            </w:r>
          </w:p>
        </w:tc>
        <w:tc>
          <w:tcPr>
            <w:tcW w:w="260" w:type="dxa"/>
            <w:vAlign w:val="bottom"/>
            <w:tcBorders>
              <w:bottom w:val="single" w:sz="8" w:color="CCCCCC"/>
            </w:tcBorders>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FFFFFF"/>
                <w:w w:val="90"/>
              </w:rPr>
              <w:t>High Yield</w:t>
            </w:r>
          </w:p>
        </w:tc>
        <w:tc>
          <w:tcPr>
            <w:tcW w:w="400" w:type="dxa"/>
            <w:vAlign w:val="bottom"/>
          </w:tcPr>
          <w:p>
            <w:pPr>
              <w:spacing w:after="0"/>
              <w:rPr>
                <w:sz w:val="10"/>
                <w:szCs w:val="10"/>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2"/>
                <w:szCs w:val="12"/>
                <w:color w:val="FFFFFF"/>
                <w:w w:val="86"/>
              </w:rPr>
              <w:t>Source: Tradeweb Internal Data, TRACE</w:t>
            </w:r>
          </w:p>
        </w:tc>
        <w:tc>
          <w:tcPr>
            <w:tcW w:w="0" w:type="dxa"/>
            <w:vAlign w:val="bottom"/>
          </w:tcPr>
          <w:p>
            <w:pPr>
              <w:spacing w:after="0"/>
              <w:rPr>
                <w:sz w:val="1"/>
                <w:szCs w:val="1"/>
                <w:color w:val="auto"/>
              </w:rPr>
            </w:pPr>
          </w:p>
        </w:tc>
      </w:tr>
      <w:tr>
        <w:trPr>
          <w:trHeight w:val="54"/>
        </w:trPr>
        <w:tc>
          <w:tcPr>
            <w:tcW w:w="7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2">
            <w:col w:w="5440" w:space="720"/>
            <w:col w:w="4420"/>
          </w:cols>
          <w:pgMar w:left="720" w:top="833" w:right="760" w:bottom="0" w:gutter="0" w:footer="0" w:header="0"/>
        </w:sectPr>
      </w:pP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FFFFFF"/>
        </w:rPr>
        <w:t>04</w:t>
      </w:r>
      <w:r>
        <w:rPr>
          <w:sz w:val="20"/>
          <w:szCs w:val="20"/>
          <w:color w:val="auto"/>
        </w:rPr>
        <w:tab/>
      </w:r>
      <w:r>
        <w:rPr>
          <w:rFonts w:ascii="Arial" w:cs="Arial" w:eastAsia="Arial" w:hAnsi="Arial"/>
          <w:sz w:val="13"/>
          <w:szCs w:val="13"/>
          <w:color w:val="FFFFFF"/>
        </w:rPr>
        <w:t>TRADEWEB MARKETS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64" w:right="20" w:hanging="64"/>
        <w:spacing w:after="0" w:line="267" w:lineRule="auto"/>
        <w:tabs>
          <w:tab w:leader="none" w:pos="64" w:val="left"/>
        </w:tabs>
        <w:numPr>
          <w:ilvl w:val="0"/>
          <w:numId w:val="4"/>
        </w:numPr>
        <w:rPr>
          <w:rFonts w:ascii="Arial" w:cs="Arial" w:eastAsia="Arial" w:hAnsi="Arial"/>
          <w:sz w:val="12"/>
          <w:szCs w:val="12"/>
          <w:color w:val="FFFFFF"/>
          <w:vertAlign w:val="superscript"/>
        </w:rPr>
      </w:pPr>
      <w:r>
        <w:rPr>
          <w:rFonts w:ascii="Arial" w:cs="Arial" w:eastAsia="Arial" w:hAnsi="Arial"/>
          <w:sz w:val="10"/>
          <w:szCs w:val="10"/>
          <w:color w:val="FFFFFF"/>
        </w:rPr>
        <w:t>Share reflects TW High Grade and High Yield volume, divided by TRACE volume, adjusted by Tradeweb management to exclude emerging market and convertible bond volumes.</w:t>
      </w:r>
    </w:p>
    <w:p>
      <w:pPr>
        <w:sectPr>
          <w:pgSz w:w="12060" w:h="15660" w:orient="portrait"/>
          <w:cols w:equalWidth="0" w:num="2">
            <w:col w:w="5416" w:space="720"/>
            <w:col w:w="4444"/>
          </w:cols>
          <w:pgMar w:left="720" w:top="833" w:right="760" w:bottom="0" w:gutter="0" w:footer="0" w:header="0"/>
          <w:type w:val="continuous"/>
        </w:sectPr>
      </w:pPr>
    </w:p>
    <w:bookmarkStart w:id="6" w:name="page7"/>
    <w:bookmarkEnd w:id="6"/>
    <w:p>
      <w:pPr>
        <w:spacing w:after="0"/>
        <w:rPr>
          <w:sz w:val="20"/>
          <w:szCs w:val="20"/>
          <w:color w:val="auto"/>
        </w:rPr>
      </w:pPr>
      <w:r>
        <w:rPr>
          <w:rFonts w:ascii="Arial" w:cs="Arial" w:eastAsia="Arial" w:hAnsi="Arial"/>
          <w:sz w:val="24"/>
          <w:szCs w:val="24"/>
          <w:color w:val="00568F"/>
        </w:rPr>
        <mc:AlternateContent>
          <mc:Choice Requires="wps">
            <w:drawing>
              <wp:anchor simplePos="0" relativeHeight="251657728" behindDoc="1" locked="0" layoutInCell="0" allowOverlap="1">
                <wp:simplePos x="0" y="0"/>
                <wp:positionH relativeFrom="page">
                  <wp:posOffset>-3810</wp:posOffset>
                </wp:positionH>
                <wp:positionV relativeFrom="page">
                  <wp:posOffset>0</wp:posOffset>
                </wp:positionV>
                <wp:extent cx="762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2999pt,0pt" to="0.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127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499pt,0pt" to="0.05pt,0pt" o:allowincell="f" strokecolor="#000000" strokeweight="0.125pt">
                <w10:wrap anchorx="page" anchory="page"/>
              </v:line>
            </w:pict>
          </mc:Fallback>
        </mc:AlternateContent>
        <w:t>Extending Our Reach</w:t>
      </w:r>
    </w:p>
    <w:p>
      <w:pPr>
        <w:spacing w:after="0" w:line="162"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continue to plant more flags across the fixed income ecosystem. In 2024, we closed the acquisition of r8fin, a leading technology provider specializing in algorithmic-based execution for U.S. Treasuries and interest rate futures. Additionally, we completed our acquisition of ICD, adding corporates as our fourth client channel. Finally, we completed the integration of Yieldbroker ahead of schedule. Coming out of our IPO, we were primarily known for our leadership in the rates business. Fast forward five years and we are now investing in a global multi-asset class franchise, increasingly connecting the dots across the fixed income landscape. Moving ahead, we believe that we are well-positioned to further expand our footprint.</w:t>
      </w:r>
    </w:p>
    <w:p>
      <w:pPr>
        <w:spacing w:after="0" w:line="24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One of the most transformative trends of 2024 was the breaking down of traditional barriers between asset classes and trading workflows. Technology has played a pivotal role in this shift, making it easier to execute trades across multiple asset classes. The growth of ETFs has also been a catalyst, providing investors with the ability to quickly and cost-effectively access liquidity. This shift in perspective has resulted in a more holistic approach to trading, where market participants are now able to efficiently deploy cross-asset strategies.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568F"/>
        </w:rPr>
        <w:t>The Rise of Automation</w:t>
      </w:r>
    </w:p>
    <w:p>
      <w:pPr>
        <w:spacing w:after="0" w:line="162"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Automation continues to transform fixed income markets globally. Since launching our Automated Intelligent Execution (AiEX) tool for U.S. Treasuries in 2012, its adoption has expanded across more than 25 product groups in rates, credit and equities. The use of rules-based trading has surged, with client adoption of AiEX increasing by over 70% since 2020.</w:t>
      </w:r>
    </w:p>
    <w:p>
      <w:pPr>
        <w:spacing w:after="0" w:line="25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 simple reason for the increase in automation is the evolution of technology. We can do things now we simply couldn’t do 20 years ago and the pace of new innovations keeps accelerating. Our clients continue to invest in automation capabilities. The buy-side has pushed to automate in order to speed up execution, streamline workflow and dedicate more time to transactions requiring high level skills and hands-on expertise. The sell-side has responded by automating processes like auto-quoting.</w:t>
      </w:r>
    </w:p>
    <w:p>
      <w:pPr>
        <w:spacing w:after="0" w:line="230" w:lineRule="exact"/>
        <w:rPr>
          <w:sz w:val="20"/>
          <w:szCs w:val="20"/>
          <w:color w:val="auto"/>
        </w:rPr>
      </w:pPr>
    </w:p>
    <w:p>
      <w:pPr>
        <w:ind w:right="100"/>
        <w:spacing w:after="0" w:line="333" w:lineRule="auto"/>
        <w:rPr>
          <w:sz w:val="20"/>
          <w:szCs w:val="20"/>
          <w:color w:val="auto"/>
        </w:rPr>
      </w:pPr>
      <w:r>
        <w:rPr>
          <w:rFonts w:ascii="Arial" w:cs="Arial" w:eastAsia="Arial" w:hAnsi="Arial"/>
          <w:sz w:val="15"/>
          <w:szCs w:val="15"/>
          <w:color w:val="auto"/>
        </w:rPr>
        <w:t>Efficiency and a more intelligent way of trading are key drivers, but changes in market structure and evolving traders’ strategies are also key reasons for our clients to embrace automation. While asset managers have been early adopters of our AiEX tool, we are seeing usage broaden out across hedge funds, sovereign wealth funds and other institutional market participants. Asset managers can utilize automation</w:t>
      </w:r>
    </w:p>
    <w:p>
      <w:pPr>
        <w:spacing w:after="0" w:line="6"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auto"/>
        </w:rPr>
        <w:t>so they can more efficiently rebalance portfolios more frequently. Hedge funds are particularly turning to automation for executing their systematic strategies and they are using AiEX to develop new trading strategies.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auto"/>
        </w:rPr>
        <w:t>The ethos of our firm is that we will meet our clients however and wherever they want to trade. Many of our clients are adopting order management system technology, for example, and that sets up really well with the push towards more automated trading. Our AiEX tool allows users to manage their rules in real time as market environments change, as well as queue up orders to put into the market whenever they like, even if outside of local trading hours.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2497455</wp:posOffset>
                </wp:positionH>
                <wp:positionV relativeFrom="paragraph">
                  <wp:posOffset>-2680335</wp:posOffset>
                </wp:positionV>
                <wp:extent cx="825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65pt,-211.0499pt" to="197.3pt,-211.0499pt" o:allowincell="f" strokecolor="#FFFFFF" strokeweight="0.625pt"/>
            </w:pict>
          </mc:Fallback>
        </mc:AlternateContent>
        <mc:AlternateContent>
          <mc:Choice Requires="wps">
            <w:drawing>
              <wp:anchor simplePos="0" relativeHeight="251657728" behindDoc="1" locked="0" layoutInCell="0" allowOverlap="1">
                <wp:simplePos x="0" y="0"/>
                <wp:positionH relativeFrom="column">
                  <wp:posOffset>2500630</wp:posOffset>
                </wp:positionH>
                <wp:positionV relativeFrom="paragraph">
                  <wp:posOffset>-2680335</wp:posOffset>
                </wp:positionV>
                <wp:extent cx="190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9pt,-211.0499pt" to="197.05pt,-211.0499pt" o:allowincell="f" strokecolor="#000000" strokeweight="0.125pt"/>
            </w:pict>
          </mc:Fallback>
        </mc:AlternateContent>
      </w:r>
    </w:p>
    <w:p>
      <w:pPr>
        <w:spacing w:after="0" w:line="220" w:lineRule="exact"/>
        <w:rPr>
          <w:sz w:val="20"/>
          <w:szCs w:val="20"/>
          <w:color w:val="auto"/>
        </w:rPr>
      </w:pPr>
    </w:p>
    <w:p>
      <w:pPr>
        <w:ind w:right="200"/>
        <w:spacing w:after="0" w:line="293" w:lineRule="auto"/>
        <w:rPr>
          <w:sz w:val="20"/>
          <w:szCs w:val="20"/>
          <w:color w:val="auto"/>
        </w:rPr>
      </w:pPr>
      <w:r>
        <w:rPr>
          <w:rFonts w:ascii="Arial" w:cs="Arial" w:eastAsia="Arial" w:hAnsi="Arial"/>
          <w:sz w:val="17"/>
          <w:szCs w:val="17"/>
          <w:color w:val="auto"/>
        </w:rPr>
        <w:t>Another advantage from increased automation is the quality of the data it provides. We have seen firsthand with our clients how it has become easier to track dealer performance and to better analyze the full trade lifecycle, including transaction cost. This allows them to make better decisions to drive the best possible outcomes for their investors. We’re excited about the momentum we are seeing with our automated solutions, and we will continue to promote automation across our multi-asset class diversified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3532505</wp:posOffset>
            </wp:positionV>
            <wp:extent cx="3110230" cy="59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3110230" cy="590550"/>
                    </a:xfrm>
                    <a:prstGeom prst="rect">
                      <a:avLst/>
                    </a:prstGeom>
                    <a:noFill/>
                  </pic:spPr>
                </pic:pic>
              </a:graphicData>
            </a:graphic>
          </wp:anchor>
        </w:drawing>
      </w:r>
    </w:p>
    <w:p>
      <w:pPr>
        <w:spacing w:after="0" w:line="3504" w:lineRule="exact"/>
        <w:rPr>
          <w:sz w:val="20"/>
          <w:szCs w:val="20"/>
          <w:color w:val="auto"/>
        </w:rPr>
      </w:pPr>
    </w:p>
    <w:p>
      <w:pPr>
        <w:sectPr>
          <w:pgSz w:w="12060" w:h="15660" w:orient="portrait"/>
          <w:cols w:equalWidth="0" w:num="3">
            <w:col w:w="3280" w:space="420"/>
            <w:col w:w="3220" w:space="480"/>
            <w:col w:w="3220"/>
          </w:cols>
          <w:pgMar w:left="720" w:top="1311" w:right="7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820"/>
        <w:spacing w:after="0"/>
        <w:tabs>
          <w:tab w:leader="none" w:pos="10440" w:val="left"/>
        </w:tabs>
        <w:rPr>
          <w:sz w:val="20"/>
          <w:szCs w:val="20"/>
          <w:color w:val="auto"/>
        </w:rPr>
      </w:pPr>
      <w:r>
        <w:rPr>
          <w:rFonts w:ascii="Arial" w:cs="Arial" w:eastAsia="Arial" w:hAnsi="Arial"/>
          <w:sz w:val="16"/>
          <w:szCs w:val="16"/>
          <w:color w:val="00002F"/>
        </w:rPr>
        <w:t>TRADEWEB MARKETS</w:t>
      </w:r>
      <w:r>
        <w:rPr>
          <w:sz w:val="20"/>
          <w:szCs w:val="20"/>
          <w:color w:val="auto"/>
        </w:rPr>
        <w:tab/>
      </w:r>
      <w:r>
        <w:rPr>
          <w:rFonts w:ascii="Arial" w:cs="Arial" w:eastAsia="Arial" w:hAnsi="Arial"/>
          <w:sz w:val="14"/>
          <w:szCs w:val="14"/>
          <w:color w:val="00002F"/>
        </w:rPr>
        <w:t>05</w:t>
      </w:r>
    </w:p>
    <w:p>
      <w:pPr>
        <w:sectPr>
          <w:pgSz w:w="12060" w:h="15660" w:orient="portrait"/>
          <w:cols w:equalWidth="0" w:num="1">
            <w:col w:w="10620"/>
          </w:cols>
          <w:pgMar w:left="720" w:top="1311" w:right="720" w:bottom="6" w:gutter="0" w:footer="0" w:header="0"/>
          <w:type w:val="continuous"/>
        </w:sectPr>
      </w:pPr>
    </w:p>
    <w:bookmarkStart w:id="7" w:name="page8"/>
    <w:bookmarkEnd w:id="7"/>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975100" cy="9944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3975100" cy="9944100"/>
                    </a:xfrm>
                    <a:prstGeom prst="rect">
                      <a:avLst/>
                    </a:prstGeom>
                    <a:noFill/>
                  </pic:spPr>
                </pic:pic>
              </a:graphicData>
            </a:graphic>
          </wp:anchor>
        </w:drawing>
      </w:r>
    </w:p>
    <w:p>
      <w:pPr>
        <w:ind w:left="44"/>
        <w:spacing w:after="0"/>
        <w:rPr>
          <w:sz w:val="20"/>
          <w:szCs w:val="20"/>
          <w:color w:val="auto"/>
        </w:rPr>
      </w:pPr>
      <w:r>
        <w:rPr>
          <w:rFonts w:ascii="Arial" w:cs="Arial" w:eastAsia="Arial" w:hAnsi="Arial"/>
          <w:sz w:val="14"/>
          <w:szCs w:val="14"/>
          <w:color w:val="FFFFFF"/>
        </w:rPr>
        <w:t>REVENUE BY ASSET CLASS</w:t>
      </w:r>
    </w:p>
    <w:p>
      <w:pPr>
        <w:ind w:left="44"/>
        <w:spacing w:after="0" w:line="236" w:lineRule="auto"/>
        <w:rPr>
          <w:sz w:val="20"/>
          <w:szCs w:val="20"/>
          <w:color w:val="auto"/>
        </w:rPr>
      </w:pPr>
      <w:r>
        <w:rPr>
          <w:rFonts w:ascii="Arial" w:cs="Arial" w:eastAsia="Arial" w:hAnsi="Arial"/>
          <w:sz w:val="14"/>
          <w:szCs w:val="14"/>
          <w:color w:val="FFFFFF"/>
        </w:rPr>
        <w:t>$ in millions)</w:t>
      </w:r>
    </w:p>
    <w:p>
      <w:pPr>
        <w:spacing w:after="0" w:line="320" w:lineRule="exact"/>
        <w:rPr>
          <w:sz w:val="20"/>
          <w:szCs w:val="20"/>
          <w:color w:val="auto"/>
        </w:rPr>
      </w:pPr>
    </w:p>
    <w:tbl>
      <w:tblPr>
        <w:tblLayout w:type="fixed"/>
        <w:tblInd w:w="124" w:type="dxa"/>
        <w:tblCellMar>
          <w:top w:w="0" w:type="dxa"/>
          <w:left w:w="0" w:type="dxa"/>
          <w:bottom w:w="0" w:type="dxa"/>
          <w:right w:w="0" w:type="dxa"/>
        </w:tblCellMar>
      </w:tblPr>
      <w:tr>
        <w:trPr>
          <w:trHeight w:val="164"/>
        </w:trPr>
        <w:tc>
          <w:tcPr>
            <w:tcW w:w="1260" w:type="dxa"/>
            <w:vAlign w:val="bottom"/>
          </w:tcPr>
          <w:p>
            <w:pPr>
              <w:jc w:val="right"/>
              <w:ind w:right="790"/>
              <w:spacing w:after="0"/>
              <w:rPr>
                <w:sz w:val="20"/>
                <w:szCs w:val="20"/>
                <w:color w:val="auto"/>
              </w:rPr>
            </w:pPr>
            <w:r>
              <w:rPr>
                <w:rFonts w:ascii="Arial" w:cs="Arial" w:eastAsia="Arial" w:hAnsi="Arial"/>
                <w:sz w:val="14"/>
                <w:szCs w:val="14"/>
                <w:color w:val="FFFFFF"/>
                <w:w w:val="88"/>
              </w:rPr>
              <w:t>$1,800</w:t>
            </w:r>
          </w:p>
        </w:tc>
        <w:tc>
          <w:tcPr>
            <w:tcW w:w="2640" w:type="dxa"/>
            <w:vAlign w:val="bottom"/>
          </w:tcPr>
          <w:p>
            <w:pPr>
              <w:jc w:val="right"/>
              <w:spacing w:after="0"/>
              <w:rPr>
                <w:sz w:val="20"/>
                <w:szCs w:val="20"/>
                <w:color w:val="auto"/>
              </w:rPr>
            </w:pPr>
            <w:r>
              <w:rPr>
                <w:rFonts w:ascii="Arial" w:cs="Arial" w:eastAsia="Arial" w:hAnsi="Arial"/>
                <w:sz w:val="14"/>
                <w:szCs w:val="14"/>
                <w:color w:val="FFFFFF"/>
              </w:rPr>
              <w:t>$1,726</w:t>
            </w:r>
          </w:p>
        </w:tc>
        <w:tc>
          <w:tcPr>
            <w:tcW w:w="0" w:type="dxa"/>
            <w:vAlign w:val="bottom"/>
          </w:tcPr>
          <w:p>
            <w:pPr>
              <w:spacing w:after="0"/>
              <w:rPr>
                <w:sz w:val="1"/>
                <w:szCs w:val="1"/>
                <w:color w:val="auto"/>
              </w:rPr>
            </w:pPr>
          </w:p>
        </w:tc>
      </w:tr>
      <w:tr>
        <w:trPr>
          <w:trHeight w:val="356"/>
        </w:trPr>
        <w:tc>
          <w:tcPr>
            <w:tcW w:w="1260" w:type="dxa"/>
            <w:vAlign w:val="bottom"/>
            <w:vMerge w:val="restart"/>
          </w:tcPr>
          <w:p>
            <w:pPr>
              <w:jc w:val="right"/>
              <w:ind w:right="790"/>
              <w:spacing w:after="0"/>
              <w:rPr>
                <w:sz w:val="20"/>
                <w:szCs w:val="20"/>
                <w:color w:val="auto"/>
              </w:rPr>
            </w:pPr>
            <w:r>
              <w:rPr>
                <w:rFonts w:ascii="Arial" w:cs="Arial" w:eastAsia="Arial" w:hAnsi="Arial"/>
                <w:sz w:val="14"/>
                <w:szCs w:val="14"/>
                <w:color w:val="FFFFFF"/>
                <w:w w:val="88"/>
              </w:rPr>
              <w:t>$1,440</w:t>
            </w:r>
          </w:p>
        </w:tc>
        <w:tc>
          <w:tcPr>
            <w:tcW w:w="2640" w:type="dxa"/>
            <w:vAlign w:val="bottom"/>
          </w:tcPr>
          <w:p>
            <w:pPr>
              <w:jc w:val="right"/>
              <w:ind w:right="1193"/>
              <w:spacing w:after="0"/>
              <w:rPr>
                <w:sz w:val="20"/>
                <w:szCs w:val="20"/>
                <w:color w:val="auto"/>
              </w:rPr>
            </w:pPr>
            <w:r>
              <w:rPr>
                <w:rFonts w:ascii="Arial" w:cs="Arial" w:eastAsia="Arial" w:hAnsi="Arial"/>
                <w:sz w:val="12"/>
                <w:szCs w:val="12"/>
                <w:color w:val="FFFFFF"/>
              </w:rPr>
              <w:t>17% CAGR</w:t>
            </w:r>
          </w:p>
        </w:tc>
        <w:tc>
          <w:tcPr>
            <w:tcW w:w="0" w:type="dxa"/>
            <w:vAlign w:val="bottom"/>
          </w:tcPr>
          <w:p>
            <w:pPr>
              <w:spacing w:after="0"/>
              <w:rPr>
                <w:sz w:val="1"/>
                <w:szCs w:val="1"/>
                <w:color w:val="auto"/>
              </w:rPr>
            </w:pPr>
          </w:p>
        </w:tc>
      </w:tr>
      <w:tr>
        <w:trPr>
          <w:trHeight w:val="152"/>
        </w:trPr>
        <w:tc>
          <w:tcPr>
            <w:tcW w:w="1260" w:type="dxa"/>
            <w:vAlign w:val="bottom"/>
            <w:vMerge w:val="continue"/>
          </w:tcPr>
          <w:p>
            <w:pPr>
              <w:spacing w:after="0"/>
              <w:rPr>
                <w:sz w:val="13"/>
                <w:szCs w:val="13"/>
                <w:color w:val="auto"/>
              </w:rPr>
            </w:pPr>
          </w:p>
        </w:tc>
        <w:tc>
          <w:tcPr>
            <w:tcW w:w="2640" w:type="dxa"/>
            <w:vAlign w:val="bottom"/>
          </w:tcPr>
          <w:p>
            <w:pPr>
              <w:jc w:val="right"/>
              <w:ind w:right="473"/>
              <w:spacing w:after="0" w:line="151" w:lineRule="exact"/>
              <w:rPr>
                <w:sz w:val="20"/>
                <w:szCs w:val="20"/>
                <w:color w:val="auto"/>
              </w:rPr>
            </w:pPr>
            <w:r>
              <w:rPr>
                <w:rFonts w:ascii="Arial" w:cs="Arial" w:eastAsia="Arial" w:hAnsi="Arial"/>
                <w:sz w:val="14"/>
                <w:szCs w:val="14"/>
                <w:color w:val="FFFFFF"/>
              </w:rPr>
              <w:t>$1,338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568F"/>
        </w:rPr>
        <w:t>Digital Assets: Potential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2789555</wp:posOffset>
                </wp:positionH>
                <wp:positionV relativeFrom="paragraph">
                  <wp:posOffset>-1014095</wp:posOffset>
                </wp:positionV>
                <wp:extent cx="825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65pt,-79.8499pt" to="220.3pt,-79.8499pt" o:allowincell="f" strokecolor="#FFFFFF" strokeweight="0.625pt"/>
            </w:pict>
          </mc:Fallback>
        </mc:AlternateContent>
        <mc:AlternateContent>
          <mc:Choice Requires="wps">
            <w:drawing>
              <wp:anchor simplePos="0" relativeHeight="251657728" behindDoc="1" locked="0" layoutInCell="0" allowOverlap="1">
                <wp:simplePos x="0" y="0"/>
                <wp:positionH relativeFrom="column">
                  <wp:posOffset>2792730</wp:posOffset>
                </wp:positionH>
                <wp:positionV relativeFrom="paragraph">
                  <wp:posOffset>-1014095</wp:posOffset>
                </wp:positionV>
                <wp:extent cx="190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9pt,-79.8499pt" to="220.05pt,-79.8499pt" o:allowincell="f" strokecolor="#000000" strokeweight="0.125pt"/>
            </w:pict>
          </mc:Fallback>
        </mc:AlternateContent>
      </w:r>
    </w:p>
    <w:p>
      <w:pPr>
        <w:spacing w:after="0"/>
        <w:rPr>
          <w:sz w:val="20"/>
          <w:szCs w:val="20"/>
          <w:color w:val="auto"/>
        </w:rPr>
      </w:pPr>
      <w:r>
        <w:rPr>
          <w:rFonts w:ascii="Arial" w:cs="Arial" w:eastAsia="Arial" w:hAnsi="Arial"/>
          <w:sz w:val="24"/>
          <w:szCs w:val="24"/>
          <w:color w:val="00568F"/>
        </w:rPr>
        <w:t>Revolutionize Global Markets</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2024, digital assets gained prominence as blockchain technology evolved and client demand grew, driving evolution of the financial markets. Like the early days of electronic trading, alliances</w:t>
      </w:r>
    </w:p>
    <w:p>
      <w:pPr>
        <w:spacing w:after="0" w:line="1" w:lineRule="exact"/>
        <w:rPr>
          <w:sz w:val="20"/>
          <w:szCs w:val="20"/>
          <w:color w:val="auto"/>
        </w:rPr>
      </w:pPr>
    </w:p>
    <w:p>
      <w:pPr>
        <w:sectPr>
          <w:pgSz w:w="12060" w:h="15660" w:orient="portrait"/>
          <w:cols w:equalWidth="0" w:num="2">
            <w:col w:w="6264" w:space="720"/>
            <w:col w:w="3580"/>
          </w:cols>
          <w:pgMar w:left="676" w:top="1321" w:right="820" w:bottom="6" w:gutter="0" w:footer="0" w:header="0"/>
        </w:sectPr>
      </w:pPr>
    </w:p>
    <w:p>
      <w:pPr>
        <w:spacing w:after="0" w:line="243" w:lineRule="exact"/>
        <w:rPr>
          <w:sz w:val="20"/>
          <w:szCs w:val="20"/>
          <w:color w:val="auto"/>
        </w:rPr>
      </w:pPr>
    </w:p>
    <w:p>
      <w:pPr>
        <w:ind w:left="124"/>
        <w:spacing w:after="0"/>
        <w:rPr>
          <w:sz w:val="20"/>
          <w:szCs w:val="20"/>
          <w:color w:val="auto"/>
        </w:rPr>
      </w:pPr>
      <w:r>
        <w:rPr>
          <w:rFonts w:ascii="Arial" w:cs="Arial" w:eastAsia="Arial" w:hAnsi="Arial"/>
          <w:sz w:val="13"/>
          <w:szCs w:val="13"/>
          <w:color w:val="FFFFFF"/>
        </w:rPr>
        <w:t>$1,080</w:t>
      </w:r>
    </w:p>
    <w:p>
      <w:pPr>
        <w:spacing w:after="0" w:line="20" w:lineRule="exact"/>
        <w:rPr>
          <w:sz w:val="20"/>
          <w:szCs w:val="20"/>
          <w:color w:val="auto"/>
        </w:rPr>
      </w:pPr>
      <w:r>
        <w:rPr>
          <w:sz w:val="20"/>
          <w:szCs w:val="20"/>
          <w:color w:val="auto"/>
        </w:rPr>
        <w:br w:type="column"/>
      </w:r>
    </w:p>
    <w:p>
      <w:pPr>
        <w:jc w:val="right"/>
        <w:ind w:right="3320"/>
        <w:spacing w:after="0" w:line="202" w:lineRule="auto"/>
        <w:rPr>
          <w:sz w:val="20"/>
          <w:szCs w:val="20"/>
          <w:color w:val="auto"/>
        </w:rPr>
      </w:pPr>
      <w:r>
        <w:rPr>
          <w:rFonts w:ascii="Arial" w:cs="Arial" w:eastAsia="Arial" w:hAnsi="Arial"/>
          <w:sz w:val="14"/>
          <w:szCs w:val="14"/>
          <w:color w:val="FFFFFF"/>
        </w:rPr>
        <w:t>$1,189</w:t>
      </w:r>
    </w:p>
    <w:p>
      <w:pPr>
        <w:spacing w:after="0" w:line="217" w:lineRule="auto"/>
        <w:rPr>
          <w:sz w:val="20"/>
          <w:szCs w:val="20"/>
          <w:color w:val="auto"/>
        </w:rPr>
      </w:pPr>
      <w:r>
        <w:rPr>
          <w:rFonts w:ascii="Arial" w:cs="Arial" w:eastAsia="Arial" w:hAnsi="Arial"/>
          <w:sz w:val="14"/>
          <w:szCs w:val="14"/>
          <w:color w:val="FFFFFF"/>
        </w:rPr>
        <w:t>$1,076</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are forming to advance digital asset trading.</w:t>
      </w:r>
    </w:p>
    <w:p>
      <w:pPr>
        <w:spacing w:after="0" w:line="94" w:lineRule="exact"/>
        <w:rPr>
          <w:sz w:val="20"/>
          <w:szCs w:val="20"/>
          <w:color w:val="auto"/>
        </w:rPr>
      </w:pPr>
    </w:p>
    <w:p>
      <w:pPr>
        <w:sectPr>
          <w:pgSz w:w="12060" w:h="15660" w:orient="portrait"/>
          <w:cols w:equalWidth="0" w:num="3">
            <w:col w:w="1284" w:space="720"/>
            <w:col w:w="4260" w:space="720"/>
            <w:col w:w="3580"/>
          </w:cols>
          <w:pgMar w:left="676" w:top="1321" w:right="820" w:bottom="6" w:gutter="0" w:footer="0" w:header="0"/>
          <w:type w:val="continuous"/>
        </w:sectPr>
      </w:pPr>
    </w:p>
    <w:p>
      <w:pPr>
        <w:ind w:left="1524"/>
        <w:spacing w:after="0" w:line="216" w:lineRule="auto"/>
        <w:rPr>
          <w:sz w:val="20"/>
          <w:szCs w:val="20"/>
          <w:color w:val="auto"/>
        </w:rPr>
      </w:pPr>
      <w:r>
        <w:rPr>
          <w:rFonts w:ascii="Arial" w:cs="Arial" w:eastAsia="Arial" w:hAnsi="Arial"/>
          <w:sz w:val="14"/>
          <w:szCs w:val="14"/>
          <w:color w:val="FFFFFF"/>
        </w:rPr>
        <w:t>$893</w:t>
      </w:r>
    </w:p>
    <w:p>
      <w:pPr>
        <w:ind w:left="1004"/>
        <w:spacing w:after="0" w:line="226" w:lineRule="auto"/>
        <w:rPr>
          <w:sz w:val="20"/>
          <w:szCs w:val="20"/>
          <w:color w:val="auto"/>
        </w:rPr>
      </w:pPr>
      <w:r>
        <w:rPr>
          <w:rFonts w:ascii="Arial" w:cs="Arial" w:eastAsia="Arial" w:hAnsi="Arial"/>
          <w:sz w:val="14"/>
          <w:szCs w:val="14"/>
          <w:color w:val="FFFFFF"/>
        </w:rPr>
        <w:t>$776</w:t>
      </w:r>
    </w:p>
    <w:p>
      <w:pPr>
        <w:spacing w:after="0" w:line="34" w:lineRule="exact"/>
        <w:rPr>
          <w:sz w:val="20"/>
          <w:szCs w:val="20"/>
          <w:color w:val="auto"/>
        </w:rPr>
      </w:pPr>
    </w:p>
    <w:p>
      <w:pPr>
        <w:ind w:left="224"/>
        <w:spacing w:after="0"/>
        <w:rPr>
          <w:sz w:val="20"/>
          <w:szCs w:val="20"/>
          <w:color w:val="auto"/>
        </w:rPr>
      </w:pPr>
      <w:r>
        <w:rPr>
          <w:rFonts w:ascii="Arial" w:cs="Arial" w:eastAsia="Arial" w:hAnsi="Arial"/>
          <w:sz w:val="14"/>
          <w:szCs w:val="14"/>
          <w:color w:val="FFFFFF"/>
        </w:rPr>
        <w:t>$720</w:t>
      </w:r>
    </w:p>
    <w:p>
      <w:pPr>
        <w:spacing w:after="0" w:line="325" w:lineRule="exact"/>
        <w:rPr>
          <w:sz w:val="20"/>
          <w:szCs w:val="20"/>
          <w:color w:val="auto"/>
        </w:rPr>
      </w:pPr>
    </w:p>
    <w:p>
      <w:pPr>
        <w:ind w:left="224"/>
        <w:spacing w:after="0"/>
        <w:rPr>
          <w:sz w:val="20"/>
          <w:szCs w:val="20"/>
          <w:color w:val="auto"/>
        </w:rPr>
      </w:pPr>
      <w:r>
        <w:rPr>
          <w:rFonts w:ascii="Arial" w:cs="Arial" w:eastAsia="Arial" w:hAnsi="Arial"/>
          <w:sz w:val="14"/>
          <w:szCs w:val="14"/>
          <w:color w:val="FFFFFF"/>
        </w:rPr>
        <w:t>$360</w:t>
      </w:r>
    </w:p>
    <w:p>
      <w:pPr>
        <w:spacing w:after="0" w:line="299" w:lineRule="exact"/>
        <w:rPr>
          <w:sz w:val="20"/>
          <w:szCs w:val="20"/>
          <w:color w:val="auto"/>
        </w:rPr>
      </w:pPr>
    </w:p>
    <w:tbl>
      <w:tblPr>
        <w:tblLayout w:type="fixed"/>
        <w:tblInd w:w="224" w:type="dxa"/>
        <w:tblCellMar>
          <w:top w:w="0" w:type="dxa"/>
          <w:left w:w="0" w:type="dxa"/>
          <w:bottom w:w="0" w:type="dxa"/>
          <w:right w:w="0" w:type="dxa"/>
        </w:tblCellMar>
      </w:tblPr>
      <w:tr>
        <w:trPr>
          <w:trHeight w:val="161"/>
        </w:trPr>
        <w:tc>
          <w:tcPr>
            <w:tcW w:w="440" w:type="dxa"/>
            <w:vAlign w:val="bottom"/>
          </w:tcPr>
          <w:p>
            <w:pPr>
              <w:jc w:val="right"/>
              <w:ind w:right="70"/>
              <w:spacing w:after="0"/>
              <w:rPr>
                <w:sz w:val="20"/>
                <w:szCs w:val="20"/>
                <w:color w:val="auto"/>
              </w:rPr>
            </w:pPr>
            <w:r>
              <w:rPr>
                <w:rFonts w:ascii="Arial" w:cs="Arial" w:eastAsia="Arial" w:hAnsi="Arial"/>
                <w:sz w:val="14"/>
                <w:szCs w:val="14"/>
                <w:color w:val="FFFFFF"/>
              </w:rPr>
              <w:t>$0</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FFFFFF"/>
              </w:rPr>
              <w:t>2019</w:t>
            </w:r>
          </w:p>
        </w:tc>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FFFFFF"/>
              </w:rPr>
              <w:t>2020</w:t>
            </w:r>
          </w:p>
        </w:tc>
        <w:tc>
          <w:tcPr>
            <w:tcW w:w="500" w:type="dxa"/>
            <w:vAlign w:val="bottom"/>
            <w:vMerge w:val="restart"/>
          </w:tcPr>
          <w:p>
            <w:pPr>
              <w:jc w:val="right"/>
              <w:ind w:right="50"/>
              <w:spacing w:after="0"/>
              <w:rPr>
                <w:sz w:val="20"/>
                <w:szCs w:val="20"/>
                <w:color w:val="auto"/>
              </w:rPr>
            </w:pPr>
            <w:r>
              <w:rPr>
                <w:rFonts w:ascii="Arial" w:cs="Arial" w:eastAsia="Arial" w:hAnsi="Arial"/>
                <w:sz w:val="14"/>
                <w:szCs w:val="14"/>
                <w:color w:val="FFFFFF"/>
              </w:rPr>
              <w:t>2021</w:t>
            </w:r>
          </w:p>
        </w:tc>
        <w:tc>
          <w:tcPr>
            <w:tcW w:w="540" w:type="dxa"/>
            <w:vAlign w:val="bottom"/>
            <w:vMerge w:val="restart"/>
          </w:tcPr>
          <w:p>
            <w:pPr>
              <w:jc w:val="right"/>
              <w:ind w:right="70"/>
              <w:spacing w:after="0"/>
              <w:rPr>
                <w:sz w:val="20"/>
                <w:szCs w:val="20"/>
                <w:color w:val="auto"/>
              </w:rPr>
            </w:pPr>
            <w:r>
              <w:rPr>
                <w:rFonts w:ascii="Arial" w:cs="Arial" w:eastAsia="Arial" w:hAnsi="Arial"/>
                <w:sz w:val="14"/>
                <w:szCs w:val="14"/>
                <w:color w:val="FFFFFF"/>
              </w:rPr>
              <w:t>2022</w:t>
            </w:r>
          </w:p>
        </w:tc>
        <w:tc>
          <w:tcPr>
            <w:tcW w:w="520" w:type="dxa"/>
            <w:vAlign w:val="bottom"/>
            <w:vMerge w:val="restart"/>
          </w:tcPr>
          <w:p>
            <w:pPr>
              <w:jc w:val="right"/>
              <w:ind w:right="53"/>
              <w:spacing w:after="0"/>
              <w:rPr>
                <w:sz w:val="20"/>
                <w:szCs w:val="20"/>
                <w:color w:val="auto"/>
              </w:rPr>
            </w:pPr>
            <w:r>
              <w:rPr>
                <w:rFonts w:ascii="Arial" w:cs="Arial" w:eastAsia="Arial" w:hAnsi="Arial"/>
                <w:sz w:val="14"/>
                <w:szCs w:val="14"/>
                <w:color w:val="FFFFFF"/>
              </w:rPr>
              <w:t>2023</w:t>
            </w:r>
          </w:p>
        </w:tc>
        <w:tc>
          <w:tcPr>
            <w:tcW w:w="540" w:type="dxa"/>
            <w:vAlign w:val="bottom"/>
            <w:vMerge w:val="restart"/>
          </w:tcPr>
          <w:p>
            <w:pPr>
              <w:jc w:val="right"/>
              <w:ind w:right="50"/>
              <w:spacing w:after="0"/>
              <w:rPr>
                <w:sz w:val="20"/>
                <w:szCs w:val="20"/>
                <w:color w:val="auto"/>
              </w:rPr>
            </w:pPr>
            <w:r>
              <w:rPr>
                <w:rFonts w:ascii="Arial" w:cs="Arial" w:eastAsia="Arial" w:hAnsi="Arial"/>
                <w:sz w:val="14"/>
                <w:szCs w:val="14"/>
                <w:color w:val="FFFFFF"/>
              </w:rPr>
              <w:t>2024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40" w:type="dxa"/>
            <w:vAlign w:val="bottom"/>
          </w:tcPr>
          <w:p>
            <w:pPr>
              <w:jc w:val="right"/>
              <w:ind w:right="70"/>
              <w:spacing w:after="0"/>
              <w:rPr>
                <w:sz w:val="20"/>
                <w:szCs w:val="20"/>
                <w:color w:val="auto"/>
              </w:rPr>
            </w:pPr>
            <w:r>
              <w:rPr>
                <w:rFonts w:ascii="Arial" w:cs="Arial" w:eastAsia="Arial" w:hAnsi="Arial"/>
                <w:sz w:val="14"/>
                <w:szCs w:val="14"/>
                <w:color w:val="FFFFFF"/>
                <w:w w:val="76"/>
              </w:rPr>
              <w:t>Rates</w:t>
            </w:r>
          </w:p>
        </w:tc>
        <w:tc>
          <w:tcPr>
            <w:tcW w:w="700" w:type="dxa"/>
            <w:vAlign w:val="bottom"/>
          </w:tcPr>
          <w:p>
            <w:pPr>
              <w:jc w:val="right"/>
              <w:ind w:right="130"/>
              <w:spacing w:after="0"/>
              <w:rPr>
                <w:sz w:val="20"/>
                <w:szCs w:val="20"/>
                <w:color w:val="auto"/>
              </w:rPr>
            </w:pPr>
            <w:r>
              <w:rPr>
                <w:rFonts w:ascii="Arial" w:cs="Arial" w:eastAsia="Arial" w:hAnsi="Arial"/>
                <w:sz w:val="14"/>
                <w:szCs w:val="14"/>
                <w:color w:val="FFFFFF"/>
              </w:rPr>
              <w:t>Credit</w:t>
            </w:r>
          </w:p>
        </w:tc>
        <w:tc>
          <w:tcPr>
            <w:tcW w:w="620" w:type="dxa"/>
            <w:vAlign w:val="bottom"/>
          </w:tcPr>
          <w:p>
            <w:pPr>
              <w:jc w:val="center"/>
              <w:spacing w:after="0"/>
              <w:rPr>
                <w:sz w:val="20"/>
                <w:szCs w:val="20"/>
                <w:color w:val="auto"/>
              </w:rPr>
            </w:pPr>
            <w:r>
              <w:rPr>
                <w:rFonts w:ascii="Arial" w:cs="Arial" w:eastAsia="Arial" w:hAnsi="Arial"/>
                <w:sz w:val="14"/>
                <w:szCs w:val="14"/>
                <w:color w:val="FFFFFF"/>
                <w:w w:val="88"/>
              </w:rPr>
              <w:t>Equities</w:t>
            </w:r>
          </w:p>
        </w:tc>
        <w:tc>
          <w:tcPr>
            <w:tcW w:w="1040" w:type="dxa"/>
            <w:vAlign w:val="bottom"/>
            <w:gridSpan w:val="2"/>
          </w:tcPr>
          <w:p>
            <w:pPr>
              <w:jc w:val="right"/>
              <w:spacing w:after="0"/>
              <w:rPr>
                <w:sz w:val="20"/>
                <w:szCs w:val="20"/>
                <w:color w:val="auto"/>
              </w:rPr>
            </w:pPr>
            <w:r>
              <w:rPr>
                <w:rFonts w:ascii="Arial" w:cs="Arial" w:eastAsia="Arial" w:hAnsi="Arial"/>
                <w:sz w:val="14"/>
                <w:szCs w:val="14"/>
                <w:color w:val="FFFFFF"/>
              </w:rPr>
              <w:t>Money Market</w:t>
            </w:r>
          </w:p>
        </w:tc>
        <w:tc>
          <w:tcPr>
            <w:tcW w:w="1060" w:type="dxa"/>
            <w:vAlign w:val="bottom"/>
            <w:gridSpan w:val="2"/>
          </w:tcPr>
          <w:p>
            <w:pPr>
              <w:jc w:val="right"/>
              <w:ind w:right="70"/>
              <w:spacing w:after="0"/>
              <w:rPr>
                <w:sz w:val="20"/>
                <w:szCs w:val="20"/>
                <w:color w:val="auto"/>
              </w:rPr>
            </w:pPr>
            <w:r>
              <w:rPr>
                <w:rFonts w:ascii="Arial" w:cs="Arial" w:eastAsia="Arial" w:hAnsi="Arial"/>
                <w:sz w:val="14"/>
                <w:szCs w:val="14"/>
                <w:color w:val="FFFFFF"/>
              </w:rPr>
              <w:t>Market Data</w:t>
            </w:r>
          </w:p>
        </w:tc>
        <w:tc>
          <w:tcPr>
            <w:tcW w:w="440" w:type="dxa"/>
            <w:vAlign w:val="bottom"/>
          </w:tcPr>
          <w:p>
            <w:pPr>
              <w:jc w:val="right"/>
              <w:spacing w:after="0"/>
              <w:rPr>
                <w:sz w:val="20"/>
                <w:szCs w:val="20"/>
                <w:color w:val="auto"/>
              </w:rPr>
            </w:pPr>
            <w:r>
              <w:rPr>
                <w:rFonts w:ascii="Arial" w:cs="Arial" w:eastAsia="Arial" w:hAnsi="Arial"/>
                <w:sz w:val="14"/>
                <w:szCs w:val="14"/>
                <w:color w:val="FFFFFF"/>
              </w:rPr>
              <w:t>Other</w:t>
            </w: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2"/>
                <w:szCs w:val="12"/>
                <w:color w:val="FFFFFF"/>
                <w:w w:val="87"/>
              </w:rPr>
              <w:t>Source: Based on TW Revenue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
        <w:spacing w:after="0"/>
        <w:rPr>
          <w:sz w:val="20"/>
          <w:szCs w:val="20"/>
          <w:color w:val="auto"/>
        </w:rPr>
      </w:pPr>
      <w:r>
        <w:rPr>
          <w:rFonts w:ascii="Arial" w:cs="Arial" w:eastAsia="Arial" w:hAnsi="Arial"/>
          <w:sz w:val="14"/>
          <w:szCs w:val="14"/>
          <w:color w:val="FFFFFF"/>
        </w:rPr>
        <w:t>BALANCING INVESTMENT &amp; ADJ. EBITDA MARGINS</w:t>
      </w:r>
      <w:r>
        <w:rPr>
          <w:rFonts w:ascii="Arial" w:cs="Arial" w:eastAsia="Arial" w:hAnsi="Arial"/>
          <w:sz w:val="16"/>
          <w:szCs w:val="16"/>
          <w:color w:val="FFFFFF"/>
          <w:vertAlign w:val="superscript"/>
        </w:rPr>
        <w:t>1</w:t>
      </w:r>
    </w:p>
    <w:p>
      <w:pPr>
        <w:ind w:left="44"/>
        <w:spacing w:after="0" w:line="211" w:lineRule="auto"/>
        <w:rPr>
          <w:sz w:val="20"/>
          <w:szCs w:val="20"/>
          <w:color w:val="auto"/>
        </w:rPr>
      </w:pPr>
      <w:r>
        <w:rPr>
          <w:rFonts w:ascii="Arial" w:cs="Arial" w:eastAsia="Arial" w:hAnsi="Arial"/>
          <w:sz w:val="14"/>
          <w:szCs w:val="14"/>
          <w:color w:val="FFFFFF"/>
        </w:rPr>
        <w:t>$ in millions)</w:t>
      </w:r>
    </w:p>
    <w:p>
      <w:pPr>
        <w:spacing w:after="0" w:line="213" w:lineRule="exact"/>
        <w:rPr>
          <w:sz w:val="20"/>
          <w:szCs w:val="20"/>
          <w:color w:val="auto"/>
        </w:rPr>
      </w:pPr>
    </w:p>
    <w:tbl>
      <w:tblPr>
        <w:tblLayout w:type="fixed"/>
        <w:tblInd w:w="164" w:type="dxa"/>
        <w:tblCellMar>
          <w:top w:w="0" w:type="dxa"/>
          <w:left w:w="0" w:type="dxa"/>
          <w:bottom w:w="0" w:type="dxa"/>
          <w:right w:w="0" w:type="dxa"/>
        </w:tblCellMar>
      </w:tblPr>
      <w:tr>
        <w:trPr>
          <w:trHeight w:val="138"/>
        </w:trPr>
        <w:tc>
          <w:tcPr>
            <w:tcW w:w="1180" w:type="dxa"/>
            <w:vAlign w:val="bottom"/>
            <w:vMerge w:val="restart"/>
          </w:tcPr>
          <w:p>
            <w:pPr>
              <w:jc w:val="right"/>
              <w:ind w:right="831"/>
              <w:spacing w:after="0"/>
              <w:rPr>
                <w:sz w:val="20"/>
                <w:szCs w:val="20"/>
                <w:color w:val="auto"/>
              </w:rPr>
            </w:pPr>
            <w:r>
              <w:rPr>
                <w:rFonts w:ascii="Arial" w:cs="Arial" w:eastAsia="Arial" w:hAnsi="Arial"/>
                <w:sz w:val="14"/>
                <w:szCs w:val="14"/>
                <w:color w:val="FFFFFF"/>
                <w:w w:val="83"/>
              </w:rPr>
              <w:t>$150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311"/>
              <w:spacing w:after="0"/>
              <w:rPr>
                <w:sz w:val="20"/>
                <w:szCs w:val="20"/>
                <w:color w:val="auto"/>
              </w:rPr>
            </w:pPr>
            <w:r>
              <w:rPr>
                <w:rFonts w:ascii="Arial" w:cs="Arial" w:eastAsia="Arial" w:hAnsi="Arial"/>
                <w:sz w:val="12"/>
                <w:szCs w:val="12"/>
                <w:color w:val="FFFFFF"/>
              </w:rPr>
              <w:t>750+ bps</w:t>
            </w:r>
          </w:p>
        </w:tc>
        <w:tc>
          <w:tcPr>
            <w:tcW w:w="44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FFFFFF"/>
              </w:rPr>
              <w:t>$149</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FFFFFF"/>
              </w:rPr>
              <w:t>60%</w:t>
            </w: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FFFFFF"/>
                <w:w w:val="89"/>
              </w:rPr>
              <w:t>Adj. Margin Expansion</w:t>
            </w:r>
          </w:p>
        </w:tc>
        <w:tc>
          <w:tcPr>
            <w:tcW w:w="4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1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1180" w:type="dxa"/>
            <w:vAlign w:val="bottom"/>
            <w:vMerge w:val="restart"/>
          </w:tcPr>
          <w:p>
            <w:pPr>
              <w:jc w:val="right"/>
              <w:ind w:right="831"/>
              <w:spacing w:after="0"/>
              <w:rPr>
                <w:sz w:val="20"/>
                <w:szCs w:val="20"/>
                <w:color w:val="auto"/>
              </w:rPr>
            </w:pPr>
            <w:r>
              <w:rPr>
                <w:rFonts w:ascii="Arial" w:cs="Arial" w:eastAsia="Arial" w:hAnsi="Arial"/>
                <w:sz w:val="14"/>
                <w:szCs w:val="14"/>
                <w:color w:val="FFFFFF"/>
                <w:w w:val="83"/>
              </w:rPr>
              <w:t>$120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color w:val="FFFFFF"/>
              </w:rPr>
              <w:t>$111</w:t>
            </w:r>
          </w:p>
        </w:tc>
        <w:tc>
          <w:tcPr>
            <w:tcW w:w="440" w:type="dxa"/>
            <w:vAlign w:val="bottom"/>
            <w:vMerge w:val="restart"/>
          </w:tcPr>
          <w:p>
            <w:pPr>
              <w:jc w:val="right"/>
              <w:ind w:right="51"/>
              <w:spacing w:after="0"/>
              <w:rPr>
                <w:sz w:val="20"/>
                <w:szCs w:val="20"/>
                <w:color w:val="auto"/>
              </w:rPr>
            </w:pPr>
            <w:r>
              <w:rPr>
                <w:rFonts w:ascii="Arial" w:cs="Arial" w:eastAsia="Arial" w:hAnsi="Arial"/>
                <w:sz w:val="14"/>
                <w:szCs w:val="14"/>
                <w:color w:val="FFFFFF"/>
                <w:w w:val="96"/>
              </w:rPr>
              <w:t>$116</w:t>
            </w: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FFFFFF"/>
              </w:rPr>
              <w:t>50%</w:t>
            </w:r>
          </w:p>
        </w:tc>
        <w:tc>
          <w:tcPr>
            <w:tcW w:w="0" w:type="dxa"/>
            <w:vAlign w:val="bottom"/>
          </w:tcPr>
          <w:p>
            <w:pPr>
              <w:spacing w:after="0"/>
              <w:rPr>
                <w:sz w:val="1"/>
                <w:szCs w:val="1"/>
                <w:color w:val="auto"/>
              </w:rPr>
            </w:pPr>
          </w:p>
        </w:tc>
      </w:tr>
      <w:tr>
        <w:trPr>
          <w:trHeight w:val="64"/>
        </w:trPr>
        <w:tc>
          <w:tcPr>
            <w:tcW w:w="11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vMerge w:val="restart"/>
          </w:tcPr>
          <w:p>
            <w:pPr>
              <w:jc w:val="right"/>
              <w:ind w:right="831"/>
              <w:spacing w:after="0"/>
              <w:rPr>
                <w:sz w:val="20"/>
                <w:szCs w:val="20"/>
                <w:color w:val="auto"/>
              </w:rPr>
            </w:pPr>
            <w:r>
              <w:rPr>
                <w:rFonts w:ascii="Arial" w:cs="Arial" w:eastAsia="Arial" w:hAnsi="Arial"/>
                <w:sz w:val="14"/>
                <w:szCs w:val="14"/>
                <w:color w:val="FFFFFF"/>
              </w:rPr>
              <w:t>$90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vMerge w:val="restart"/>
          </w:tcPr>
          <w:p>
            <w:pPr>
              <w:jc w:val="right"/>
              <w:ind w:right="95"/>
              <w:spacing w:after="0"/>
              <w:rPr>
                <w:sz w:val="20"/>
                <w:szCs w:val="20"/>
                <w:color w:val="auto"/>
              </w:rPr>
            </w:pPr>
            <w:r>
              <w:rPr>
                <w:rFonts w:ascii="Arial" w:cs="Arial" w:eastAsia="Arial" w:hAnsi="Arial"/>
                <w:sz w:val="14"/>
                <w:szCs w:val="14"/>
                <w:color w:val="FFFFFF"/>
              </w:rPr>
              <w:t>$88</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FFFFFF"/>
              </w:rPr>
              <w:t>40%</w:t>
            </w: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180" w:type="dxa"/>
            <w:vAlign w:val="bottom"/>
            <w:vMerge w:val="continue"/>
          </w:tcPr>
          <w:p>
            <w:pPr>
              <w:spacing w:after="0"/>
              <w:rPr>
                <w:sz w:val="5"/>
                <w:szCs w:val="5"/>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FFFFFF"/>
              </w:rPr>
              <w:t>$76</w:t>
            </w: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180" w:type="dxa"/>
            <w:vAlign w:val="bottom"/>
            <w:vMerge w:val="restart"/>
          </w:tcPr>
          <w:p>
            <w:pPr>
              <w:jc w:val="right"/>
              <w:ind w:right="71"/>
              <w:spacing w:after="0" w:line="156" w:lineRule="exact"/>
              <w:rPr>
                <w:sz w:val="20"/>
                <w:szCs w:val="20"/>
                <w:color w:val="auto"/>
              </w:rPr>
            </w:pPr>
            <w:r>
              <w:rPr>
                <w:rFonts w:ascii="Arial" w:cs="Arial" w:eastAsia="Arial" w:hAnsi="Arial"/>
                <w:sz w:val="14"/>
                <w:szCs w:val="14"/>
                <w:color w:val="FFFFFF"/>
              </w:rPr>
              <w:t>$71</w:t>
            </w:r>
          </w:p>
        </w:tc>
        <w:tc>
          <w:tcPr>
            <w:tcW w:w="5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FFFFFF"/>
              </w:rPr>
              <w:t>30%</w:t>
            </w:r>
          </w:p>
        </w:tc>
        <w:tc>
          <w:tcPr>
            <w:tcW w:w="0" w:type="dxa"/>
            <w:vAlign w:val="bottom"/>
          </w:tcPr>
          <w:p>
            <w:pPr>
              <w:spacing w:after="0"/>
              <w:rPr>
                <w:sz w:val="1"/>
                <w:szCs w:val="1"/>
                <w:color w:val="auto"/>
              </w:rPr>
            </w:pPr>
          </w:p>
        </w:tc>
      </w:tr>
      <w:tr>
        <w:trPr>
          <w:trHeight w:val="49"/>
        </w:trPr>
        <w:tc>
          <w:tcPr>
            <w:tcW w:w="11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right"/>
              <w:ind w:right="831"/>
              <w:spacing w:after="0"/>
              <w:rPr>
                <w:sz w:val="20"/>
                <w:szCs w:val="20"/>
                <w:color w:val="auto"/>
              </w:rPr>
            </w:pPr>
            <w:r>
              <w:rPr>
                <w:rFonts w:ascii="Arial" w:cs="Arial" w:eastAsia="Arial" w:hAnsi="Arial"/>
                <w:sz w:val="14"/>
                <w:szCs w:val="14"/>
                <w:color w:val="FFFFFF"/>
              </w:rPr>
              <w:t>$60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FFFFFF"/>
              </w:rPr>
              <w:t>20%</w:t>
            </w:r>
          </w:p>
        </w:tc>
        <w:tc>
          <w:tcPr>
            <w:tcW w:w="0" w:type="dxa"/>
            <w:vAlign w:val="bottom"/>
          </w:tcPr>
          <w:p>
            <w:pPr>
              <w:spacing w:after="0"/>
              <w:rPr>
                <w:sz w:val="1"/>
                <w:szCs w:val="1"/>
                <w:color w:val="auto"/>
              </w:rPr>
            </w:pPr>
          </w:p>
        </w:tc>
      </w:tr>
      <w:tr>
        <w:trPr>
          <w:trHeight w:val="260"/>
        </w:trPr>
        <w:tc>
          <w:tcPr>
            <w:tcW w:w="1180" w:type="dxa"/>
            <w:vAlign w:val="bottom"/>
          </w:tcPr>
          <w:p>
            <w:pPr>
              <w:jc w:val="right"/>
              <w:ind w:right="831"/>
              <w:spacing w:after="0"/>
              <w:rPr>
                <w:sz w:val="20"/>
                <w:szCs w:val="20"/>
                <w:color w:val="auto"/>
              </w:rPr>
            </w:pPr>
            <w:r>
              <w:rPr>
                <w:rFonts w:ascii="Arial" w:cs="Arial" w:eastAsia="Arial" w:hAnsi="Arial"/>
                <w:sz w:val="14"/>
                <w:szCs w:val="14"/>
                <w:color w:val="FFFFFF"/>
              </w:rPr>
              <w:t>$30</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FFFFFF"/>
              </w:rPr>
              <w:t>10%</w:t>
            </w: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1180" w:type="dxa"/>
            <w:vAlign w:val="bottom"/>
          </w:tcPr>
          <w:p>
            <w:pPr>
              <w:jc w:val="right"/>
              <w:ind w:right="831"/>
              <w:spacing w:after="0"/>
              <w:rPr>
                <w:sz w:val="20"/>
                <w:szCs w:val="20"/>
                <w:color w:val="auto"/>
              </w:rPr>
            </w:pPr>
            <w:r>
              <w:rPr>
                <w:rFonts w:ascii="Arial" w:cs="Arial" w:eastAsia="Arial" w:hAnsi="Arial"/>
                <w:sz w:val="14"/>
                <w:szCs w:val="14"/>
                <w:color w:val="FFFFFF"/>
              </w:rPr>
              <w:t>$0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FFFFFF"/>
              </w:rPr>
              <w:t>0%</w:t>
            </w:r>
          </w:p>
        </w:tc>
        <w:tc>
          <w:tcPr>
            <w:tcW w:w="0" w:type="dxa"/>
            <w:vAlign w:val="bottom"/>
          </w:tcPr>
          <w:p>
            <w:pPr>
              <w:spacing w:after="0"/>
              <w:rPr>
                <w:sz w:val="1"/>
                <w:szCs w:val="1"/>
                <w:color w:val="auto"/>
              </w:rPr>
            </w:pPr>
          </w:p>
        </w:tc>
      </w:tr>
      <w:tr>
        <w:trPr>
          <w:trHeight w:val="144"/>
        </w:trPr>
        <w:tc>
          <w:tcPr>
            <w:tcW w:w="1180" w:type="dxa"/>
            <w:vAlign w:val="bottom"/>
          </w:tcPr>
          <w:p>
            <w:pPr>
              <w:jc w:val="right"/>
              <w:ind w:right="51"/>
              <w:spacing w:after="0" w:line="144" w:lineRule="exact"/>
              <w:rPr>
                <w:sz w:val="20"/>
                <w:szCs w:val="20"/>
                <w:color w:val="auto"/>
              </w:rPr>
            </w:pPr>
            <w:r>
              <w:rPr>
                <w:rFonts w:ascii="Arial" w:cs="Arial" w:eastAsia="Arial" w:hAnsi="Arial"/>
                <w:sz w:val="14"/>
                <w:szCs w:val="14"/>
                <w:color w:val="FFFFFF"/>
              </w:rPr>
              <w:t>2019</w:t>
            </w:r>
          </w:p>
        </w:tc>
        <w:tc>
          <w:tcPr>
            <w:tcW w:w="5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FFFFFF"/>
              </w:rPr>
              <w:t>2020</w:t>
            </w:r>
          </w:p>
        </w:tc>
        <w:tc>
          <w:tcPr>
            <w:tcW w:w="540" w:type="dxa"/>
            <w:vAlign w:val="bottom"/>
          </w:tcPr>
          <w:p>
            <w:pPr>
              <w:jc w:val="right"/>
              <w:ind w:right="55"/>
              <w:spacing w:after="0" w:line="144" w:lineRule="exact"/>
              <w:rPr>
                <w:sz w:val="20"/>
                <w:szCs w:val="20"/>
                <w:color w:val="auto"/>
              </w:rPr>
            </w:pPr>
            <w:r>
              <w:rPr>
                <w:rFonts w:ascii="Arial" w:cs="Arial" w:eastAsia="Arial" w:hAnsi="Arial"/>
                <w:sz w:val="14"/>
                <w:szCs w:val="14"/>
                <w:color w:val="FFFFFF"/>
              </w:rPr>
              <w:t>2021</w:t>
            </w:r>
          </w:p>
        </w:tc>
        <w:tc>
          <w:tcPr>
            <w:tcW w:w="620" w:type="dxa"/>
            <w:vAlign w:val="bottom"/>
          </w:tcPr>
          <w:p>
            <w:pPr>
              <w:jc w:val="right"/>
              <w:ind w:right="151"/>
              <w:spacing w:after="0" w:line="144" w:lineRule="exact"/>
              <w:rPr>
                <w:sz w:val="20"/>
                <w:szCs w:val="20"/>
                <w:color w:val="auto"/>
              </w:rPr>
            </w:pPr>
            <w:r>
              <w:rPr>
                <w:rFonts w:ascii="Arial" w:cs="Arial" w:eastAsia="Arial" w:hAnsi="Arial"/>
                <w:sz w:val="14"/>
                <w:szCs w:val="14"/>
                <w:color w:val="FFFFFF"/>
              </w:rPr>
              <w:t>2022</w:t>
            </w:r>
          </w:p>
        </w:tc>
        <w:tc>
          <w:tcPr>
            <w:tcW w:w="440" w:type="dxa"/>
            <w:vAlign w:val="bottom"/>
          </w:tcPr>
          <w:p>
            <w:pPr>
              <w:jc w:val="right"/>
              <w:ind w:right="51"/>
              <w:spacing w:after="0" w:line="144" w:lineRule="exact"/>
              <w:rPr>
                <w:sz w:val="20"/>
                <w:szCs w:val="20"/>
                <w:color w:val="auto"/>
              </w:rPr>
            </w:pPr>
            <w:r>
              <w:rPr>
                <w:rFonts w:ascii="Arial" w:cs="Arial" w:eastAsia="Arial" w:hAnsi="Arial"/>
                <w:sz w:val="14"/>
                <w:szCs w:val="14"/>
                <w:color w:val="FFFFFF"/>
                <w:w w:val="96"/>
              </w:rPr>
              <w:t>2023</w:t>
            </w:r>
          </w:p>
        </w:tc>
        <w:tc>
          <w:tcPr>
            <w:tcW w:w="580" w:type="dxa"/>
            <w:vAlign w:val="bottom"/>
          </w:tcPr>
          <w:p>
            <w:pPr>
              <w:jc w:val="right"/>
              <w:ind w:right="111"/>
              <w:spacing w:after="0" w:line="144" w:lineRule="exact"/>
              <w:rPr>
                <w:sz w:val="20"/>
                <w:szCs w:val="20"/>
                <w:color w:val="auto"/>
              </w:rPr>
            </w:pPr>
            <w:r>
              <w:rPr>
                <w:rFonts w:ascii="Arial" w:cs="Arial" w:eastAsia="Arial" w:hAnsi="Arial"/>
                <w:sz w:val="14"/>
                <w:szCs w:val="14"/>
                <w:color w:val="FFFFFF"/>
              </w:rPr>
              <w:t>2024</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460" w:type="dxa"/>
            <w:vAlign w:val="bottom"/>
            <w:gridSpan w:val="2"/>
            <w:vMerge w:val="restart"/>
          </w:tcPr>
          <w:p>
            <w:pPr>
              <w:ind w:left="80"/>
              <w:spacing w:after="0"/>
              <w:rPr>
                <w:sz w:val="20"/>
                <w:szCs w:val="20"/>
                <w:color w:val="auto"/>
              </w:rPr>
            </w:pPr>
            <w:r>
              <w:rPr>
                <w:rFonts w:ascii="Arial" w:cs="Arial" w:eastAsia="Arial" w:hAnsi="Arial"/>
                <w:sz w:val="14"/>
                <w:szCs w:val="14"/>
                <w:color w:val="FFFFFF"/>
                <w:w w:val="89"/>
              </w:rPr>
              <w:t>Total Tech Investments</w:t>
            </w:r>
            <w:r>
              <w:rPr>
                <w:rFonts w:ascii="Arial" w:cs="Arial" w:eastAsia="Arial" w:hAnsi="Arial"/>
                <w:sz w:val="16"/>
                <w:szCs w:val="16"/>
                <w:color w:val="FFFFFF"/>
                <w:w w:val="89"/>
                <w:vertAlign w:val="superscript"/>
              </w:rPr>
              <w:t>2</w:t>
            </w:r>
          </w:p>
        </w:tc>
        <w:tc>
          <w:tcPr>
            <w:tcW w:w="240" w:type="dxa"/>
            <w:vAlign w:val="bottom"/>
            <w:tcBorders>
              <w:bottom w:val="single" w:sz="8" w:color="5D5EAD"/>
            </w:tcBorders>
          </w:tcPr>
          <w:p>
            <w:pPr>
              <w:spacing w:after="0"/>
              <w:rPr>
                <w:sz w:val="22"/>
                <w:szCs w:val="2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FFFFFF"/>
                <w:w w:val="89"/>
              </w:rPr>
              <w:t>Adj. EBITDA Margin</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4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44" w:right="1300" w:hanging="44"/>
        <w:spacing w:after="0" w:line="337" w:lineRule="auto"/>
        <w:tabs>
          <w:tab w:leader="none" w:pos="44" w:val="left"/>
        </w:tabs>
        <w:numPr>
          <w:ilvl w:val="0"/>
          <w:numId w:val="5"/>
        </w:numPr>
        <w:rPr>
          <w:rFonts w:ascii="Arial" w:cs="Arial" w:eastAsia="Arial" w:hAnsi="Arial"/>
          <w:sz w:val="10"/>
          <w:szCs w:val="10"/>
          <w:color w:val="FFFFFF"/>
          <w:vertAlign w:val="superscript"/>
        </w:rPr>
      </w:pPr>
      <w:r>
        <w:rPr>
          <w:rFonts w:ascii="Arial" w:cs="Arial" w:eastAsia="Arial" w:hAnsi="Arial"/>
          <w:sz w:val="9"/>
          <w:szCs w:val="9"/>
          <w:color w:val="FFFFFF"/>
        </w:rPr>
        <w:t>Adjusted EBITDA margin is a non-GAAP measure and a reconciliation to a GAAP measure. See pp. 91–94 of the Tradeweb Markets Inc. Annual Report on Form 10-K for the year ending December 31, 2024, for a discussion of Adjusted EBITDA margin, including, as applicable, reconciliations.</w:t>
      </w:r>
    </w:p>
    <w:p>
      <w:pPr>
        <w:spacing w:after="0" w:line="39" w:lineRule="exact"/>
        <w:rPr>
          <w:rFonts w:ascii="Arial" w:cs="Arial" w:eastAsia="Arial" w:hAnsi="Arial"/>
          <w:sz w:val="10"/>
          <w:szCs w:val="10"/>
          <w:color w:val="FFFFFF"/>
          <w:vertAlign w:val="superscript"/>
        </w:rPr>
      </w:pPr>
    </w:p>
    <w:p>
      <w:pPr>
        <w:ind w:left="64" w:right="1240" w:hanging="64"/>
        <w:spacing w:after="0" w:line="231" w:lineRule="auto"/>
        <w:tabs>
          <w:tab w:leader="none" w:pos="64" w:val="left"/>
        </w:tabs>
        <w:numPr>
          <w:ilvl w:val="0"/>
          <w:numId w:val="5"/>
        </w:numPr>
        <w:rPr>
          <w:rFonts w:ascii="Arial" w:cs="Arial" w:eastAsia="Arial" w:hAnsi="Arial"/>
          <w:sz w:val="14"/>
          <w:szCs w:val="14"/>
          <w:color w:val="FFFFFF"/>
          <w:vertAlign w:val="superscript"/>
        </w:rPr>
      </w:pPr>
      <w:r>
        <w:rPr>
          <w:rFonts w:ascii="Arial" w:cs="Arial" w:eastAsia="Arial" w:hAnsi="Arial"/>
          <w:sz w:val="12"/>
          <w:szCs w:val="12"/>
          <w:color w:val="FFFFFF"/>
        </w:rPr>
        <w:t>Technology investments include technology compensation related to development and other investment areas, technology-related non-compensation costs in investment areas and capital expenditures and excludes technology infrastructure operating expenses, maintenance spend and technology acquired in business acquisitions.</w:t>
      </w:r>
    </w:p>
    <w:p>
      <w:pPr>
        <w:spacing w:after="0" w:line="20" w:lineRule="exact"/>
        <w:rPr>
          <w:sz w:val="20"/>
          <w:szCs w:val="20"/>
          <w:color w:val="auto"/>
        </w:rPr>
      </w:pPr>
      <w:r>
        <w:rPr>
          <w:sz w:val="20"/>
          <w:szCs w:val="20"/>
          <w:color w:val="auto"/>
        </w:rPr>
        <w:br w:type="column"/>
      </w:r>
    </w:p>
    <w:p>
      <w:pPr>
        <w:ind w:right="120"/>
        <w:spacing w:after="0" w:line="306" w:lineRule="auto"/>
        <w:rPr>
          <w:sz w:val="20"/>
          <w:szCs w:val="20"/>
          <w:color w:val="auto"/>
        </w:rPr>
      </w:pPr>
      <w:r>
        <w:rPr>
          <w:rFonts w:ascii="Arial" w:cs="Arial" w:eastAsia="Arial" w:hAnsi="Arial"/>
          <w:sz w:val="16"/>
          <w:szCs w:val="16"/>
          <w:color w:val="auto"/>
        </w:rPr>
        <w:t>For Tradeweb, this includes partnerships with BlackRock, Securitize, Digital Asset, Goldman Sachs, Canton Network and Alphaledger, among others. Digital assets align with Tradeweb’s multi-asset class approach. As markets interconnect, clients expect to trade bonds, equities, derivatives and digital assets with the same ease and efficiency.</w:t>
      </w:r>
    </w:p>
    <w:p>
      <w:pPr>
        <w:spacing w:after="0" w:line="329" w:lineRule="exact"/>
        <w:rPr>
          <w:sz w:val="20"/>
          <w:szCs w:val="20"/>
          <w:color w:val="auto"/>
        </w:rPr>
      </w:pPr>
    </w:p>
    <w:p>
      <w:pPr>
        <w:spacing w:after="0"/>
        <w:rPr>
          <w:sz w:val="20"/>
          <w:szCs w:val="20"/>
          <w:color w:val="auto"/>
        </w:rPr>
      </w:pPr>
      <w:r>
        <w:rPr>
          <w:rFonts w:ascii="Arial" w:cs="Arial" w:eastAsia="Arial" w:hAnsi="Arial"/>
          <w:sz w:val="24"/>
          <w:szCs w:val="24"/>
          <w:color w:val="00568F"/>
        </w:rPr>
        <w:t>Evolving Market Structure</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color w:val="auto"/>
        </w:rPr>
        <w:t>Beyond new asset classes, structural shifts are reshaping markets. While uncertainties remain, Tradeweb is committed to helping clients navigate these transitions. Similar to Dodd-Frank’s derivatives clearing mandate, concerns around clearing capacity and capital requirements are emerging, particularly in repo markets. However, post-Dodd-Frank lessons and technology-driven workflow improvements are helping ease industry concerns.</w:t>
      </w:r>
    </w:p>
    <w:p>
      <w:pPr>
        <w:spacing w:after="0" w:line="253"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Similarly, our experience navigating the shift to a T+1 settlement cycle in U.S. securities offers insights for upcoming UK and EU adoption. Notably, the expansion of electronic trading, combined with more globally connected markets and seamless communication between stakeholders, has facilitated smoother transitions, reducing operational complexity compared to the analog era. In addition, leading banks are innovating amid potential regulatory shifts due to changes in the U.S. administration and Congress, while hedge funds are leveraging automation and algorithmic trading to optimize multi-asset class efficiency, all of which are reinforcing the trend toward more electronic markets.</w:t>
      </w:r>
    </w:p>
    <w:p>
      <w:pPr>
        <w:spacing w:after="0" w:line="200" w:lineRule="exact"/>
        <w:rPr>
          <w:sz w:val="20"/>
          <w:szCs w:val="20"/>
          <w:color w:val="auto"/>
        </w:rPr>
      </w:pPr>
    </w:p>
    <w:p>
      <w:pPr>
        <w:sectPr>
          <w:pgSz w:w="12060" w:h="15660" w:orient="portrait"/>
          <w:cols w:equalWidth="0" w:num="2">
            <w:col w:w="6264" w:space="720"/>
            <w:col w:w="3580"/>
          </w:cols>
          <w:pgMar w:left="676" w:top="1321" w:right="820" w:bottom="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
        <w:spacing w:after="0"/>
        <w:tabs>
          <w:tab w:leader="none" w:pos="344" w:val="left"/>
        </w:tabs>
        <w:rPr>
          <w:sz w:val="20"/>
          <w:szCs w:val="20"/>
          <w:color w:val="auto"/>
        </w:rPr>
      </w:pPr>
      <w:r>
        <w:rPr>
          <w:rFonts w:ascii="Arial" w:cs="Arial" w:eastAsia="Arial" w:hAnsi="Arial"/>
          <w:sz w:val="16"/>
          <w:szCs w:val="16"/>
          <w:color w:val="FFFFFF"/>
        </w:rPr>
        <w:t>06</w:t>
      </w:r>
      <w:r>
        <w:rPr>
          <w:sz w:val="20"/>
          <w:szCs w:val="20"/>
          <w:color w:val="auto"/>
        </w:rPr>
        <w:tab/>
      </w:r>
      <w:r>
        <w:rPr>
          <w:rFonts w:ascii="Arial" w:cs="Arial" w:eastAsia="Arial" w:hAnsi="Arial"/>
          <w:sz w:val="13"/>
          <w:szCs w:val="13"/>
          <w:color w:val="FFFFFF"/>
        </w:rPr>
        <w:t>TRADEWEB MARKETS</w:t>
      </w:r>
    </w:p>
    <w:p>
      <w:pPr>
        <w:sectPr>
          <w:pgSz w:w="12060" w:h="15660" w:orient="portrait"/>
          <w:cols w:equalWidth="0" w:num="1">
            <w:col w:w="10564"/>
          </w:cols>
          <w:pgMar w:left="676" w:top="1321" w:right="820" w:bottom="6" w:gutter="0" w:footer="0" w:header="0"/>
          <w:type w:val="continuous"/>
        </w:sectPr>
      </w:pPr>
    </w:p>
    <w:bookmarkStart w:id="8" w:name="page9"/>
    <w:bookmarkEnd w:id="8"/>
    <w:p>
      <w:pPr>
        <w:spacing w:after="0" w:line="2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-3810</wp:posOffset>
                </wp:positionH>
                <wp:positionV relativeFrom="page">
                  <wp:posOffset>0</wp:posOffset>
                </wp:positionV>
                <wp:extent cx="76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2999pt,0pt" to="0.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12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499pt,0pt" to="0.05pt,0pt" o:allowincell="f" strokecolor="#000000" strokeweight="0.125pt">
                <w10:wrap anchorx="page" anchory="page"/>
              </v:line>
            </w:pict>
          </mc:Fallback>
        </mc:AlternateContent>
      </w:r>
    </w:p>
    <w:p>
      <w:pPr>
        <w:ind w:left="68" w:right="1080"/>
        <w:spacing w:after="0" w:line="232" w:lineRule="auto"/>
        <w:rPr>
          <w:sz w:val="20"/>
          <w:szCs w:val="20"/>
          <w:color w:val="auto"/>
        </w:rPr>
      </w:pPr>
      <w:r>
        <w:rPr>
          <w:rFonts w:ascii="Arial" w:cs="Arial" w:eastAsia="Arial" w:hAnsi="Arial"/>
          <w:sz w:val="24"/>
          <w:szCs w:val="24"/>
          <w:color w:val="00568F"/>
        </w:rPr>
        <w:t>Disruptive Technology at the Forefront</w:t>
      </w:r>
    </w:p>
    <w:p>
      <w:pPr>
        <w:spacing w:after="0" w:line="162" w:lineRule="exact"/>
        <w:rPr>
          <w:sz w:val="20"/>
          <w:szCs w:val="20"/>
          <w:color w:val="auto"/>
        </w:rPr>
      </w:pPr>
    </w:p>
    <w:p>
      <w:pPr>
        <w:ind w:left="68" w:right="120"/>
        <w:spacing w:after="0" w:line="292" w:lineRule="auto"/>
        <w:rPr>
          <w:sz w:val="20"/>
          <w:szCs w:val="20"/>
          <w:color w:val="auto"/>
        </w:rPr>
      </w:pPr>
      <w:r>
        <w:rPr>
          <w:rFonts w:ascii="Arial" w:cs="Arial" w:eastAsia="Arial" w:hAnsi="Arial"/>
          <w:sz w:val="17"/>
          <w:szCs w:val="17"/>
          <w:color w:val="auto"/>
        </w:rPr>
        <w:t>Artificial intelligence’s (AI) impact in 2024 cannot be overstated. At Tradeweb, AI is enhancing pre-trade analytics, optimizing dealer selection and pricing bonds that do not have recent trade data available. Already, AI’s ability to analyze transaction components and assimilate data into recommendations signals promising advancements.</w:t>
      </w:r>
    </w:p>
    <w:p>
      <w:pPr>
        <w:spacing w:after="0" w:line="257" w:lineRule="exact"/>
        <w:rPr>
          <w:sz w:val="20"/>
          <w:szCs w:val="20"/>
          <w:color w:val="auto"/>
        </w:rPr>
      </w:pPr>
    </w:p>
    <w:p>
      <w:pPr>
        <w:ind w:left="68"/>
        <w:spacing w:after="0" w:line="313" w:lineRule="auto"/>
        <w:rPr>
          <w:sz w:val="20"/>
          <w:szCs w:val="20"/>
          <w:color w:val="auto"/>
        </w:rPr>
      </w:pPr>
      <w:r>
        <w:rPr>
          <w:rFonts w:ascii="Arial" w:cs="Arial" w:eastAsia="Arial" w:hAnsi="Arial"/>
          <w:sz w:val="16"/>
          <w:szCs w:val="16"/>
          <w:color w:val="auto"/>
        </w:rPr>
        <w:t>While it’s still early days, we see the introduction of newer technologies such as multi-asset class trading, blockchain and digital assets and AI-driven tools as crucial in driving significant advancements in global marketplaces. These tools are fostering and expediting key developments across our markets.</w:t>
      </w:r>
    </w:p>
    <w:p>
      <w:pPr>
        <w:spacing w:after="0" w:line="323" w:lineRule="exact"/>
        <w:rPr>
          <w:sz w:val="20"/>
          <w:szCs w:val="20"/>
          <w:color w:val="auto"/>
        </w:rPr>
      </w:pPr>
    </w:p>
    <w:p>
      <w:pPr>
        <w:ind w:left="68"/>
        <w:spacing w:after="0"/>
        <w:rPr>
          <w:sz w:val="20"/>
          <w:szCs w:val="20"/>
          <w:color w:val="auto"/>
        </w:rPr>
      </w:pPr>
      <w:r>
        <w:rPr>
          <w:rFonts w:ascii="Arial" w:cs="Arial" w:eastAsia="Arial" w:hAnsi="Arial"/>
          <w:sz w:val="24"/>
          <w:szCs w:val="24"/>
          <w:color w:val="00568F"/>
        </w:rPr>
        <w:t>How We Work</w:t>
      </w:r>
    </w:p>
    <w:p>
      <w:pPr>
        <w:spacing w:after="0" w:line="162" w:lineRule="exact"/>
        <w:rPr>
          <w:sz w:val="20"/>
          <w:szCs w:val="20"/>
          <w:color w:val="auto"/>
        </w:rPr>
      </w:pPr>
    </w:p>
    <w:p>
      <w:pPr>
        <w:ind w:left="68" w:right="220"/>
        <w:spacing w:after="0" w:line="313" w:lineRule="auto"/>
        <w:rPr>
          <w:sz w:val="20"/>
          <w:szCs w:val="20"/>
          <w:color w:val="auto"/>
        </w:rPr>
      </w:pPr>
      <w:r>
        <w:rPr>
          <w:rFonts w:ascii="Arial" w:cs="Arial" w:eastAsia="Arial" w:hAnsi="Arial"/>
          <w:sz w:val="16"/>
          <w:szCs w:val="16"/>
          <w:color w:val="auto"/>
        </w:rPr>
        <w:t>As we expand globally, we remain dedicated to fostering an inclusive workplace culture. We have strengthened employee engagement through initiatives such as our annual survey and expanded professional development opportunities for all employees, supporting our workforce to continue to grow with Tradeweb.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568F"/>
        </w:rPr>
        <w:t>The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4554855</wp:posOffset>
                </wp:positionH>
                <wp:positionV relativeFrom="paragraph">
                  <wp:posOffset>-1014095</wp:posOffset>
                </wp:positionV>
                <wp:extent cx="82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65pt,-79.8499pt" to="359.3pt,-79.8499pt" o:allowincell="f" strokecolor="#FFFFFF" strokeweight="0.625pt"/>
            </w:pict>
          </mc:Fallback>
        </mc:AlternateContent>
        <mc:AlternateContent>
          <mc:Choice Requires="wps">
            <w:drawing>
              <wp:anchor simplePos="0" relativeHeight="251657728" behindDoc="1" locked="0" layoutInCell="0" allowOverlap="1">
                <wp:simplePos x="0" y="0"/>
                <wp:positionH relativeFrom="column">
                  <wp:posOffset>4558030</wp:posOffset>
                </wp:positionH>
                <wp:positionV relativeFrom="paragraph">
                  <wp:posOffset>-1014095</wp:posOffset>
                </wp:positionV>
                <wp:extent cx="190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9pt,-79.8499pt" to="359.05pt,-79.8499pt" o:allowincell="f" strokecolor="#000000" strokeweight="0.125pt"/>
            </w:pict>
          </mc:Fallback>
        </mc:AlternateContent>
      </w:r>
    </w:p>
    <w:p>
      <w:pPr>
        <w:spacing w:after="0" w:line="142" w:lineRule="exact"/>
        <w:rPr>
          <w:sz w:val="20"/>
          <w:szCs w:val="20"/>
          <w:color w:val="auto"/>
        </w:rPr>
      </w:pPr>
    </w:p>
    <w:p>
      <w:pPr>
        <w:ind w:right="2920"/>
        <w:spacing w:after="0" w:line="293" w:lineRule="auto"/>
        <w:rPr>
          <w:sz w:val="20"/>
          <w:szCs w:val="20"/>
          <w:color w:val="auto"/>
        </w:rPr>
      </w:pPr>
      <w:r>
        <w:rPr>
          <w:rFonts w:ascii="Arial" w:cs="Arial" w:eastAsia="Arial" w:hAnsi="Arial"/>
          <w:sz w:val="17"/>
          <w:szCs w:val="17"/>
          <w:color w:val="auto"/>
        </w:rPr>
        <w:t>Markets continue to become increasingly interconnected and innovative technology and superb client networks are what makes that evolution possible. We are confident in the long-term durability of our revenue growth, driven by further electronification, increasing market share and deepening our product and geographic footprint. Market debates continue to influence our trajectory, from Federal Reserve rate decisions to movements in the long end of the yield curve and their impact on mortgages, global swaps, corporate bonds and ETFs. These dynamics are already generating increased trading activity across our platform.</w:t>
      </w:r>
    </w:p>
    <w:p>
      <w:pPr>
        <w:spacing w:after="0" w:line="258" w:lineRule="exact"/>
        <w:rPr>
          <w:sz w:val="20"/>
          <w:szCs w:val="20"/>
          <w:color w:val="auto"/>
        </w:rPr>
      </w:pPr>
    </w:p>
    <w:p>
      <w:pPr>
        <w:ind w:right="2860"/>
        <w:spacing w:after="0" w:line="313" w:lineRule="auto"/>
        <w:rPr>
          <w:sz w:val="20"/>
          <w:szCs w:val="20"/>
          <w:color w:val="auto"/>
        </w:rPr>
      </w:pPr>
      <w:r>
        <w:rPr>
          <w:rFonts w:ascii="Arial" w:cs="Arial" w:eastAsia="Arial" w:hAnsi="Arial"/>
          <w:sz w:val="16"/>
          <w:szCs w:val="16"/>
          <w:color w:val="auto"/>
        </w:rPr>
        <w:t>Beyond macro trends, we are poised to strengthen our connectivity across existing products and expand into new asset classes. From Treasuries to futures, corporate bonds to ETFs and developed markets to emerging markets, we are building an all-weather business across markets. We continue to be focused on M&amp;A as a tool to plant more flags to expand our network. We firmly believe this is an exciting time for our industry and we look forward to capitalizing on the significant opportunities ahead for Tradeweb and our clients.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trust and partnership.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Together, we are not just adapting to change;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we are shaping the next era of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584325" cy="547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extLst>
                    </a:blip>
                    <a:srcRect/>
                    <a:stretch>
                      <a:fillRect/>
                    </a:stretch>
                  </pic:blipFill>
                  <pic:spPr bwMode="auto">
                    <a:xfrm>
                      <a:off x="0" y="0"/>
                      <a:ext cx="1584325" cy="547370"/>
                    </a:xfrm>
                    <a:prstGeom prst="rect">
                      <a:avLst/>
                    </a:prstGeom>
                    <a:noFill/>
                  </pic:spPr>
                </pic:pic>
              </a:graphicData>
            </a:graphic>
          </wp:anchor>
        </w:drawing>
      </w:r>
    </w:p>
    <w:p>
      <w:pPr>
        <w:spacing w:after="0" w:line="200" w:lineRule="exact"/>
        <w:rPr>
          <w:sz w:val="20"/>
          <w:szCs w:val="20"/>
          <w:color w:val="auto"/>
        </w:rPr>
      </w:pPr>
    </w:p>
    <w:p>
      <w:pPr>
        <w:sectPr>
          <w:pgSz w:w="12060" w:h="15660" w:orient="portrait"/>
          <w:cols w:equalWidth="0" w:num="2">
            <w:col w:w="3648" w:space="580"/>
            <w:col w:w="6460"/>
          </w:cols>
          <w:pgMar w:left="652" w:top="1321" w:right="7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8"/>
        <w:spacing w:after="0"/>
        <w:rPr>
          <w:sz w:val="20"/>
          <w:szCs w:val="20"/>
          <w:color w:val="auto"/>
        </w:rPr>
      </w:pPr>
      <w:r>
        <w:rPr>
          <w:rFonts w:ascii="Arial" w:cs="Arial" w:eastAsia="Arial" w:hAnsi="Arial"/>
          <w:sz w:val="24"/>
          <w:szCs w:val="24"/>
          <w:color w:val="00568F"/>
        </w:rPr>
        <w:t>Billy Hult</w:t>
      </w:r>
    </w:p>
    <w:p>
      <w:pPr>
        <w:spacing w:after="0" w:line="38" w:lineRule="exact"/>
        <w:rPr>
          <w:sz w:val="20"/>
          <w:szCs w:val="20"/>
          <w:color w:val="auto"/>
        </w:rPr>
      </w:pPr>
    </w:p>
    <w:p>
      <w:pPr>
        <w:ind w:left="4228"/>
        <w:spacing w:after="0"/>
        <w:rPr>
          <w:sz w:val="20"/>
          <w:szCs w:val="20"/>
          <w:color w:val="auto"/>
        </w:rPr>
      </w:pPr>
      <w:r>
        <w:rPr>
          <w:rFonts w:ascii="Arial" w:cs="Arial" w:eastAsia="Arial" w:hAnsi="Arial"/>
          <w:sz w:val="13"/>
          <w:szCs w:val="13"/>
          <w:color w:val="auto"/>
        </w:rPr>
        <w:t>CHIEF EXECUTIVE OFFICER,</w:t>
      </w:r>
    </w:p>
    <w:p>
      <w:pPr>
        <w:spacing w:after="0" w:line="50" w:lineRule="exact"/>
        <w:rPr>
          <w:sz w:val="20"/>
          <w:szCs w:val="20"/>
          <w:color w:val="auto"/>
        </w:rPr>
      </w:pPr>
    </w:p>
    <w:p>
      <w:pPr>
        <w:ind w:left="4228"/>
        <w:spacing w:after="0"/>
        <w:rPr>
          <w:sz w:val="20"/>
          <w:szCs w:val="20"/>
          <w:color w:val="auto"/>
        </w:rPr>
      </w:pPr>
      <w:r>
        <w:rPr>
          <w:rFonts w:ascii="Arial" w:cs="Arial" w:eastAsia="Arial" w:hAnsi="Arial"/>
          <w:sz w:val="16"/>
          <w:szCs w:val="16"/>
          <w:color w:val="auto"/>
        </w:rPr>
        <w:t>TRADEWEB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1616075</wp:posOffset>
            </wp:positionV>
            <wp:extent cx="3110230" cy="59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extLst>
                    </a:blip>
                    <a:srcRect/>
                    <a:stretch>
                      <a:fillRect/>
                    </a:stretch>
                  </pic:blipFill>
                  <pic:spPr bwMode="auto">
                    <a:xfrm>
                      <a:off x="0" y="0"/>
                      <a:ext cx="3110230" cy="59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 w:hanging="48"/>
        <w:spacing w:after="0"/>
        <w:tabs>
          <w:tab w:leader="none" w:pos="48"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Based on Tradeweb internal calculation of its TRACE market share as of December 31, 2024.</w:t>
      </w:r>
    </w:p>
    <w:p>
      <w:pPr>
        <w:spacing w:after="0" w:line="81" w:lineRule="exact"/>
        <w:rPr>
          <w:rFonts w:ascii="Arial" w:cs="Arial" w:eastAsia="Arial" w:hAnsi="Arial"/>
          <w:sz w:val="12"/>
          <w:szCs w:val="12"/>
          <w:color w:val="auto"/>
          <w:vertAlign w:val="superscript"/>
        </w:rPr>
      </w:pPr>
    </w:p>
    <w:p>
      <w:pPr>
        <w:ind w:left="68" w:right="4980"/>
        <w:spacing w:after="0" w:line="271" w:lineRule="auto"/>
        <w:rPr>
          <w:rFonts w:ascii="Arial" w:cs="Arial" w:eastAsia="Arial" w:hAnsi="Arial"/>
          <w:sz w:val="12"/>
          <w:szCs w:val="12"/>
          <w:color w:val="auto"/>
          <w:vertAlign w:val="superscript"/>
        </w:rPr>
      </w:pPr>
      <w:r>
        <w:rPr>
          <w:rFonts w:ascii="Arial" w:cs="Arial" w:eastAsia="Arial" w:hAnsi="Arial"/>
          <w:sz w:val="11"/>
          <w:szCs w:val="11"/>
          <w:color w:val="auto"/>
        </w:rPr>
        <w:t>Note: This letter includes certain forward-looking statements within the meaning of the federal securities laws. Please see Cautionary Note Regarding Forward-Looking Statements on pp. 7–8 of the Tradeweb Markets Inc. Annual Report on Form 10-K for the year ended December 31, 2024, and Forward-Looking Statements and References to Websites on p. 9 of Tradeweb Market Inc.’s 2025 Proxy Statement. In addition, this letter includes certain estimates regarding market and industry data. Please see “Introductory Note — Market and Industry Data” on p. 4 of the Tradeweb Markets Inc. Annual Report on Form 10-K for the year ended December 31, 2024.</w:t>
      </w:r>
    </w:p>
    <w:p>
      <w:pPr>
        <w:sectPr>
          <w:pgSz w:w="12060" w:h="15660" w:orient="portrait"/>
          <w:cols w:equalWidth="0" w:num="1">
            <w:col w:w="10688"/>
          </w:cols>
          <w:pgMar w:left="652" w:top="1321" w:right="720" w:bottom="6"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8888"/>
        <w:spacing w:after="0"/>
        <w:tabs>
          <w:tab w:leader="none" w:pos="10508" w:val="left"/>
        </w:tabs>
        <w:rPr>
          <w:sz w:val="20"/>
          <w:szCs w:val="20"/>
          <w:color w:val="auto"/>
        </w:rPr>
      </w:pPr>
      <w:r>
        <w:rPr>
          <w:rFonts w:ascii="Arial" w:cs="Arial" w:eastAsia="Arial" w:hAnsi="Arial"/>
          <w:sz w:val="16"/>
          <w:szCs w:val="16"/>
          <w:color w:val="00002F"/>
        </w:rPr>
        <w:t>TRADEWEB MARKETS</w:t>
      </w:r>
      <w:r>
        <w:rPr>
          <w:sz w:val="20"/>
          <w:szCs w:val="20"/>
          <w:color w:val="auto"/>
        </w:rPr>
        <w:tab/>
      </w:r>
      <w:r>
        <w:rPr>
          <w:rFonts w:ascii="Arial" w:cs="Arial" w:eastAsia="Arial" w:hAnsi="Arial"/>
          <w:sz w:val="14"/>
          <w:szCs w:val="14"/>
          <w:color w:val="00002F"/>
        </w:rPr>
        <w:t>07</w:t>
      </w:r>
    </w:p>
    <w:p>
      <w:pPr>
        <w:sectPr>
          <w:pgSz w:w="12060" w:h="15660" w:orient="portrait"/>
          <w:cols w:equalWidth="0" w:num="1">
            <w:col w:w="10688"/>
          </w:cols>
          <w:pgMar w:left="652" w:top="1321" w:right="720" w:bottom="6"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20"/>
          <w:szCs w:val="2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LEADERSHIP</w:t>
      </w:r>
    </w:p>
    <w:p>
      <w:pPr>
        <w:spacing w:after="0" w:line="200" w:lineRule="exact"/>
        <w:rPr>
          <w:sz w:val="20"/>
          <w:szCs w:val="20"/>
          <w:color w:val="auto"/>
        </w:rPr>
      </w:pP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7DCCD1"/>
              </w:rPr>
              <w:t>BILLY HULT</w:t>
            </w:r>
          </w:p>
        </w:tc>
        <w:tc>
          <w:tcPr>
            <w:tcW w:w="3680" w:type="dxa"/>
            <w:vAlign w:val="bottom"/>
          </w:tcPr>
          <w:p>
            <w:pPr>
              <w:ind w:left="940"/>
              <w:spacing w:after="0"/>
              <w:rPr>
                <w:sz w:val="20"/>
                <w:szCs w:val="20"/>
                <w:color w:val="auto"/>
              </w:rPr>
            </w:pPr>
            <w:r>
              <w:rPr>
                <w:rFonts w:ascii="Arial" w:cs="Arial" w:eastAsia="Arial" w:hAnsi="Arial"/>
                <w:sz w:val="18"/>
                <w:szCs w:val="18"/>
                <w:color w:val="7DCCD1"/>
              </w:rPr>
              <w:t>SARA FURBER</w:t>
            </w:r>
          </w:p>
        </w:tc>
        <w:tc>
          <w:tcPr>
            <w:tcW w:w="2720" w:type="dxa"/>
            <w:vAlign w:val="bottom"/>
          </w:tcPr>
          <w:p>
            <w:pPr>
              <w:ind w:left="900"/>
              <w:spacing w:after="0"/>
              <w:rPr>
                <w:sz w:val="20"/>
                <w:szCs w:val="20"/>
                <w:color w:val="auto"/>
              </w:rPr>
            </w:pPr>
            <w:r>
              <w:rPr>
                <w:rFonts w:ascii="Arial" w:cs="Arial" w:eastAsia="Arial" w:hAnsi="Arial"/>
                <w:sz w:val="18"/>
                <w:szCs w:val="18"/>
                <w:color w:val="7DCCD1"/>
              </w:rPr>
              <w:t>CHRIS BRUNER</w:t>
            </w: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FFFFFF"/>
              </w:rPr>
              <w:t>Chief Executive Officer</w:t>
            </w:r>
          </w:p>
        </w:tc>
        <w:tc>
          <w:tcPr>
            <w:tcW w:w="3680" w:type="dxa"/>
            <w:vAlign w:val="bottom"/>
          </w:tcPr>
          <w:p>
            <w:pPr>
              <w:ind w:left="940"/>
              <w:spacing w:after="0"/>
              <w:rPr>
                <w:sz w:val="20"/>
                <w:szCs w:val="20"/>
                <w:color w:val="auto"/>
              </w:rPr>
            </w:pPr>
            <w:r>
              <w:rPr>
                <w:rFonts w:ascii="Arial" w:cs="Arial" w:eastAsia="Arial" w:hAnsi="Arial"/>
                <w:sz w:val="16"/>
                <w:szCs w:val="16"/>
                <w:color w:val="FFFFFF"/>
              </w:rPr>
              <w:t>Chief Financial Officer</w:t>
            </w:r>
          </w:p>
        </w:tc>
        <w:tc>
          <w:tcPr>
            <w:tcW w:w="2720" w:type="dxa"/>
            <w:vAlign w:val="bottom"/>
          </w:tcPr>
          <w:p>
            <w:pPr>
              <w:ind w:left="900"/>
              <w:spacing w:after="0"/>
              <w:rPr>
                <w:sz w:val="20"/>
                <w:szCs w:val="20"/>
                <w:color w:val="auto"/>
              </w:rPr>
            </w:pPr>
            <w:r>
              <w:rPr>
                <w:rFonts w:ascii="Arial" w:cs="Arial" w:eastAsia="Arial" w:hAnsi="Arial"/>
                <w:sz w:val="16"/>
                <w:szCs w:val="16"/>
                <w:color w:val="FFFFFF"/>
              </w:rPr>
              <w:t>Chief Product Officer</w:t>
            </w:r>
          </w:p>
        </w:tc>
      </w:tr>
      <w:tr>
        <w:trPr>
          <w:trHeight w:val="1139"/>
        </w:trPr>
        <w:tc>
          <w:tcPr>
            <w:tcW w:w="2720" w:type="dxa"/>
            <w:vAlign w:val="bottom"/>
          </w:tcPr>
          <w:p>
            <w:pPr>
              <w:spacing w:after="0"/>
              <w:rPr>
                <w:sz w:val="20"/>
                <w:szCs w:val="20"/>
                <w:color w:val="auto"/>
              </w:rPr>
            </w:pPr>
            <w:r>
              <w:rPr>
                <w:rFonts w:ascii="Arial" w:cs="Arial" w:eastAsia="Arial" w:hAnsi="Arial"/>
                <w:sz w:val="18"/>
                <w:szCs w:val="18"/>
                <w:color w:val="7DCCD1"/>
              </w:rPr>
              <w:t>ENRICO BRUNI</w:t>
            </w:r>
          </w:p>
        </w:tc>
        <w:tc>
          <w:tcPr>
            <w:tcW w:w="3680" w:type="dxa"/>
            <w:vAlign w:val="bottom"/>
          </w:tcPr>
          <w:p>
            <w:pPr>
              <w:ind w:left="940"/>
              <w:spacing w:after="0"/>
              <w:rPr>
                <w:sz w:val="20"/>
                <w:szCs w:val="20"/>
                <w:color w:val="auto"/>
              </w:rPr>
            </w:pPr>
            <w:r>
              <w:rPr>
                <w:rFonts w:ascii="Arial" w:cs="Arial" w:eastAsia="Arial" w:hAnsi="Arial"/>
                <w:sz w:val="18"/>
                <w:szCs w:val="18"/>
                <w:color w:val="7DCCD1"/>
              </w:rPr>
              <w:t>AMY CLACK</w:t>
            </w:r>
          </w:p>
        </w:tc>
        <w:tc>
          <w:tcPr>
            <w:tcW w:w="2720" w:type="dxa"/>
            <w:vAlign w:val="bottom"/>
          </w:tcPr>
          <w:p>
            <w:pPr>
              <w:ind w:left="900"/>
              <w:spacing w:after="0"/>
              <w:rPr>
                <w:sz w:val="20"/>
                <w:szCs w:val="20"/>
                <w:color w:val="auto"/>
              </w:rPr>
            </w:pPr>
            <w:r>
              <w:rPr>
                <w:rFonts w:ascii="Arial" w:cs="Arial" w:eastAsia="Arial" w:hAnsi="Arial"/>
                <w:sz w:val="18"/>
                <w:szCs w:val="18"/>
                <w:color w:val="7DCCD1"/>
              </w:rPr>
              <w:t>TROY DIXON</w:t>
            </w: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FFFFFF"/>
              </w:rPr>
              <w:t>Managing Director,</w:t>
            </w:r>
          </w:p>
        </w:tc>
        <w:tc>
          <w:tcPr>
            <w:tcW w:w="3680" w:type="dxa"/>
            <w:vAlign w:val="bottom"/>
          </w:tcPr>
          <w:p>
            <w:pPr>
              <w:ind w:left="940"/>
              <w:spacing w:after="0"/>
              <w:rPr>
                <w:sz w:val="20"/>
                <w:szCs w:val="20"/>
                <w:color w:val="auto"/>
              </w:rPr>
            </w:pPr>
            <w:r>
              <w:rPr>
                <w:rFonts w:ascii="Arial" w:cs="Arial" w:eastAsia="Arial" w:hAnsi="Arial"/>
                <w:sz w:val="16"/>
                <w:szCs w:val="16"/>
                <w:color w:val="FFFFFF"/>
              </w:rPr>
              <w:t>Chief Administrative Officer</w:t>
            </w:r>
          </w:p>
        </w:tc>
        <w:tc>
          <w:tcPr>
            <w:tcW w:w="2720" w:type="dxa"/>
            <w:vAlign w:val="bottom"/>
          </w:tcPr>
          <w:p>
            <w:pPr>
              <w:ind w:left="900"/>
              <w:spacing w:after="0"/>
              <w:rPr>
                <w:sz w:val="20"/>
                <w:szCs w:val="20"/>
                <w:color w:val="auto"/>
              </w:rPr>
            </w:pPr>
            <w:r>
              <w:rPr>
                <w:rFonts w:ascii="Arial" w:cs="Arial" w:eastAsia="Arial" w:hAnsi="Arial"/>
                <w:sz w:val="16"/>
                <w:szCs w:val="16"/>
                <w:color w:val="FFFFFF"/>
              </w:rPr>
              <w:t>Managing Director,</w:t>
            </w: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Co-Head of Global Markets</w:t>
            </w:r>
          </w:p>
        </w:tc>
        <w:tc>
          <w:tcPr>
            <w:tcW w:w="3680" w:type="dxa"/>
            <w:vAlign w:val="bottom"/>
          </w:tcPr>
          <w:p>
            <w:pPr>
              <w:spacing w:after="0"/>
              <w:rPr>
                <w:sz w:val="17"/>
                <w:szCs w:val="17"/>
                <w:color w:val="auto"/>
              </w:rPr>
            </w:pPr>
          </w:p>
        </w:tc>
        <w:tc>
          <w:tcPr>
            <w:tcW w:w="2720" w:type="dxa"/>
            <w:vAlign w:val="bottom"/>
          </w:tcPr>
          <w:p>
            <w:pPr>
              <w:ind w:left="900"/>
              <w:spacing w:after="0"/>
              <w:rPr>
                <w:sz w:val="20"/>
                <w:szCs w:val="20"/>
                <w:color w:val="auto"/>
              </w:rPr>
            </w:pPr>
            <w:r>
              <w:rPr>
                <w:rFonts w:ascii="Arial" w:cs="Arial" w:eastAsia="Arial" w:hAnsi="Arial"/>
                <w:sz w:val="16"/>
                <w:szCs w:val="16"/>
                <w:color w:val="FFFFFF"/>
                <w:w w:val="92"/>
              </w:rPr>
              <w:t>Co-Head of Global Markets</w:t>
            </w:r>
          </w:p>
        </w:tc>
      </w:tr>
      <w:tr>
        <w:trPr>
          <w:trHeight w:val="940"/>
        </w:trPr>
        <w:tc>
          <w:tcPr>
            <w:tcW w:w="2720" w:type="dxa"/>
            <w:vAlign w:val="bottom"/>
          </w:tcPr>
          <w:p>
            <w:pPr>
              <w:spacing w:after="0"/>
              <w:rPr>
                <w:sz w:val="20"/>
                <w:szCs w:val="20"/>
                <w:color w:val="auto"/>
              </w:rPr>
            </w:pPr>
            <w:r>
              <w:rPr>
                <w:rFonts w:ascii="Arial" w:cs="Arial" w:eastAsia="Arial" w:hAnsi="Arial"/>
                <w:sz w:val="18"/>
                <w:szCs w:val="18"/>
                <w:color w:val="7DCCD1"/>
              </w:rPr>
              <w:t>DOUGLAS FRIEDMAN</w:t>
            </w:r>
          </w:p>
        </w:tc>
        <w:tc>
          <w:tcPr>
            <w:tcW w:w="3680" w:type="dxa"/>
            <w:vAlign w:val="bottom"/>
          </w:tcPr>
          <w:p>
            <w:pPr>
              <w:ind w:left="940"/>
              <w:spacing w:after="0"/>
              <w:rPr>
                <w:sz w:val="20"/>
                <w:szCs w:val="20"/>
                <w:color w:val="auto"/>
              </w:rPr>
            </w:pPr>
            <w:r>
              <w:rPr>
                <w:rFonts w:ascii="Arial" w:cs="Arial" w:eastAsia="Arial" w:hAnsi="Arial"/>
                <w:sz w:val="18"/>
                <w:szCs w:val="18"/>
                <w:color w:val="7DCCD1"/>
              </w:rPr>
              <w:t>JUSTIN PETERSON</w:t>
            </w:r>
          </w:p>
        </w:tc>
        <w:tc>
          <w:tcPr>
            <w:tcW w:w="2720" w:type="dxa"/>
            <w:vAlign w:val="bottom"/>
          </w:tcPr>
          <w:p>
            <w:pPr>
              <w:ind w:left="900"/>
              <w:spacing w:after="0"/>
              <w:rPr>
                <w:sz w:val="20"/>
                <w:szCs w:val="20"/>
                <w:color w:val="auto"/>
              </w:rPr>
            </w:pPr>
            <w:r>
              <w:rPr>
                <w:rFonts w:ascii="Arial" w:cs="Arial" w:eastAsia="Arial" w:hAnsi="Arial"/>
                <w:sz w:val="18"/>
                <w:szCs w:val="18"/>
                <w:color w:val="7DCCD1"/>
              </w:rPr>
              <w:t>ASHLEY SERRAO</w:t>
            </w: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FFFFFF"/>
              </w:rPr>
              <w:t>General Counsel and</w:t>
            </w:r>
          </w:p>
        </w:tc>
        <w:tc>
          <w:tcPr>
            <w:tcW w:w="3680" w:type="dxa"/>
            <w:vAlign w:val="bottom"/>
          </w:tcPr>
          <w:p>
            <w:pPr>
              <w:ind w:left="940"/>
              <w:spacing w:after="0"/>
              <w:rPr>
                <w:sz w:val="20"/>
                <w:szCs w:val="20"/>
                <w:color w:val="auto"/>
              </w:rPr>
            </w:pPr>
            <w:r>
              <w:rPr>
                <w:rFonts w:ascii="Arial" w:cs="Arial" w:eastAsia="Arial" w:hAnsi="Arial"/>
                <w:sz w:val="16"/>
                <w:szCs w:val="16"/>
                <w:color w:val="FFFFFF"/>
              </w:rPr>
              <w:t>Chief Technology Officer</w:t>
            </w:r>
          </w:p>
        </w:tc>
        <w:tc>
          <w:tcPr>
            <w:tcW w:w="2720" w:type="dxa"/>
            <w:vAlign w:val="bottom"/>
          </w:tcPr>
          <w:p>
            <w:pPr>
              <w:ind w:left="900"/>
              <w:spacing w:after="0"/>
              <w:rPr>
                <w:sz w:val="20"/>
                <w:szCs w:val="20"/>
                <w:color w:val="auto"/>
              </w:rPr>
            </w:pPr>
            <w:r>
              <w:rPr>
                <w:rFonts w:ascii="Arial" w:cs="Arial" w:eastAsia="Arial" w:hAnsi="Arial"/>
                <w:sz w:val="16"/>
                <w:szCs w:val="16"/>
                <w:color w:val="FFFFFF"/>
              </w:rPr>
              <w:t>Managing Director,</w:t>
            </w: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Secretary</w:t>
            </w:r>
          </w:p>
        </w:tc>
        <w:tc>
          <w:tcPr>
            <w:tcW w:w="3680" w:type="dxa"/>
            <w:vAlign w:val="bottom"/>
          </w:tcPr>
          <w:p>
            <w:pPr>
              <w:spacing w:after="0"/>
              <w:rPr>
                <w:sz w:val="17"/>
                <w:szCs w:val="17"/>
                <w:color w:val="auto"/>
              </w:rPr>
            </w:pPr>
          </w:p>
        </w:tc>
        <w:tc>
          <w:tcPr>
            <w:tcW w:w="2720" w:type="dxa"/>
            <w:vAlign w:val="bottom"/>
          </w:tcPr>
          <w:p>
            <w:pPr>
              <w:ind w:left="900"/>
              <w:spacing w:after="0"/>
              <w:rPr>
                <w:sz w:val="20"/>
                <w:szCs w:val="20"/>
                <w:color w:val="auto"/>
              </w:rPr>
            </w:pPr>
            <w:r>
              <w:rPr>
                <w:rFonts w:ascii="Arial" w:cs="Arial" w:eastAsia="Arial" w:hAnsi="Arial"/>
                <w:sz w:val="16"/>
                <w:szCs w:val="16"/>
                <w:color w:val="FFFFFF"/>
                <w:w w:val="87"/>
              </w:rPr>
              <w:t>Head of Treasury, FP&amp;A and</w:t>
            </w:r>
          </w:p>
        </w:tc>
      </w:tr>
      <w:tr>
        <w:trPr>
          <w:trHeight w:val="200"/>
        </w:trPr>
        <w:tc>
          <w:tcPr>
            <w:tcW w:w="2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ind w:left="900"/>
              <w:spacing w:after="0"/>
              <w:rPr>
                <w:sz w:val="20"/>
                <w:szCs w:val="20"/>
                <w:color w:val="auto"/>
              </w:rPr>
            </w:pPr>
            <w:r>
              <w:rPr>
                <w:rFonts w:ascii="Arial" w:cs="Arial" w:eastAsia="Arial" w:hAnsi="Arial"/>
                <w:sz w:val="16"/>
                <w:szCs w:val="16"/>
                <w:color w:val="FFFFFF"/>
              </w:rPr>
              <w:t>Investor Relations</w:t>
            </w:r>
          </w:p>
        </w:tc>
      </w:tr>
      <w:tr>
        <w:trPr>
          <w:trHeight w:val="740"/>
        </w:trPr>
        <w:tc>
          <w:tcPr>
            <w:tcW w:w="2720" w:type="dxa"/>
            <w:vAlign w:val="bottom"/>
          </w:tcPr>
          <w:p>
            <w:pPr>
              <w:spacing w:after="0"/>
              <w:rPr>
                <w:sz w:val="20"/>
                <w:szCs w:val="20"/>
                <w:color w:val="auto"/>
              </w:rPr>
            </w:pPr>
            <w:r>
              <w:rPr>
                <w:rFonts w:ascii="Arial" w:cs="Arial" w:eastAsia="Arial" w:hAnsi="Arial"/>
                <w:sz w:val="18"/>
                <w:szCs w:val="18"/>
                <w:color w:val="7DCCD1"/>
              </w:rPr>
              <w:t>FRED STROBEL</w:t>
            </w:r>
          </w:p>
        </w:tc>
        <w:tc>
          <w:tcPr>
            <w:tcW w:w="3680" w:type="dxa"/>
            <w:vAlign w:val="bottom"/>
          </w:tcPr>
          <w:p>
            <w:pPr>
              <w:ind w:left="940"/>
              <w:spacing w:after="0"/>
              <w:rPr>
                <w:sz w:val="20"/>
                <w:szCs w:val="20"/>
                <w:color w:val="auto"/>
              </w:rPr>
            </w:pPr>
            <w:r>
              <w:rPr>
                <w:rFonts w:ascii="Arial" w:cs="Arial" w:eastAsia="Arial" w:hAnsi="Arial"/>
                <w:sz w:val="18"/>
                <w:szCs w:val="18"/>
                <w:color w:val="7DCCD1"/>
              </w:rPr>
              <w:t>SCOTT ZUCKER</w:t>
            </w:r>
          </w:p>
        </w:tc>
        <w:tc>
          <w:tcPr>
            <w:tcW w:w="2720" w:type="dxa"/>
            <w:vAlign w:val="bottom"/>
          </w:tcPr>
          <w:p>
            <w:pPr>
              <w:spacing w:after="0"/>
              <w:rPr>
                <w:sz w:val="24"/>
                <w:szCs w:val="24"/>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FFFFFF"/>
              </w:rPr>
              <w:t>Managing Director,</w:t>
            </w:r>
          </w:p>
        </w:tc>
        <w:tc>
          <w:tcPr>
            <w:tcW w:w="3680" w:type="dxa"/>
            <w:vAlign w:val="bottom"/>
          </w:tcPr>
          <w:p>
            <w:pPr>
              <w:ind w:left="940"/>
              <w:spacing w:after="0"/>
              <w:rPr>
                <w:sz w:val="20"/>
                <w:szCs w:val="20"/>
                <w:color w:val="auto"/>
              </w:rPr>
            </w:pPr>
            <w:r>
              <w:rPr>
                <w:rFonts w:ascii="Arial" w:cs="Arial" w:eastAsia="Arial" w:hAnsi="Arial"/>
                <w:sz w:val="16"/>
                <w:szCs w:val="16"/>
                <w:color w:val="FFFFFF"/>
              </w:rPr>
              <w:t>Chief Risk Officer</w:t>
            </w:r>
          </w:p>
        </w:tc>
        <w:tc>
          <w:tcPr>
            <w:tcW w:w="2720" w:type="dxa"/>
            <w:vAlign w:val="bottom"/>
          </w:tcPr>
          <w:p>
            <w:pPr>
              <w:spacing w:after="0"/>
              <w:rPr>
                <w:sz w:val="20"/>
                <w:szCs w:val="20"/>
                <w:color w:val="auto"/>
              </w:rPr>
            </w:pP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Global Head of Human</w:t>
            </w: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0"/>
        </w:trPr>
        <w:tc>
          <w:tcPr>
            <w:tcW w:w="2720" w:type="dxa"/>
            <w:vAlign w:val="bottom"/>
          </w:tcPr>
          <w:p>
            <w:pPr>
              <w:spacing w:after="0"/>
              <w:rPr>
                <w:sz w:val="20"/>
                <w:szCs w:val="20"/>
                <w:color w:val="auto"/>
              </w:rPr>
            </w:pPr>
            <w:r>
              <w:rPr>
                <w:rFonts w:ascii="Arial" w:cs="Arial" w:eastAsia="Arial" w:hAnsi="Arial"/>
                <w:sz w:val="16"/>
                <w:szCs w:val="16"/>
                <w:color w:val="FFFFFF"/>
              </w:rPr>
              <w:t>Resources</w:t>
            </w: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20"/>
          <w:szCs w:val="20"/>
          <w:color w:val="FFFFFF"/>
        </w:rPr>
        <w:t>BOARD OF DIRECTORS</w:t>
      </w:r>
    </w:p>
    <w:p>
      <w:pPr>
        <w:spacing w:after="0" w:line="200" w:lineRule="exact"/>
        <w:rPr>
          <w:sz w:val="20"/>
          <w:szCs w:val="20"/>
          <w:color w:val="auto"/>
        </w:rPr>
      </w:pPr>
    </w:p>
    <w:p>
      <w:pPr>
        <w:spacing w:after="0" w:line="225"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color w:val="7DCCD1"/>
              </w:rPr>
              <w:t>JACQUES AIGRAIN</w:t>
            </w:r>
          </w:p>
        </w:tc>
        <w:tc>
          <w:tcPr>
            <w:tcW w:w="3720" w:type="dxa"/>
            <w:vAlign w:val="bottom"/>
          </w:tcPr>
          <w:p>
            <w:pPr>
              <w:ind w:left="1120"/>
              <w:spacing w:after="0"/>
              <w:rPr>
                <w:sz w:val="20"/>
                <w:szCs w:val="20"/>
                <w:color w:val="auto"/>
              </w:rPr>
            </w:pPr>
            <w:r>
              <w:rPr>
                <w:rFonts w:ascii="Arial" w:cs="Arial" w:eastAsia="Arial" w:hAnsi="Arial"/>
                <w:sz w:val="18"/>
                <w:szCs w:val="18"/>
                <w:color w:val="7DCCD1"/>
              </w:rPr>
              <w:t>BALBIR BAKHSHI</w:t>
            </w:r>
          </w:p>
        </w:tc>
        <w:tc>
          <w:tcPr>
            <w:tcW w:w="2460" w:type="dxa"/>
            <w:vAlign w:val="bottom"/>
          </w:tcPr>
          <w:p>
            <w:pPr>
              <w:ind w:left="1040"/>
              <w:spacing w:after="0"/>
              <w:rPr>
                <w:sz w:val="20"/>
                <w:szCs w:val="20"/>
                <w:color w:val="auto"/>
              </w:rPr>
            </w:pPr>
            <w:r>
              <w:rPr>
                <w:rFonts w:ascii="Arial" w:cs="Arial" w:eastAsia="Arial" w:hAnsi="Arial"/>
                <w:sz w:val="18"/>
                <w:szCs w:val="18"/>
                <w:color w:val="7DCCD1"/>
              </w:rPr>
              <w:t>STEVEN BERNS</w:t>
            </w:r>
          </w:p>
        </w:tc>
      </w:tr>
      <w:tr>
        <w:trPr>
          <w:trHeight w:val="226"/>
        </w:trPr>
        <w:tc>
          <w:tcPr>
            <w:tcW w:w="2540" w:type="dxa"/>
            <w:vAlign w:val="bottom"/>
          </w:tcPr>
          <w:p>
            <w:pPr>
              <w:spacing w:after="0"/>
              <w:rPr>
                <w:sz w:val="20"/>
                <w:szCs w:val="20"/>
                <w:color w:val="auto"/>
              </w:rPr>
            </w:pPr>
            <w:r>
              <w:rPr>
                <w:rFonts w:ascii="Arial" w:cs="Arial" w:eastAsia="Arial" w:hAnsi="Arial"/>
                <w:sz w:val="16"/>
                <w:szCs w:val="16"/>
                <w:color w:val="FFFFFF"/>
              </w:rPr>
              <w:t>Chairman of the Board</w:t>
            </w:r>
          </w:p>
        </w:tc>
        <w:tc>
          <w:tcPr>
            <w:tcW w:w="3720" w:type="dxa"/>
            <w:vAlign w:val="bottom"/>
          </w:tcPr>
          <w:p>
            <w:pPr>
              <w:ind w:left="1120"/>
              <w:spacing w:after="0"/>
              <w:rPr>
                <w:sz w:val="20"/>
                <w:szCs w:val="20"/>
                <w:color w:val="auto"/>
              </w:rPr>
            </w:pPr>
            <w:r>
              <w:rPr>
                <w:rFonts w:ascii="Arial" w:cs="Arial" w:eastAsia="Arial" w:hAnsi="Arial"/>
                <w:sz w:val="16"/>
                <w:szCs w:val="16"/>
                <w:color w:val="FFFFFF"/>
              </w:rPr>
              <w:t>Chief Risk Officer</w:t>
            </w:r>
          </w:p>
        </w:tc>
        <w:tc>
          <w:tcPr>
            <w:tcW w:w="2460" w:type="dxa"/>
            <w:vAlign w:val="bottom"/>
          </w:tcPr>
          <w:p>
            <w:pPr>
              <w:ind w:left="1040"/>
              <w:spacing w:after="0"/>
              <w:rPr>
                <w:sz w:val="20"/>
                <w:szCs w:val="20"/>
                <w:color w:val="auto"/>
              </w:rPr>
            </w:pPr>
            <w:r>
              <w:rPr>
                <w:rFonts w:ascii="Arial" w:cs="Arial" w:eastAsia="Arial" w:hAnsi="Arial"/>
                <w:sz w:val="16"/>
                <w:szCs w:val="16"/>
                <w:color w:val="FFFFFF"/>
              </w:rPr>
              <w:t>Chief Financial and</w:t>
            </w:r>
          </w:p>
        </w:tc>
      </w:tr>
      <w:tr>
        <w:trPr>
          <w:trHeight w:val="192"/>
        </w:trPr>
        <w:tc>
          <w:tcPr>
            <w:tcW w:w="2540" w:type="dxa"/>
            <w:vAlign w:val="bottom"/>
          </w:tcPr>
          <w:p>
            <w:pPr>
              <w:spacing w:after="0"/>
              <w:rPr>
                <w:sz w:val="20"/>
                <w:szCs w:val="20"/>
                <w:color w:val="auto"/>
              </w:rPr>
            </w:pPr>
            <w:r>
              <w:rPr>
                <w:rFonts w:ascii="Arial" w:cs="Arial" w:eastAsia="Arial" w:hAnsi="Arial"/>
                <w:sz w:val="16"/>
                <w:szCs w:val="16"/>
                <w:color w:val="FFFFFF"/>
              </w:rPr>
              <w:t>Tradeweb Markets</w:t>
            </w:r>
          </w:p>
        </w:tc>
        <w:tc>
          <w:tcPr>
            <w:tcW w:w="3720" w:type="dxa"/>
            <w:vAlign w:val="bottom"/>
          </w:tcPr>
          <w:p>
            <w:pPr>
              <w:ind w:left="1120"/>
              <w:spacing w:after="0"/>
              <w:rPr>
                <w:sz w:val="20"/>
                <w:szCs w:val="20"/>
                <w:color w:val="auto"/>
              </w:rPr>
            </w:pPr>
            <w:r>
              <w:rPr>
                <w:rFonts w:ascii="Arial" w:cs="Arial" w:eastAsia="Arial" w:hAnsi="Arial"/>
                <w:sz w:val="16"/>
                <w:szCs w:val="16"/>
                <w:color w:val="FFFFFF"/>
              </w:rPr>
              <w:t>London Stock Exchange</w:t>
            </w:r>
          </w:p>
        </w:tc>
        <w:tc>
          <w:tcPr>
            <w:tcW w:w="2460" w:type="dxa"/>
            <w:vAlign w:val="bottom"/>
          </w:tcPr>
          <w:p>
            <w:pPr>
              <w:ind w:left="1040"/>
              <w:spacing w:after="0"/>
              <w:rPr>
                <w:sz w:val="20"/>
                <w:szCs w:val="20"/>
                <w:color w:val="auto"/>
              </w:rPr>
            </w:pPr>
            <w:r>
              <w:rPr>
                <w:rFonts w:ascii="Arial" w:cs="Arial" w:eastAsia="Arial" w:hAnsi="Arial"/>
                <w:sz w:val="16"/>
                <w:szCs w:val="16"/>
                <w:color w:val="FFFFFF"/>
                <w:w w:val="92"/>
              </w:rPr>
              <w:t>Administrative Officer</w:t>
            </w:r>
          </w:p>
        </w:tc>
      </w:tr>
      <w:tr>
        <w:trPr>
          <w:trHeight w:val="192"/>
        </w:trPr>
        <w:tc>
          <w:tcPr>
            <w:tcW w:w="2540" w:type="dxa"/>
            <w:vAlign w:val="bottom"/>
          </w:tcPr>
          <w:p>
            <w:pPr>
              <w:spacing w:after="0"/>
              <w:rPr>
                <w:sz w:val="16"/>
                <w:szCs w:val="16"/>
                <w:color w:val="auto"/>
              </w:rPr>
            </w:pPr>
          </w:p>
        </w:tc>
        <w:tc>
          <w:tcPr>
            <w:tcW w:w="3720" w:type="dxa"/>
            <w:vAlign w:val="bottom"/>
          </w:tcPr>
          <w:p>
            <w:pPr>
              <w:ind w:left="1120"/>
              <w:spacing w:after="0"/>
              <w:rPr>
                <w:sz w:val="20"/>
                <w:szCs w:val="20"/>
                <w:color w:val="auto"/>
              </w:rPr>
            </w:pPr>
            <w:r>
              <w:rPr>
                <w:rFonts w:ascii="Arial" w:cs="Arial" w:eastAsia="Arial" w:hAnsi="Arial"/>
                <w:sz w:val="16"/>
                <w:szCs w:val="16"/>
                <w:color w:val="FFFFFF"/>
              </w:rPr>
              <w:t>Group plc</w:t>
            </w:r>
          </w:p>
        </w:tc>
        <w:tc>
          <w:tcPr>
            <w:tcW w:w="2460" w:type="dxa"/>
            <w:vAlign w:val="bottom"/>
          </w:tcPr>
          <w:p>
            <w:pPr>
              <w:ind w:left="1040"/>
              <w:spacing w:after="0"/>
              <w:rPr>
                <w:sz w:val="20"/>
                <w:szCs w:val="20"/>
                <w:color w:val="auto"/>
              </w:rPr>
            </w:pPr>
            <w:r>
              <w:rPr>
                <w:rFonts w:ascii="Arial" w:cs="Arial" w:eastAsia="Arial" w:hAnsi="Arial"/>
                <w:sz w:val="16"/>
                <w:szCs w:val="16"/>
                <w:color w:val="FFFFFF"/>
              </w:rPr>
              <w:t>FLYR</w:t>
            </w:r>
          </w:p>
        </w:tc>
      </w:tr>
    </w:tbl>
    <w:p>
      <w:pPr>
        <w:spacing w:after="0" w:line="200" w:lineRule="exact"/>
        <w:rPr>
          <w:sz w:val="20"/>
          <w:szCs w:val="20"/>
          <w:color w:val="auto"/>
        </w:rPr>
      </w:pPr>
    </w:p>
    <w:p>
      <w:pPr>
        <w:spacing w:after="0" w:line="357"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7DCCD1"/>
              </w:rPr>
              <w:t>SCOTT C. GANELES</w:t>
            </w:r>
          </w:p>
        </w:tc>
        <w:tc>
          <w:tcPr>
            <w:tcW w:w="3640" w:type="dxa"/>
            <w:vAlign w:val="bottom"/>
          </w:tcPr>
          <w:p>
            <w:pPr>
              <w:ind w:left="1080"/>
              <w:spacing w:after="0"/>
              <w:rPr>
                <w:sz w:val="20"/>
                <w:szCs w:val="20"/>
                <w:color w:val="auto"/>
              </w:rPr>
            </w:pPr>
            <w:r>
              <w:rPr>
                <w:rFonts w:ascii="Arial" w:cs="Arial" w:eastAsia="Arial" w:hAnsi="Arial"/>
                <w:sz w:val="18"/>
                <w:szCs w:val="18"/>
                <w:color w:val="7DCCD1"/>
              </w:rPr>
              <w:t>BILLY HULT</w:t>
            </w:r>
          </w:p>
        </w:tc>
        <w:tc>
          <w:tcPr>
            <w:tcW w:w="2800" w:type="dxa"/>
            <w:vAlign w:val="bottom"/>
          </w:tcPr>
          <w:p>
            <w:pPr>
              <w:ind w:left="1080"/>
              <w:spacing w:after="0"/>
              <w:rPr>
                <w:sz w:val="20"/>
                <w:szCs w:val="20"/>
                <w:color w:val="auto"/>
              </w:rPr>
            </w:pPr>
            <w:r>
              <w:rPr>
                <w:rFonts w:ascii="Arial" w:cs="Arial" w:eastAsia="Arial" w:hAnsi="Arial"/>
                <w:sz w:val="18"/>
                <w:szCs w:val="18"/>
                <w:color w:val="7DCCD1"/>
                <w:w w:val="86"/>
              </w:rPr>
              <w:t>CATHERINE JOHNSON</w:t>
            </w:r>
          </w:p>
        </w:tc>
      </w:tr>
      <w:tr>
        <w:trPr>
          <w:trHeight w:val="226"/>
        </w:trPr>
        <w:tc>
          <w:tcPr>
            <w:tcW w:w="2580" w:type="dxa"/>
            <w:vAlign w:val="bottom"/>
          </w:tcPr>
          <w:p>
            <w:pPr>
              <w:spacing w:after="0"/>
              <w:rPr>
                <w:sz w:val="20"/>
                <w:szCs w:val="20"/>
                <w:color w:val="auto"/>
              </w:rPr>
            </w:pPr>
            <w:r>
              <w:rPr>
                <w:rFonts w:ascii="Arial" w:cs="Arial" w:eastAsia="Arial" w:hAnsi="Arial"/>
                <w:sz w:val="16"/>
                <w:szCs w:val="16"/>
                <w:color w:val="FFFFFF"/>
              </w:rPr>
              <w:t>Chief Executive Officer</w:t>
            </w:r>
          </w:p>
        </w:tc>
        <w:tc>
          <w:tcPr>
            <w:tcW w:w="3640" w:type="dxa"/>
            <w:vAlign w:val="bottom"/>
          </w:tcPr>
          <w:p>
            <w:pPr>
              <w:ind w:left="1080"/>
              <w:spacing w:after="0"/>
              <w:rPr>
                <w:sz w:val="20"/>
                <w:szCs w:val="20"/>
                <w:color w:val="auto"/>
              </w:rPr>
            </w:pPr>
            <w:r>
              <w:rPr>
                <w:rFonts w:ascii="Arial" w:cs="Arial" w:eastAsia="Arial" w:hAnsi="Arial"/>
                <w:sz w:val="16"/>
                <w:szCs w:val="16"/>
                <w:color w:val="FFFFFF"/>
              </w:rPr>
              <w:t>Chief Executive Officer</w:t>
            </w:r>
          </w:p>
        </w:tc>
        <w:tc>
          <w:tcPr>
            <w:tcW w:w="2800" w:type="dxa"/>
            <w:vAlign w:val="bottom"/>
          </w:tcPr>
          <w:p>
            <w:pPr>
              <w:ind w:left="1080"/>
              <w:spacing w:after="0"/>
              <w:rPr>
                <w:sz w:val="20"/>
                <w:szCs w:val="20"/>
                <w:color w:val="auto"/>
              </w:rPr>
            </w:pPr>
            <w:r>
              <w:rPr>
                <w:rFonts w:ascii="Arial" w:cs="Arial" w:eastAsia="Arial" w:hAnsi="Arial"/>
                <w:sz w:val="16"/>
                <w:szCs w:val="16"/>
                <w:color w:val="FFFFFF"/>
              </w:rPr>
              <w:t>Group General Counsel</w:t>
            </w:r>
          </w:p>
        </w:tc>
      </w:tr>
      <w:tr>
        <w:trPr>
          <w:trHeight w:val="192"/>
        </w:trPr>
        <w:tc>
          <w:tcPr>
            <w:tcW w:w="2580" w:type="dxa"/>
            <w:vAlign w:val="bottom"/>
          </w:tcPr>
          <w:p>
            <w:pPr>
              <w:ind w:left="20"/>
              <w:spacing w:after="0"/>
              <w:rPr>
                <w:sz w:val="20"/>
                <w:szCs w:val="20"/>
                <w:color w:val="auto"/>
              </w:rPr>
            </w:pPr>
            <w:r>
              <w:rPr>
                <w:rFonts w:ascii="Arial" w:cs="Arial" w:eastAsia="Arial" w:hAnsi="Arial"/>
                <w:sz w:val="16"/>
                <w:szCs w:val="16"/>
                <w:color w:val="FFFFFF"/>
              </w:rPr>
              <w:t>iAltA</w:t>
            </w:r>
          </w:p>
        </w:tc>
        <w:tc>
          <w:tcPr>
            <w:tcW w:w="3640" w:type="dxa"/>
            <w:vAlign w:val="bottom"/>
          </w:tcPr>
          <w:p>
            <w:pPr>
              <w:ind w:left="1080"/>
              <w:spacing w:after="0"/>
              <w:rPr>
                <w:sz w:val="20"/>
                <w:szCs w:val="20"/>
                <w:color w:val="auto"/>
              </w:rPr>
            </w:pPr>
            <w:r>
              <w:rPr>
                <w:rFonts w:ascii="Arial" w:cs="Arial" w:eastAsia="Arial" w:hAnsi="Arial"/>
                <w:sz w:val="16"/>
                <w:szCs w:val="16"/>
                <w:color w:val="FFFFFF"/>
              </w:rPr>
              <w:t>Tradeweb Markets</w:t>
            </w:r>
          </w:p>
        </w:tc>
        <w:tc>
          <w:tcPr>
            <w:tcW w:w="2800" w:type="dxa"/>
            <w:vAlign w:val="bottom"/>
          </w:tcPr>
          <w:p>
            <w:pPr>
              <w:ind w:left="1080"/>
              <w:spacing w:after="0"/>
              <w:rPr>
                <w:sz w:val="20"/>
                <w:szCs w:val="20"/>
                <w:color w:val="auto"/>
              </w:rPr>
            </w:pPr>
            <w:r>
              <w:rPr>
                <w:rFonts w:ascii="Arial" w:cs="Arial" w:eastAsia="Arial" w:hAnsi="Arial"/>
                <w:sz w:val="16"/>
                <w:szCs w:val="16"/>
                <w:color w:val="FFFFFF"/>
                <w:w w:val="97"/>
              </w:rPr>
              <w:t>London Stock Exchange</w:t>
            </w:r>
          </w:p>
        </w:tc>
      </w:tr>
      <w:tr>
        <w:trPr>
          <w:trHeight w:val="192"/>
        </w:trPr>
        <w:tc>
          <w:tcPr>
            <w:tcW w:w="2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800" w:type="dxa"/>
            <w:vAlign w:val="bottom"/>
          </w:tcPr>
          <w:p>
            <w:pPr>
              <w:ind w:left="1080"/>
              <w:spacing w:after="0"/>
              <w:rPr>
                <w:sz w:val="20"/>
                <w:szCs w:val="20"/>
                <w:color w:val="auto"/>
              </w:rPr>
            </w:pPr>
            <w:r>
              <w:rPr>
                <w:rFonts w:ascii="Arial" w:cs="Arial" w:eastAsia="Arial" w:hAnsi="Arial"/>
                <w:sz w:val="16"/>
                <w:szCs w:val="16"/>
                <w:color w:val="FFFFFF"/>
              </w:rPr>
              <w:t>Group plc</w:t>
            </w:r>
          </w:p>
        </w:tc>
      </w:tr>
    </w:tbl>
    <w:p>
      <w:pPr>
        <w:spacing w:after="0" w:line="200" w:lineRule="exact"/>
        <w:rPr>
          <w:sz w:val="20"/>
          <w:szCs w:val="20"/>
          <w:color w:val="auto"/>
        </w:rPr>
      </w:pPr>
    </w:p>
    <w:p>
      <w:pPr>
        <w:spacing w:after="0" w:line="357"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color w:val="7DCCD1"/>
              </w:rPr>
              <w:t>PAULA B. MADOFF</w:t>
            </w:r>
          </w:p>
        </w:tc>
        <w:tc>
          <w:tcPr>
            <w:tcW w:w="3380" w:type="dxa"/>
            <w:vAlign w:val="bottom"/>
          </w:tcPr>
          <w:p>
            <w:pPr>
              <w:ind w:left="820"/>
              <w:spacing w:after="0"/>
              <w:rPr>
                <w:sz w:val="20"/>
                <w:szCs w:val="20"/>
                <w:color w:val="auto"/>
              </w:rPr>
            </w:pPr>
            <w:r>
              <w:rPr>
                <w:rFonts w:ascii="Arial" w:cs="Arial" w:eastAsia="Arial" w:hAnsi="Arial"/>
                <w:sz w:val="18"/>
                <w:szCs w:val="18"/>
                <w:color w:val="7DCCD1"/>
              </w:rPr>
              <w:t>DANIEL MAGUIRE</w:t>
            </w:r>
          </w:p>
        </w:tc>
        <w:tc>
          <w:tcPr>
            <w:tcW w:w="2600" w:type="dxa"/>
            <w:vAlign w:val="bottom"/>
          </w:tcPr>
          <w:p>
            <w:pPr>
              <w:ind w:left="1080"/>
              <w:spacing w:after="0"/>
              <w:rPr>
                <w:sz w:val="20"/>
                <w:szCs w:val="20"/>
                <w:color w:val="auto"/>
              </w:rPr>
            </w:pPr>
            <w:r>
              <w:rPr>
                <w:rFonts w:ascii="Arial" w:cs="Arial" w:eastAsia="Arial" w:hAnsi="Arial"/>
                <w:sz w:val="18"/>
                <w:szCs w:val="18"/>
                <w:color w:val="7DCCD1"/>
              </w:rPr>
              <w:t>LISA OPOKU</w:t>
            </w:r>
          </w:p>
        </w:tc>
      </w:tr>
      <w:tr>
        <w:trPr>
          <w:trHeight w:val="226"/>
        </w:trPr>
        <w:tc>
          <w:tcPr>
            <w:tcW w:w="2840" w:type="dxa"/>
            <w:vAlign w:val="bottom"/>
          </w:tcPr>
          <w:p>
            <w:pPr>
              <w:spacing w:after="0"/>
              <w:rPr>
                <w:sz w:val="20"/>
                <w:szCs w:val="20"/>
                <w:color w:val="auto"/>
              </w:rPr>
            </w:pPr>
            <w:r>
              <w:rPr>
                <w:rFonts w:ascii="Arial" w:cs="Arial" w:eastAsia="Arial" w:hAnsi="Arial"/>
                <w:sz w:val="16"/>
                <w:szCs w:val="16"/>
                <w:color w:val="FFFFFF"/>
              </w:rPr>
              <w:t>Advisor</w:t>
            </w:r>
          </w:p>
        </w:tc>
        <w:tc>
          <w:tcPr>
            <w:tcW w:w="3380" w:type="dxa"/>
            <w:vAlign w:val="bottom"/>
          </w:tcPr>
          <w:p>
            <w:pPr>
              <w:ind w:left="820"/>
              <w:spacing w:after="0"/>
              <w:rPr>
                <w:sz w:val="20"/>
                <w:szCs w:val="20"/>
                <w:color w:val="auto"/>
              </w:rPr>
            </w:pPr>
            <w:r>
              <w:rPr>
                <w:rFonts w:ascii="Arial" w:cs="Arial" w:eastAsia="Arial" w:hAnsi="Arial"/>
                <w:sz w:val="16"/>
                <w:szCs w:val="16"/>
                <w:color w:val="FFFFFF"/>
              </w:rPr>
              <w:t>Group Head</w:t>
            </w:r>
          </w:p>
        </w:tc>
        <w:tc>
          <w:tcPr>
            <w:tcW w:w="2600" w:type="dxa"/>
            <w:vAlign w:val="bottom"/>
          </w:tcPr>
          <w:p>
            <w:pPr>
              <w:ind w:left="1080"/>
              <w:spacing w:after="0"/>
              <w:rPr>
                <w:sz w:val="20"/>
                <w:szCs w:val="20"/>
                <w:color w:val="auto"/>
              </w:rPr>
            </w:pPr>
            <w:r>
              <w:rPr>
                <w:rFonts w:ascii="Arial" w:cs="Arial" w:eastAsia="Arial" w:hAnsi="Arial"/>
                <w:sz w:val="16"/>
                <w:szCs w:val="16"/>
                <w:color w:val="FFFFFF"/>
                <w:w w:val="91"/>
              </w:rPr>
              <w:t>Chief Operating Officer</w:t>
            </w:r>
          </w:p>
        </w:tc>
      </w:tr>
      <w:tr>
        <w:trPr>
          <w:trHeight w:val="192"/>
        </w:trPr>
        <w:tc>
          <w:tcPr>
            <w:tcW w:w="2840" w:type="dxa"/>
            <w:vAlign w:val="bottom"/>
          </w:tcPr>
          <w:p>
            <w:pPr>
              <w:spacing w:after="0"/>
              <w:rPr>
                <w:sz w:val="20"/>
                <w:szCs w:val="20"/>
                <w:color w:val="auto"/>
              </w:rPr>
            </w:pPr>
            <w:r>
              <w:rPr>
                <w:rFonts w:ascii="Arial" w:cs="Arial" w:eastAsia="Arial" w:hAnsi="Arial"/>
                <w:sz w:val="16"/>
                <w:szCs w:val="16"/>
                <w:color w:val="FFFFFF"/>
              </w:rPr>
              <w:t>The Goldman Sachs Group, Inc.</w:t>
            </w:r>
          </w:p>
        </w:tc>
        <w:tc>
          <w:tcPr>
            <w:tcW w:w="3380" w:type="dxa"/>
            <w:vAlign w:val="bottom"/>
          </w:tcPr>
          <w:p>
            <w:pPr>
              <w:ind w:left="820"/>
              <w:spacing w:after="0"/>
              <w:rPr>
                <w:sz w:val="20"/>
                <w:szCs w:val="20"/>
                <w:color w:val="auto"/>
              </w:rPr>
            </w:pPr>
            <w:r>
              <w:rPr>
                <w:rFonts w:ascii="Arial" w:cs="Arial" w:eastAsia="Arial" w:hAnsi="Arial"/>
                <w:sz w:val="16"/>
                <w:szCs w:val="16"/>
                <w:color w:val="FFFFFF"/>
              </w:rPr>
              <w:t>LSEG Markets &amp;</w:t>
            </w:r>
          </w:p>
        </w:tc>
        <w:tc>
          <w:tcPr>
            <w:tcW w:w="2600" w:type="dxa"/>
            <w:vAlign w:val="bottom"/>
          </w:tcPr>
          <w:p>
            <w:pPr>
              <w:ind w:left="1080"/>
              <w:spacing w:after="0"/>
              <w:rPr>
                <w:sz w:val="20"/>
                <w:szCs w:val="20"/>
                <w:color w:val="auto"/>
              </w:rPr>
            </w:pPr>
            <w:r>
              <w:rPr>
                <w:rFonts w:ascii="Arial" w:cs="Arial" w:eastAsia="Arial" w:hAnsi="Arial"/>
                <w:sz w:val="16"/>
                <w:szCs w:val="16"/>
                <w:color w:val="FFFFFF"/>
              </w:rPr>
              <w:t>FS Investments</w:t>
            </w:r>
          </w:p>
        </w:tc>
      </w:tr>
      <w:tr>
        <w:trPr>
          <w:trHeight w:val="192"/>
        </w:trPr>
        <w:tc>
          <w:tcPr>
            <w:tcW w:w="2840" w:type="dxa"/>
            <w:vAlign w:val="bottom"/>
          </w:tcPr>
          <w:p>
            <w:pPr>
              <w:spacing w:after="0"/>
              <w:rPr>
                <w:sz w:val="16"/>
                <w:szCs w:val="16"/>
                <w:color w:val="auto"/>
              </w:rPr>
            </w:pPr>
          </w:p>
        </w:tc>
        <w:tc>
          <w:tcPr>
            <w:tcW w:w="3380" w:type="dxa"/>
            <w:vAlign w:val="bottom"/>
          </w:tcPr>
          <w:p>
            <w:pPr>
              <w:ind w:left="820"/>
              <w:spacing w:after="0"/>
              <w:rPr>
                <w:sz w:val="20"/>
                <w:szCs w:val="20"/>
                <w:color w:val="auto"/>
              </w:rPr>
            </w:pPr>
            <w:r>
              <w:rPr>
                <w:rFonts w:ascii="Arial" w:cs="Arial" w:eastAsia="Arial" w:hAnsi="Arial"/>
                <w:sz w:val="16"/>
                <w:szCs w:val="16"/>
                <w:color w:val="FFFFFF"/>
              </w:rPr>
              <w:t>Chief Executive Officer</w:t>
            </w:r>
          </w:p>
        </w:tc>
        <w:tc>
          <w:tcPr>
            <w:tcW w:w="2600" w:type="dxa"/>
            <w:vAlign w:val="bottom"/>
          </w:tcPr>
          <w:p>
            <w:pPr>
              <w:spacing w:after="0"/>
              <w:rPr>
                <w:sz w:val="16"/>
                <w:szCs w:val="16"/>
                <w:color w:val="auto"/>
              </w:rPr>
            </w:pPr>
          </w:p>
        </w:tc>
      </w:tr>
      <w:tr>
        <w:trPr>
          <w:trHeight w:val="192"/>
        </w:trPr>
        <w:tc>
          <w:tcPr>
            <w:tcW w:w="2840" w:type="dxa"/>
            <w:vAlign w:val="bottom"/>
          </w:tcPr>
          <w:p>
            <w:pPr>
              <w:spacing w:after="0"/>
              <w:rPr>
                <w:sz w:val="16"/>
                <w:szCs w:val="16"/>
                <w:color w:val="auto"/>
              </w:rPr>
            </w:pPr>
          </w:p>
        </w:tc>
        <w:tc>
          <w:tcPr>
            <w:tcW w:w="3380" w:type="dxa"/>
            <w:vAlign w:val="bottom"/>
          </w:tcPr>
          <w:p>
            <w:pPr>
              <w:ind w:left="820"/>
              <w:spacing w:after="0"/>
              <w:rPr>
                <w:sz w:val="20"/>
                <w:szCs w:val="20"/>
                <w:color w:val="auto"/>
              </w:rPr>
            </w:pPr>
            <w:r>
              <w:rPr>
                <w:rFonts w:ascii="Arial" w:cs="Arial" w:eastAsia="Arial" w:hAnsi="Arial"/>
                <w:sz w:val="16"/>
                <w:szCs w:val="16"/>
                <w:color w:val="FFFFFF"/>
              </w:rPr>
              <w:t>LCH Group</w:t>
            </w:r>
          </w:p>
        </w:tc>
        <w:tc>
          <w:tcPr>
            <w:tcW w:w="2600" w:type="dxa"/>
            <w:vAlign w:val="bottom"/>
          </w:tcPr>
          <w:p>
            <w:pPr>
              <w:spacing w:after="0"/>
              <w:rPr>
                <w:sz w:val="16"/>
                <w:szCs w:val="16"/>
                <w:color w:val="auto"/>
              </w:rPr>
            </w:pPr>
          </w:p>
        </w:tc>
      </w:tr>
    </w:tbl>
    <w:p>
      <w:pPr>
        <w:spacing w:after="0" w:line="365"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7DCCD1"/>
        </w:rPr>
        <w:t>RICH REPETTO</w:t>
      </w:r>
      <w:r>
        <w:rPr>
          <w:sz w:val="20"/>
          <w:szCs w:val="20"/>
          <w:color w:val="auto"/>
        </w:rPr>
        <w:tab/>
      </w:r>
      <w:r>
        <w:rPr>
          <w:rFonts w:ascii="Arial" w:cs="Arial" w:eastAsia="Arial" w:hAnsi="Arial"/>
          <w:sz w:val="15"/>
          <w:szCs w:val="15"/>
          <w:color w:val="7DCCD1"/>
        </w:rPr>
        <w:t>RANA YARED</w:t>
      </w:r>
    </w:p>
    <w:p>
      <w:pPr>
        <w:spacing w:after="0" w:line="42"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6"/>
          <w:szCs w:val="16"/>
          <w:color w:val="FFFFFF"/>
        </w:rPr>
        <w:t>Former Research Analyst</w:t>
      </w:r>
      <w:r>
        <w:rPr>
          <w:sz w:val="20"/>
          <w:szCs w:val="20"/>
          <w:color w:val="auto"/>
        </w:rPr>
        <w:tab/>
      </w:r>
      <w:r>
        <w:rPr>
          <w:rFonts w:ascii="Arial" w:cs="Arial" w:eastAsia="Arial" w:hAnsi="Arial"/>
          <w:sz w:val="14"/>
          <w:szCs w:val="14"/>
          <w:color w:val="FFFFFF"/>
        </w:rPr>
        <w:t>General Partner</w:t>
      </w:r>
    </w:p>
    <w:p>
      <w:pPr>
        <w:spacing w:after="0" w:line="8"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6"/>
          <w:szCs w:val="16"/>
          <w:color w:val="FFFFFF"/>
        </w:rPr>
        <w:t>Piper Sandler Corporation</w:t>
      </w:r>
      <w:r>
        <w:rPr>
          <w:sz w:val="20"/>
          <w:szCs w:val="20"/>
          <w:color w:val="auto"/>
        </w:rPr>
        <w:tab/>
      </w:r>
      <w:r>
        <w:rPr>
          <w:rFonts w:ascii="Arial" w:cs="Arial" w:eastAsia="Arial" w:hAnsi="Arial"/>
          <w:sz w:val="14"/>
          <w:szCs w:val="14"/>
          <w:color w:val="FFFFFF"/>
        </w:rPr>
        <w:t>Balderton Capital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color w:val="FFFFFF"/>
        </w:rPr>
        <w:t>As of March 2025.</w:t>
      </w:r>
    </w:p>
    <w:p>
      <w:pPr>
        <w:sectPr>
          <w:pgSz w:w="12060" w:h="15660" w:orient="portrait"/>
          <w:cols w:equalWidth="0" w:num="1">
            <w:col w:w="10400"/>
          </w:cols>
          <w:pgMar w:left="700" w:top="1329" w:right="960" w:bottom="6"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6"/>
          <w:szCs w:val="16"/>
          <w:color w:val="FFFFFF"/>
        </w:rPr>
        <w:t>08</w:t>
      </w:r>
      <w:r>
        <w:rPr>
          <w:sz w:val="20"/>
          <w:szCs w:val="20"/>
          <w:color w:val="auto"/>
        </w:rPr>
        <w:tab/>
      </w:r>
      <w:r>
        <w:rPr>
          <w:rFonts w:ascii="Arial" w:cs="Arial" w:eastAsia="Arial" w:hAnsi="Arial"/>
          <w:sz w:val="13"/>
          <w:szCs w:val="13"/>
          <w:color w:val="FFFFFF"/>
        </w:rPr>
        <w:t>TRADEWEB MARKETS</w:t>
      </w:r>
    </w:p>
    <w:p>
      <w:pPr>
        <w:sectPr>
          <w:pgSz w:w="12060" w:h="15660" w:orient="portrait"/>
          <w:cols w:equalWidth="0" w:num="1">
            <w:col w:w="10400"/>
          </w:cols>
          <w:pgMar w:left="700" w:top="1329" w:right="960" w:bottom="6" w:gutter="0" w:footer="0" w:header="0"/>
          <w:type w:val="continuous"/>
        </w:sectPr>
      </w:pPr>
    </w:p>
    <w:bookmarkStart w:id="10" w:name="page11"/>
    <w:bookmarkEnd w:id="10"/>
    <w:p>
      <w:pPr>
        <w:ind w:left="46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517525</wp:posOffset>
            </wp:positionH>
            <wp:positionV relativeFrom="page">
              <wp:posOffset>462915</wp:posOffset>
            </wp:positionV>
            <wp:extent cx="66548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6654800" cy="50800"/>
                    </a:xfrm>
                    <a:prstGeom prst="rect">
                      <a:avLst/>
                    </a:prstGeom>
                    <a:noFill/>
                  </pic:spPr>
                </pic:pic>
              </a:graphicData>
            </a:graphic>
          </wp:anchor>
        </w:drawing>
        <w:t>UNITED STATES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89" w:lineRule="exact"/>
        <w:rPr>
          <w:sz w:val="20"/>
          <w:szCs w:val="20"/>
          <w:color w:val="auto"/>
        </w:rPr>
      </w:pPr>
    </w:p>
    <w:p>
      <w:pPr>
        <w:ind w:left="340" w:hanging="297"/>
        <w:spacing w:after="0"/>
        <w:tabs>
          <w:tab w:leader="none" w:pos="340" w:val="left"/>
        </w:tabs>
        <w:numPr>
          <w:ilvl w:val="0"/>
          <w:numId w:val="7"/>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45" w:lineRule="exact"/>
        <w:rPr>
          <w:sz w:val="20"/>
          <w:szCs w:val="20"/>
          <w:color w:val="auto"/>
        </w:rPr>
      </w:pPr>
    </w:p>
    <w:p>
      <w:pPr>
        <w:ind w:left="340" w:hanging="297"/>
        <w:spacing w:after="0"/>
        <w:tabs>
          <w:tab w:leader="none" w:pos="340" w:val="left"/>
        </w:tabs>
        <w:numPr>
          <w:ilvl w:val="0"/>
          <w:numId w:val="8"/>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001-38860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ind w:left="157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80" w:type="dxa"/>
            <w:vAlign w:val="bottom"/>
            <w:gridSpan w:val="3"/>
          </w:tcPr>
          <w:p>
            <w:pPr>
              <w:jc w:val="right"/>
              <w:ind w:right="2357"/>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300"/>
        </w:trPr>
        <w:tc>
          <w:tcPr>
            <w:tcW w:w="632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480" w:type="dxa"/>
            <w:vAlign w:val="bottom"/>
            <w:gridSpan w:val="3"/>
          </w:tcPr>
          <w:p>
            <w:pPr>
              <w:jc w:val="center"/>
              <w:ind w:right="1177"/>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7"/>
        </w:trPr>
        <w:tc>
          <w:tcPr>
            <w:tcW w:w="632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8"/>
        </w:trPr>
        <w:tc>
          <w:tcPr>
            <w:tcW w:w="3360" w:type="dxa"/>
            <w:vAlign w:val="bottom"/>
          </w:tcPr>
          <w:p>
            <w:pPr>
              <w:jc w:val="center"/>
              <w:ind w:left="1573"/>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80" w:type="dxa"/>
            <w:vAlign w:val="bottom"/>
            <w:gridSpan w:val="3"/>
          </w:tcPr>
          <w:p>
            <w:pPr>
              <w:jc w:val="right"/>
              <w:ind w:right="2557"/>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85"/>
        </w:trPr>
        <w:tc>
          <w:tcPr>
            <w:tcW w:w="632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jc w:val="center"/>
              <w:ind w:right="2217"/>
              <w:spacing w:after="0"/>
              <w:rPr>
                <w:sz w:val="20"/>
                <w:szCs w:val="20"/>
                <w:color w:val="auto"/>
              </w:rPr>
            </w:pPr>
            <w:r>
              <w:rPr>
                <w:rFonts w:ascii="Times New Roman" w:cs="Times New Roman" w:eastAsia="Times New Roman" w:hAnsi="Times New Roman"/>
                <w:sz w:val="18"/>
                <w:szCs w:val="18"/>
                <w:color w:val="auto"/>
              </w:rPr>
              <w:t>(Zip Code)</w:t>
            </w:r>
          </w:p>
        </w:tc>
      </w:tr>
      <w:tr>
        <w:trPr>
          <w:trHeight w:val="311"/>
        </w:trPr>
        <w:tc>
          <w:tcPr>
            <w:tcW w:w="3360" w:type="dxa"/>
            <w:vAlign w:val="bottom"/>
          </w:tcPr>
          <w:p>
            <w:pPr>
              <w:spacing w:after="0"/>
              <w:rPr>
                <w:sz w:val="24"/>
                <w:szCs w:val="24"/>
                <w:color w:val="auto"/>
              </w:rPr>
            </w:pPr>
          </w:p>
        </w:tc>
        <w:tc>
          <w:tcPr>
            <w:tcW w:w="2960" w:type="dxa"/>
            <w:vAlign w:val="bottom"/>
            <w:gridSpan w:val="3"/>
          </w:tcPr>
          <w:p>
            <w:pPr>
              <w:jc w:val="center"/>
              <w:ind w:left="1018"/>
              <w:spacing w:after="0"/>
              <w:rPr>
                <w:sz w:val="20"/>
                <w:szCs w:val="20"/>
                <w:color w:val="auto"/>
              </w:rPr>
            </w:pPr>
            <w:r>
              <w:rPr>
                <w:rFonts w:ascii="Times New Roman" w:cs="Times New Roman" w:eastAsia="Times New Roman" w:hAnsi="Times New Roman"/>
                <w:sz w:val="18"/>
                <w:szCs w:val="18"/>
                <w:b w:val="1"/>
                <w:bCs w:val="1"/>
                <w:color w:val="auto"/>
              </w:rPr>
              <w:t>(646) 430-6000</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9"/>
        </w:trPr>
        <w:tc>
          <w:tcPr>
            <w:tcW w:w="3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80" w:type="dxa"/>
            <w:vAlign w:val="bottom"/>
            <w:gridSpan w:val="5"/>
          </w:tcPr>
          <w:p>
            <w:pPr>
              <w:jc w:val="center"/>
              <w:ind w:right="335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13"/>
        </w:trPr>
        <w:tc>
          <w:tcPr>
            <w:tcW w:w="3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80" w:type="dxa"/>
            <w:vAlign w:val="bottom"/>
            <w:gridSpan w:val="5"/>
          </w:tcPr>
          <w:p>
            <w:pPr>
              <w:jc w:val="center"/>
              <w:ind w:right="3357"/>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r>
      <w:tr>
        <w:trPr>
          <w:trHeight w:val="286"/>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 par value $0.00001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jc w:val="center"/>
              <w:ind w:left="700"/>
              <w:spacing w:after="0"/>
              <w:rPr>
                <w:sz w:val="20"/>
                <w:szCs w:val="20"/>
                <w:color w:val="auto"/>
              </w:rPr>
            </w:pPr>
            <w:r>
              <w:rPr>
                <w:rFonts w:ascii="Times New Roman" w:cs="Times New Roman" w:eastAsia="Times New Roman" w:hAnsi="Times New Roman"/>
                <w:sz w:val="16"/>
                <w:szCs w:val="16"/>
                <w:color w:val="auto"/>
                <w:w w:val="96"/>
              </w:rPr>
              <w:t>TW</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89"/>
        </w:trPr>
        <w:tc>
          <w:tcPr>
            <w:tcW w:w="3360" w:type="dxa"/>
            <w:vAlign w:val="bottom"/>
          </w:tcPr>
          <w:p>
            <w:pPr>
              <w:spacing w:after="0"/>
              <w:rPr>
                <w:sz w:val="24"/>
                <w:szCs w:val="24"/>
                <w:color w:val="auto"/>
              </w:rPr>
            </w:pPr>
          </w:p>
        </w:tc>
        <w:tc>
          <w:tcPr>
            <w:tcW w:w="7440" w:type="dxa"/>
            <w:vAlign w:val="bottom"/>
            <w:gridSpan w:val="6"/>
          </w:tcPr>
          <w:p>
            <w:pPr>
              <w:jc w:val="center"/>
              <w:ind w:right="3297"/>
              <w:spacing w:after="0"/>
              <w:rPr>
                <w:sz w:val="20"/>
                <w:szCs w:val="20"/>
                <w:color w:val="auto"/>
              </w:rPr>
            </w:pPr>
            <w:r>
              <w:rPr>
                <w:rFonts w:ascii="Times New Roman" w:cs="Times New Roman" w:eastAsia="Times New Roman" w:hAnsi="Times New Roman"/>
                <w:sz w:val="15"/>
                <w:szCs w:val="15"/>
                <w:b w:val="1"/>
                <w:bCs w:val="1"/>
                <w:color w:val="auto"/>
                <w:w w:val="99"/>
              </w:rPr>
              <w:t xml:space="preserve">Securities registered pursuant to Section 12(g) of the Act: </w:t>
            </w:r>
            <w:r>
              <w:rPr>
                <w:rFonts w:ascii="Times New Roman" w:cs="Times New Roman" w:eastAsia="Times New Roman" w:hAnsi="Times New Roman"/>
                <w:sz w:val="15"/>
                <w:szCs w:val="15"/>
                <w:color w:val="auto"/>
                <w:w w:val="99"/>
              </w:rPr>
              <w:t>None</w:t>
            </w:r>
          </w:p>
        </w:tc>
      </w:tr>
    </w:tbl>
    <w:p>
      <w:pPr>
        <w:spacing w:after="0" w:line="7" w:lineRule="exact"/>
        <w:rPr>
          <w:sz w:val="20"/>
          <w:szCs w:val="20"/>
          <w:color w:val="auto"/>
        </w:rPr>
      </w:pPr>
    </w:p>
    <w:p>
      <w:pPr>
        <w:ind w:right="284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ind w:right="140"/>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060" w:h="15660" w:orient="portrait"/>
          <w:cols w:equalWidth="0" w:num="1">
            <w:col w:w="10800"/>
          </w:cols>
          <w:pgMar w:left="640" w:top="827" w:right="620" w:bottom="1440" w:gutter="0" w:footer="0" w:header="0"/>
        </w:sectPr>
      </w:pPr>
    </w:p>
    <w:p>
      <w:pPr>
        <w:spacing w:after="0" w:line="16" w:lineRule="exact"/>
        <w:rPr>
          <w:sz w:val="20"/>
          <w:szCs w:val="20"/>
          <w:color w:val="auto"/>
        </w:rPr>
      </w:pPr>
    </w:p>
    <w:p>
      <w:pPr>
        <w:ind w:left="40"/>
        <w:spacing w:after="0" w:line="173" w:lineRule="exact"/>
        <w:tabs>
          <w:tab w:leader="none" w:pos="2860" w:val="left"/>
          <w:tab w:leader="none" w:pos="3620" w:val="left"/>
          <w:tab w:leader="none" w:pos="6460" w:val="left"/>
          <w:tab w:leader="none" w:pos="720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Non-accelerated filer</w:t>
      </w:r>
    </w:p>
    <w:p>
      <w:pPr>
        <w:spacing w:after="0" w:line="68" w:lineRule="exact"/>
        <w:rPr>
          <w:sz w:val="20"/>
          <w:szCs w:val="20"/>
          <w:color w:val="auto"/>
        </w:rPr>
      </w:pPr>
    </w:p>
    <w:p>
      <w:pPr>
        <w:ind w:left="40"/>
        <w:spacing w:after="0" w:line="173" w:lineRule="exact"/>
        <w:tabs>
          <w:tab w:leader="none" w:pos="2860" w:val="left"/>
          <w:tab w:leader="none" w:pos="3620" w:val="left"/>
          <w:tab w:leader="none" w:pos="6460" w:val="left"/>
        </w:tabs>
        <w:rPr>
          <w:sz w:val="20"/>
          <w:szCs w:val="20"/>
          <w:color w:val="auto"/>
        </w:rPr>
      </w:pPr>
      <w:r>
        <w:rPr>
          <w:rFonts w:ascii="Times New Roman" w:cs="Times New Roman" w:eastAsia="Times New Roman" w:hAnsi="Times New Roman"/>
          <w:sz w:val="15"/>
          <w:szCs w:val="15"/>
          <w:color w:val="auto"/>
        </w:rPr>
        <w:t>Smaller reporting company</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0"/>
          <w:szCs w:val="10"/>
          <w:b w:val="1"/>
          <w:bCs w:val="1"/>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r>
        <w:rPr>
          <w:rFonts w:ascii="MS PGothic" w:cs="MS PGothic" w:eastAsia="MS PGothic" w:hAnsi="MS PGothic"/>
          <w:sz w:val="12"/>
          <w:szCs w:val="12"/>
          <w:b w:val="1"/>
          <w:bCs w:val="1"/>
          <w:color w:val="auto"/>
        </w:rPr>
        <w:t>☐</w:t>
      </w:r>
    </w:p>
    <w:p>
      <w:pPr>
        <w:spacing w:after="0" w:line="426" w:lineRule="exact"/>
        <w:rPr>
          <w:sz w:val="20"/>
          <w:szCs w:val="20"/>
          <w:color w:val="auto"/>
        </w:rPr>
      </w:pPr>
    </w:p>
    <w:p>
      <w:pPr>
        <w:sectPr>
          <w:pgSz w:w="12060" w:h="15660" w:orient="portrait"/>
          <w:cols w:equalWidth="0" w:num="2">
            <w:col w:w="9340" w:space="720"/>
            <w:col w:w="740"/>
          </w:cols>
          <w:pgMar w:left="640" w:top="827" w:right="620" w:bottom="1440" w:gutter="0" w:footer="0" w:header="0"/>
          <w:type w:val="continuous"/>
        </w:sectPr>
      </w:pPr>
    </w:p>
    <w:p>
      <w:pPr>
        <w:ind w:right="380"/>
        <w:spacing w:after="0" w:line="194"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ind w:right="50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5"/>
          <w:szCs w:val="15"/>
          <w:b w:val="1"/>
          <w:bCs w:val="1"/>
          <w:color w:val="auto"/>
        </w:rPr>
        <w:t>☒</w:t>
      </w:r>
    </w:p>
    <w:p>
      <w:pPr>
        <w:ind w:right="60"/>
        <w:spacing w:after="0" w:line="186"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5"/>
          <w:szCs w:val="15"/>
          <w:b w:val="1"/>
          <w:bCs w:val="1"/>
          <w:color w:val="auto"/>
        </w:rPr>
        <w:t>☐</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3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Class A common stock on the NASDAQ Global Select Market on June 28, 2024, was approximately $12.2 billion.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5"/>
                <w:szCs w:val="15"/>
                <w:color w:val="auto"/>
              </w:rPr>
              <w:t>Class of Stock</w:t>
            </w:r>
          </w:p>
        </w:tc>
        <w:tc>
          <w:tcPr>
            <w:tcW w:w="220" w:type="dxa"/>
            <w:vAlign w:val="bottom"/>
          </w:tcPr>
          <w:p>
            <w:pPr>
              <w:spacing w:after="0"/>
              <w:rPr>
                <w:sz w:val="17"/>
                <w:szCs w:val="17"/>
                <w:color w:val="auto"/>
              </w:rPr>
            </w:pPr>
          </w:p>
        </w:tc>
        <w:tc>
          <w:tcPr>
            <w:tcW w:w="5300" w:type="dxa"/>
            <w:vAlign w:val="bottom"/>
            <w:tcBorders>
              <w:bottom w:val="single" w:sz="8" w:color="auto"/>
            </w:tcBorders>
          </w:tcPr>
          <w:p>
            <w:pPr>
              <w:jc w:val="right"/>
              <w:ind w:right="1305"/>
              <w:spacing w:after="0"/>
              <w:rPr>
                <w:sz w:val="20"/>
                <w:szCs w:val="20"/>
                <w:color w:val="auto"/>
              </w:rPr>
            </w:pPr>
            <w:r>
              <w:rPr>
                <w:rFonts w:ascii="Times New Roman" w:cs="Times New Roman" w:eastAsia="Times New Roman" w:hAnsi="Times New Roman"/>
                <w:sz w:val="15"/>
                <w:szCs w:val="15"/>
                <w:color w:val="auto"/>
              </w:rPr>
              <w:t>Shares Outstanding as of January 31, 2025</w:t>
            </w:r>
          </w:p>
        </w:tc>
      </w:tr>
      <w:tr>
        <w:trPr>
          <w:trHeight w:val="194"/>
        </w:trPr>
        <w:tc>
          <w:tcPr>
            <w:tcW w:w="5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A Common Stock, par value $0.00001 per share</w:t>
            </w:r>
          </w:p>
        </w:tc>
        <w:tc>
          <w:tcPr>
            <w:tcW w:w="220" w:type="dxa"/>
            <w:vAlign w:val="bottom"/>
          </w:tcPr>
          <w:p>
            <w:pPr>
              <w:spacing w:after="0"/>
              <w:rPr>
                <w:sz w:val="16"/>
                <w:szCs w:val="16"/>
                <w:color w:val="auto"/>
              </w:rPr>
            </w:pPr>
          </w:p>
        </w:tc>
        <w:tc>
          <w:tcPr>
            <w:tcW w:w="53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116,163,963</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B Common Stock, par value $0.00001 per share</w:t>
            </w:r>
          </w:p>
        </w:tc>
        <w:tc>
          <w:tcPr>
            <w:tcW w:w="55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96,933,192</w:t>
            </w:r>
          </w:p>
        </w:tc>
      </w:tr>
      <w:tr>
        <w:trPr>
          <w:trHeight w:val="240"/>
        </w:trPr>
        <w:tc>
          <w:tcPr>
            <w:tcW w:w="5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C Common Stock, par value $0.00001 per share</w:t>
            </w:r>
          </w:p>
        </w:tc>
        <w:tc>
          <w:tcPr>
            <w:tcW w:w="55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18,000,000</w:t>
            </w:r>
          </w:p>
        </w:tc>
      </w:tr>
      <w:tr>
        <w:trPr>
          <w:trHeight w:val="240"/>
        </w:trPr>
        <w:tc>
          <w:tcPr>
            <w:tcW w:w="5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D Common Stock, par value $0.00001 per share</w:t>
            </w:r>
          </w:p>
        </w:tc>
        <w:tc>
          <w:tcPr>
            <w:tcW w:w="55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5,073,538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110490</wp:posOffset>
            </wp:positionV>
            <wp:extent cx="687387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extLst>
                    </a:blip>
                    <a:srcRect/>
                    <a:stretch>
                      <a:fillRect/>
                    </a:stretch>
                  </pic:blipFill>
                  <pic:spPr bwMode="auto">
                    <a:xfrm>
                      <a:off x="0" y="0"/>
                      <a:ext cx="6873875" cy="50800"/>
                    </a:xfrm>
                    <a:prstGeom prst="rect">
                      <a:avLst/>
                    </a:prstGeom>
                    <a:noFill/>
                  </pic:spPr>
                </pic:pic>
              </a:graphicData>
            </a:graphic>
          </wp:anchor>
        </w:drawing>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29845</wp:posOffset>
                </wp:positionV>
                <wp:extent cx="682942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35pt" to="538.35pt,2.35pt" o:allowincell="f" strokecolor="#000000" strokeweight="2pt"/>
            </w:pict>
          </mc:Fallback>
        </mc:AlternateConten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Part III of this Annual Report on Form 10-K incorporates by reference portions of the Registrant’s Proxy Statement for its 2025 Annual Meeting of Stockholders.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81280</wp:posOffset>
                </wp:positionV>
                <wp:extent cx="68389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4pt" to="538.75pt,6.4pt" o:allowincell="f" strokecolor="#000000" strokeweight="2pt"/>
            </w:pict>
          </mc:Fallback>
        </mc:AlternateContent>
      </w:r>
    </w:p>
    <w:p>
      <w:pPr>
        <w:sectPr>
          <w:pgSz w:w="12060" w:h="15660" w:orient="portrait"/>
          <w:cols w:equalWidth="0" w:num="1">
            <w:col w:w="10800"/>
          </w:cols>
          <w:pgMar w:left="640" w:top="827" w:right="620" w:bottom="1440" w:gutter="0" w:footer="0" w:header="0"/>
          <w:type w:val="continuous"/>
        </w:sectPr>
      </w:pPr>
    </w:p>
    <w:bookmarkStart w:id="11" w:name="page12"/>
    <w:bookmarkEnd w:id="11"/>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10"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FORM 10-K ANNUAL REPORT</w:t>
      </w:r>
    </w:p>
    <w:p>
      <w:pPr>
        <w:spacing w:after="0" w:line="210"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INTRODUCTORY 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USE OF NON-GAAP FINANCIAL MEASURES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CAUTIONARY NOTE REGARDING FORWARD-LOOKING STATEMENTS</w:t>
      </w:r>
    </w:p>
    <w:p>
      <w:pPr>
        <w:spacing w:after="0" w:line="39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w:t>
      </w:r>
      <w:r>
        <w:rPr>
          <w:sz w:val="20"/>
          <w:szCs w:val="20"/>
          <w:color w:val="auto"/>
        </w:rPr>
        <w:tab/>
      </w:r>
      <w:r>
        <w:rPr>
          <w:rFonts w:ascii="Times New Roman" w:cs="Times New Roman" w:eastAsia="Times New Roman" w:hAnsi="Times New Roman"/>
          <w:sz w:val="20"/>
          <w:szCs w:val="20"/>
          <w:u w:val="single" w:color="auto"/>
          <w:color w:val="3F3F3F"/>
        </w:rPr>
        <w:t>Business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1A.</w:t>
      </w:r>
      <w:r>
        <w:rPr>
          <w:sz w:val="20"/>
          <w:szCs w:val="20"/>
          <w:color w:val="auto"/>
        </w:rPr>
        <w:tab/>
      </w:r>
      <w:r>
        <w:rPr>
          <w:rFonts w:ascii="Times New Roman" w:cs="Times New Roman" w:eastAsia="Times New Roman" w:hAnsi="Times New Roman"/>
          <w:sz w:val="19"/>
          <w:szCs w:val="19"/>
          <w:u w:val="single" w:color="auto"/>
          <w:color w:val="3F3F3F"/>
        </w:rPr>
        <w:t>Risk Factors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1B.</w:t>
        <w:tab/>
        <w:t>Unresolved Staff Comments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282828"/>
        </w:rPr>
        <w:t>Item 1C</w:t>
      </w:r>
      <w:r>
        <w:rPr>
          <w:rFonts w:ascii="Times New Roman" w:cs="Times New Roman" w:eastAsia="Times New Roman" w:hAnsi="Times New Roman"/>
          <w:sz w:val="20"/>
          <w:szCs w:val="20"/>
          <w:color w:val="3F3F3F"/>
        </w:rPr>
        <w:t>.</w:t>
      </w:r>
      <w:r>
        <w:rPr>
          <w:sz w:val="20"/>
          <w:szCs w:val="20"/>
          <w:color w:val="auto"/>
        </w:rPr>
        <w:tab/>
      </w:r>
      <w:r>
        <w:rPr>
          <w:rFonts w:ascii="Times New Roman" w:cs="Times New Roman" w:eastAsia="Times New Roman" w:hAnsi="Times New Roman"/>
          <w:sz w:val="19"/>
          <w:szCs w:val="19"/>
          <w:u w:val="single" w:color="auto"/>
          <w:color w:val="3F3F3F"/>
        </w:rPr>
        <w:t>Cybersecurity</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2.</w:t>
      </w:r>
      <w:r>
        <w:rPr>
          <w:sz w:val="20"/>
          <w:szCs w:val="20"/>
          <w:color w:val="auto"/>
        </w:rPr>
        <w:tab/>
      </w:r>
      <w:r>
        <w:rPr>
          <w:rFonts w:ascii="Times New Roman" w:cs="Times New Roman" w:eastAsia="Times New Roman" w:hAnsi="Times New Roman"/>
          <w:sz w:val="20"/>
          <w:szCs w:val="20"/>
          <w:u w:val="single" w:color="auto"/>
          <w:color w:val="3F3F3F"/>
        </w:rPr>
        <w:t>Properties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3.</w:t>
      </w:r>
      <w:r>
        <w:rPr>
          <w:sz w:val="20"/>
          <w:szCs w:val="20"/>
          <w:color w:val="auto"/>
        </w:rPr>
        <w:tab/>
      </w:r>
      <w:r>
        <w:rPr>
          <w:rFonts w:ascii="Times New Roman" w:cs="Times New Roman" w:eastAsia="Times New Roman" w:hAnsi="Times New Roman"/>
          <w:sz w:val="19"/>
          <w:szCs w:val="19"/>
          <w:u w:val="single" w:color="auto"/>
          <w:color w:val="3F3F3F"/>
        </w:rPr>
        <w:t>Legal Proceedings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4.</w:t>
      </w:r>
      <w:r>
        <w:rPr>
          <w:sz w:val="20"/>
          <w:szCs w:val="20"/>
          <w:color w:val="auto"/>
        </w:rPr>
        <w:tab/>
      </w:r>
      <w:r>
        <w:rPr>
          <w:rFonts w:ascii="Times New Roman" w:cs="Times New Roman" w:eastAsia="Times New Roman" w:hAnsi="Times New Roman"/>
          <w:sz w:val="19"/>
          <w:szCs w:val="19"/>
          <w:u w:val="single" w:color="auto"/>
          <w:color w:val="3F3F3F"/>
        </w:rPr>
        <w:t>Mine Safety Disclosures</w:t>
      </w:r>
    </w:p>
    <w:p>
      <w:pPr>
        <w:spacing w:after="0" w:line="37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II</w:t>
      </w:r>
    </w:p>
    <w:p>
      <w:pPr>
        <w:spacing w:after="0" w:line="70" w:lineRule="exact"/>
        <w:rPr>
          <w:sz w:val="20"/>
          <w:szCs w:val="20"/>
          <w:color w:val="auto"/>
        </w:rPr>
      </w:pPr>
    </w:p>
    <w:p>
      <w:pPr>
        <w:ind w:left="960" w:right="200" w:hanging="959"/>
        <w:spacing w:after="0" w:line="281" w:lineRule="auto"/>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5.</w:t>
      </w:r>
      <w:r>
        <w:rPr>
          <w:sz w:val="20"/>
          <w:szCs w:val="20"/>
          <w:color w:val="auto"/>
        </w:rPr>
        <w:tab/>
      </w:r>
      <w:r>
        <w:rPr>
          <w:rFonts w:ascii="Times New Roman" w:cs="Times New Roman" w:eastAsia="Times New Roman" w:hAnsi="Times New Roman"/>
          <w:sz w:val="20"/>
          <w:szCs w:val="20"/>
          <w:u w:val="single" w:color="auto"/>
          <w:color w:val="3F3F3F"/>
        </w:rPr>
        <w:t>Market for Registrant’s Common Equity, Related Stockholder Matters and Issuer Purchases of Equity Securities</w:t>
      </w:r>
    </w:p>
    <w:p>
      <w:pPr>
        <w:spacing w:after="0" w:line="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6.</w:t>
      </w:r>
      <w:r>
        <w:rPr>
          <w:sz w:val="20"/>
          <w:szCs w:val="20"/>
          <w:color w:val="auto"/>
        </w:rPr>
        <w:tab/>
      </w:r>
      <w:r>
        <w:rPr>
          <w:rFonts w:ascii="Times New Roman" w:cs="Times New Roman" w:eastAsia="Times New Roman" w:hAnsi="Times New Roman"/>
          <w:sz w:val="19"/>
          <w:szCs w:val="19"/>
          <w:u w:val="single" w:color="auto"/>
          <w:color w:val="3F3F3F"/>
        </w:rPr>
        <w:t>Reserved</w:t>
      </w:r>
    </w:p>
    <w:p>
      <w:pPr>
        <w:spacing w:after="0" w:line="70" w:lineRule="exact"/>
        <w:rPr>
          <w:sz w:val="20"/>
          <w:szCs w:val="20"/>
          <w:color w:val="auto"/>
        </w:rPr>
      </w:pPr>
    </w:p>
    <w:p>
      <w:pPr>
        <w:ind w:right="600"/>
        <w:spacing w:after="0" w:line="313" w:lineRule="auto"/>
        <w:rPr>
          <w:sz w:val="20"/>
          <w:szCs w:val="20"/>
          <w:color w:val="auto"/>
        </w:rPr>
      </w:pPr>
      <w:r>
        <w:rPr>
          <w:rFonts w:ascii="Times New Roman" w:cs="Times New Roman" w:eastAsia="Times New Roman" w:hAnsi="Times New Roman"/>
          <w:sz w:val="20"/>
          <w:szCs w:val="20"/>
          <w:u w:val="single" w:color="auto"/>
          <w:color w:val="3F3F3F"/>
        </w:rPr>
        <w:t>Item 7. Management’s Discussion and Analysis of Financial Condition and Results of Operations Item 7A. Quantitative and Qualitative Disclosures About Market Risk Item 8. Financial Statements and Supplementary Data</w:t>
      </w: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w:t>
      </w:r>
      <w:r>
        <w:rPr>
          <w:sz w:val="20"/>
          <w:szCs w:val="20"/>
          <w:color w:val="auto"/>
        </w:rPr>
        <w:tab/>
      </w:r>
      <w:r>
        <w:rPr>
          <w:rFonts w:ascii="Times New Roman" w:cs="Times New Roman" w:eastAsia="Times New Roman" w:hAnsi="Times New Roman"/>
          <w:sz w:val="20"/>
          <w:szCs w:val="20"/>
          <w:u w:val="single" w:color="auto"/>
          <w:color w:val="3F3F3F"/>
        </w:rPr>
        <w:t>Changes in and Disagreements with Accountants on Accounting and Financial Disclosure</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9A.</w:t>
      </w:r>
      <w:r>
        <w:rPr>
          <w:sz w:val="20"/>
          <w:szCs w:val="20"/>
          <w:color w:val="auto"/>
        </w:rPr>
        <w:tab/>
      </w:r>
      <w:r>
        <w:rPr>
          <w:rFonts w:ascii="Times New Roman" w:cs="Times New Roman" w:eastAsia="Times New Roman" w:hAnsi="Times New Roman"/>
          <w:sz w:val="19"/>
          <w:szCs w:val="19"/>
          <w:u w:val="single" w:color="auto"/>
          <w:color w:val="3F3F3F"/>
        </w:rPr>
        <w:t>Controls and Procedures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9B.</w:t>
      </w:r>
      <w:r>
        <w:rPr>
          <w:sz w:val="20"/>
          <w:szCs w:val="20"/>
          <w:color w:val="auto"/>
        </w:rPr>
        <w:tab/>
      </w:r>
      <w:r>
        <w:rPr>
          <w:rFonts w:ascii="Times New Roman" w:cs="Times New Roman" w:eastAsia="Times New Roman" w:hAnsi="Times New Roman"/>
          <w:sz w:val="19"/>
          <w:szCs w:val="19"/>
          <w:u w:val="single" w:color="auto"/>
          <w:color w:val="3F3F3F"/>
        </w:rPr>
        <w:t>Other Information</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9C.</w:t>
      </w:r>
      <w:r>
        <w:rPr>
          <w:sz w:val="20"/>
          <w:szCs w:val="20"/>
          <w:color w:val="auto"/>
        </w:rPr>
        <w:tab/>
      </w:r>
      <w:r>
        <w:rPr>
          <w:rFonts w:ascii="Times New Roman" w:cs="Times New Roman" w:eastAsia="Times New Roman" w:hAnsi="Times New Roman"/>
          <w:sz w:val="19"/>
          <w:szCs w:val="19"/>
          <w:u w:val="single" w:color="auto"/>
          <w:color w:val="3F3F3F"/>
        </w:rPr>
        <w:t>Disclosure Regarding Foreign Jurisdictions that Prevent Inspections</w:t>
      </w:r>
    </w:p>
    <w:p>
      <w:pPr>
        <w:spacing w:after="0" w:line="37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III</w:t>
      </w:r>
    </w:p>
    <w:p>
      <w:pPr>
        <w:spacing w:after="0" w:line="70" w:lineRule="exact"/>
        <w:rPr>
          <w:sz w:val="20"/>
          <w:szCs w:val="20"/>
          <w:color w:val="auto"/>
        </w:rPr>
      </w:pPr>
    </w:p>
    <w:p>
      <w:pPr>
        <w:ind w:right="3220"/>
        <w:spacing w:after="0" w:line="313" w:lineRule="auto"/>
        <w:rPr>
          <w:sz w:val="20"/>
          <w:szCs w:val="20"/>
          <w:color w:val="auto"/>
        </w:rPr>
      </w:pPr>
      <w:r>
        <w:rPr>
          <w:rFonts w:ascii="Times New Roman" w:cs="Times New Roman" w:eastAsia="Times New Roman" w:hAnsi="Times New Roman"/>
          <w:sz w:val="20"/>
          <w:szCs w:val="20"/>
          <w:u w:val="single" w:color="auto"/>
          <w:color w:val="3F3F3F"/>
        </w:rPr>
        <w:t>Item 10. Directors, Executive Officers and Corporate Governance Item 11. Executive Compensation</w:t>
      </w:r>
    </w:p>
    <w:p>
      <w:pPr>
        <w:ind w:left="960" w:right="220" w:hanging="959"/>
        <w:spacing w:after="0" w:line="281" w:lineRule="auto"/>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12.</w:t>
        <w:tab/>
        <w:t>Securities Ownership of Certain Beneficial Owners and Management and Related Stockholder Matters</w:t>
      </w:r>
    </w:p>
    <w:p>
      <w:pPr>
        <w:spacing w:after="0" w:line="1" w:lineRule="exact"/>
        <w:rPr>
          <w:sz w:val="20"/>
          <w:szCs w:val="20"/>
          <w:color w:val="auto"/>
        </w:rPr>
      </w:pPr>
    </w:p>
    <w:p>
      <w:pPr>
        <w:ind w:right="1720"/>
        <w:spacing w:after="0" w:line="344" w:lineRule="auto"/>
        <w:rPr>
          <w:sz w:val="20"/>
          <w:szCs w:val="20"/>
          <w:color w:val="auto"/>
        </w:rPr>
      </w:pPr>
      <w:r>
        <w:rPr>
          <w:rFonts w:ascii="Times New Roman" w:cs="Times New Roman" w:eastAsia="Times New Roman" w:hAnsi="Times New Roman"/>
          <w:sz w:val="20"/>
          <w:szCs w:val="20"/>
          <w:u w:val="single" w:color="auto"/>
          <w:color w:val="3F3F3F"/>
        </w:rPr>
        <w:t>Item 13. Certain Relationships and Related Transactions, and Director Independence Item 14. Principal Accountant Fees and Services</w:t>
      </w: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u w:val="single" w:color="auto"/>
          <w:color w:val="3F3F3F"/>
        </w:rPr>
        <w:t>PART IV</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15.</w:t>
      </w:r>
      <w:r>
        <w:rPr>
          <w:sz w:val="20"/>
          <w:szCs w:val="20"/>
          <w:color w:val="auto"/>
        </w:rPr>
        <w:tab/>
      </w:r>
      <w:r>
        <w:rPr>
          <w:rFonts w:ascii="Times New Roman" w:cs="Times New Roman" w:eastAsia="Times New Roman" w:hAnsi="Times New Roman"/>
          <w:sz w:val="19"/>
          <w:szCs w:val="19"/>
          <w:u w:val="single" w:color="auto"/>
          <w:color w:val="3F3F3F"/>
        </w:rPr>
        <w:t>Exhibits and Financial Statement Schedules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16.</w:t>
      </w:r>
      <w:r>
        <w:rPr>
          <w:sz w:val="20"/>
          <w:szCs w:val="20"/>
          <w:color w:val="auto"/>
        </w:rPr>
        <w:tab/>
      </w:r>
      <w:r>
        <w:rPr>
          <w:rFonts w:ascii="Times New Roman" w:cs="Times New Roman" w:eastAsia="Times New Roman" w:hAnsi="Times New Roman"/>
          <w:sz w:val="19"/>
          <w:szCs w:val="19"/>
          <w:u w:val="single" w:color="auto"/>
          <w:color w:val="3F3F3F"/>
        </w:rPr>
        <w:t>Form 10-K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-137160</wp:posOffset>
                </wp:positionV>
                <wp:extent cx="6953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10.7999pt" to="37.5pt,-10.7999pt" o:allowincell="f" strokecolor="#000000" strokeweight="1pt"/>
            </w:pict>
          </mc:Fallback>
        </mc:AlternateConten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5</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32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64</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64</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71</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98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102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154</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154</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154</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156</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159</w:t>
      </w:r>
    </w:p>
    <w:p>
      <w:pPr>
        <w:spacing w:after="0" w:line="200" w:lineRule="exact"/>
        <w:rPr>
          <w:sz w:val="20"/>
          <w:szCs w:val="20"/>
          <w:color w:val="auto"/>
        </w:rPr>
      </w:pPr>
    </w:p>
    <w:p>
      <w:pPr>
        <w:sectPr>
          <w:pgSz w:w="12060" w:h="15660" w:orient="portrait"/>
          <w:cols w:equalWidth="0" w:num="2">
            <w:col w:w="8740" w:space="720"/>
            <w:col w:w="700"/>
          </w:cols>
          <w:pgMar w:left="860" w:top="74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ectPr>
          <w:pgSz w:w="12060" w:h="15660" w:orient="portrait"/>
          <w:cols w:equalWidth="0" w:num="1">
            <w:col w:w="10160"/>
          </w:cols>
          <w:pgMar w:left="860" w:top="741" w:right="104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INTRODUCTORY NOTE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this Annual Report on Form 10-K, unless the context otherwise requires, references to:</w:t>
      </w:r>
    </w:p>
    <w:p>
      <w:pPr>
        <w:spacing w:after="0" w:line="210" w:lineRule="exact"/>
        <w:rPr>
          <w:sz w:val="20"/>
          <w:szCs w:val="20"/>
          <w:color w:val="auto"/>
        </w:rPr>
      </w:pPr>
    </w:p>
    <w:p>
      <w:pPr>
        <w:ind w:left="720" w:right="40" w:hanging="370"/>
        <w:spacing w:after="0" w:line="25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63"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68" w:lineRule="exact"/>
        <w:rPr>
          <w:rFonts w:ascii="Times New Roman" w:cs="Times New Roman" w:eastAsia="Times New Roman" w:hAnsi="Times New Roman"/>
          <w:sz w:val="20"/>
          <w:szCs w:val="20"/>
          <w:color w:val="auto"/>
        </w:rPr>
      </w:pPr>
    </w:p>
    <w:p>
      <w:pPr>
        <w:ind w:left="720" w:hanging="370"/>
        <w:spacing w:after="0" w:line="253"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75" w:lineRule="exact"/>
        <w:rPr>
          <w:rFonts w:ascii="Times New Roman" w:cs="Times New Roman" w:eastAsia="Times New Roman" w:hAnsi="Times New Roman"/>
          <w:sz w:val="20"/>
          <w:szCs w:val="20"/>
          <w:color w:val="auto"/>
        </w:rPr>
      </w:pPr>
    </w:p>
    <w:p>
      <w:pPr>
        <w:ind w:left="720" w:right="6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63" w:lineRule="exact"/>
        <w:rPr>
          <w:rFonts w:ascii="Times New Roman" w:cs="Times New Roman" w:eastAsia="Times New Roman" w:hAnsi="Times New Roman"/>
          <w:sz w:val="20"/>
          <w:szCs w:val="20"/>
          <w:color w:val="auto"/>
        </w:rPr>
      </w:pPr>
    </w:p>
    <w:p>
      <w:pPr>
        <w:jc w:val="both"/>
        <w:ind w:left="720" w:right="20" w:hanging="370"/>
        <w:spacing w:after="0" w:line="271" w:lineRule="auto"/>
        <w:tabs>
          <w:tab w:leader="none" w:pos="7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w:t>
      </w:r>
    </w:p>
    <w:p>
      <w:pPr>
        <w:ind w:left="72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66" w:lineRule="exact"/>
        <w:rPr>
          <w:rFonts w:ascii="Times New Roman" w:cs="Times New Roman" w:eastAsia="Times New Roman" w:hAnsi="Times New Roman"/>
          <w:sz w:val="19"/>
          <w:szCs w:val="19"/>
          <w:color w:val="auto"/>
        </w:rPr>
      </w:pPr>
    </w:p>
    <w:p>
      <w:pPr>
        <w:ind w:left="720" w:right="640" w:hanging="37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060" w:h="15660" w:orient="portrait"/>
          <w:cols w:equalWidth="0" w:num="1">
            <w:col w:w="10420"/>
          </w:cols>
          <w:pgMar w:left="820" w:top="741" w:right="820" w:bottom="0" w:gutter="0" w:footer="0" w:header="0"/>
          <w:type w:val="continuous"/>
        </w:sectPr>
      </w:pPr>
    </w:p>
    <w:bookmarkStart w:id="13" w:name="page14"/>
    <w:bookmarkEnd w:id="13"/>
    <w:p>
      <w:pPr>
        <w:ind w:left="720" w:right="6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refer to London Stock Exchange Group plc, and unless otherwise stated or the context otherwise requires, all of its direct and indirect subsidiaries, including Refinitiv.</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LLC Owners” refer to the owners of TWM LLC prior to the Reorganization Transactions.</w:t>
      </w:r>
    </w:p>
    <w:p>
      <w:pPr>
        <w:spacing w:after="0" w:line="210"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68" w:lineRule="exact"/>
        <w:rPr>
          <w:rFonts w:ascii="Times New Roman" w:cs="Times New Roman" w:eastAsia="Times New Roman" w:hAnsi="Times New Roman"/>
          <w:sz w:val="20"/>
          <w:szCs w:val="20"/>
          <w:color w:val="auto"/>
        </w:rPr>
      </w:pPr>
    </w:p>
    <w:p>
      <w:pPr>
        <w:ind w:left="720" w:right="180" w:hanging="370"/>
        <w:spacing w:after="0" w:line="26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5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“Thomson Reuters” or “TR” refer to Thomson Reuters Corporation, which prior to the LSEG Transaction indirectly held a 45% ownership interest in Refinitiv.</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the International Swaps and Derivatives Association (“ISDA”), Clarus Financial Technology, TRAX, the Federal Reserve Bank of New York, Flow Traders, Coalition Greenwich,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060" w:h="15660" w:orient="portrait"/>
          <w:cols w:equalWidth="0" w:num="1">
            <w:col w:w="10420"/>
          </w:cols>
          <w:pgMar w:left="820" w:top="748" w:right="8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Certain Trademarks, Trade Names and Service Marks</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2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55" w:lineRule="exact"/>
        <w:rPr>
          <w:sz w:val="20"/>
          <w:szCs w:val="20"/>
          <w:color w:val="auto"/>
        </w:rPr>
      </w:pPr>
    </w:p>
    <w:p>
      <w:pPr>
        <w:ind w:left="720" w:right="28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presentation with equal or greater prominence of the most comparable financial measure or measures calculated and presented in accordance with GAAP; and</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disclosing the purposes for which the registrant’s management uses the non-GAAP financial measure.</w:t>
      </w:r>
    </w:p>
    <w:p>
      <w:pPr>
        <w:spacing w:after="0" w:line="2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73"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20"/>
          <w:szCs w:val="20"/>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ectPr>
          <w:pgSz w:w="12060" w:h="15660" w:orient="portrait"/>
          <w:cols w:equalWidth="0" w:num="1">
            <w:col w:w="10420"/>
          </w:cols>
          <w:pgMar w:left="820" w:top="741" w:right="820" w:bottom="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060" w:h="15660" w:orient="portrait"/>
          <w:cols w:equalWidth="0" w:num="1">
            <w:col w:w="10420"/>
          </w:cols>
          <w:pgMar w:left="820" w:top="741" w:right="820" w:bottom="0" w:gutter="0" w:footer="0" w:header="0"/>
          <w:type w:val="continuous"/>
        </w:sectPr>
      </w:pPr>
    </w:p>
    <w:bookmarkStart w:id="15" w:name="page16"/>
    <w:bookmarkEnd w:id="15"/>
    <w:p>
      <w:pPr>
        <w:ind w:right="40"/>
        <w:spacing w:after="0" w:line="260"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63" w:lineRule="exact"/>
        <w:rPr>
          <w:sz w:val="20"/>
          <w:szCs w:val="20"/>
          <w:color w:val="auto"/>
        </w:rPr>
      </w:pPr>
    </w:p>
    <w:p>
      <w:pPr>
        <w:ind w:left="720" w:right="4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Adjusted EBITDA, Adjusted EBIT, Adjusted Net Income and Adjusted Diluted EPS do not reflect every expenditure, future requirements for capital expenditures or contractual commitments;</w:t>
      </w:r>
    </w:p>
    <w:p>
      <w:pPr>
        <w:spacing w:after="0" w:line="141"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changes in our working capital needs;</w:t>
      </w:r>
    </w:p>
    <w:p>
      <w:pPr>
        <w:spacing w:after="0" w:line="14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any interest income or expense, or the amounts necessary to service interest or principal payments on any debt obligations;</w:t>
      </w:r>
    </w:p>
    <w:p>
      <w:pPr>
        <w:spacing w:after="0" w:line="141" w:lineRule="exact"/>
        <w:rPr>
          <w:rFonts w:ascii="Times New Roman" w:cs="Times New Roman" w:eastAsia="Times New Roman" w:hAnsi="Times New Roman"/>
          <w:sz w:val="20"/>
          <w:szCs w:val="20"/>
          <w:color w:val="auto"/>
        </w:rPr>
      </w:pPr>
    </w:p>
    <w:p>
      <w:pPr>
        <w:ind w:left="720" w:right="10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income tax expense, which is a necessary element of our costs and ability to operate;</w:t>
      </w:r>
    </w:p>
    <w:p>
      <w:pPr>
        <w:spacing w:after="0" w:line="141" w:lineRule="exact"/>
        <w:rPr>
          <w:rFonts w:ascii="Times New Roman" w:cs="Times New Roman" w:eastAsia="Times New Roman" w:hAnsi="Times New Roman"/>
          <w:sz w:val="20"/>
          <w:szCs w:val="20"/>
          <w:color w:val="auto"/>
        </w:rPr>
      </w:pPr>
    </w:p>
    <w:p>
      <w:pPr>
        <w:jc w:val="both"/>
        <w:ind w:left="720" w:right="60" w:hanging="370"/>
        <w:spacing w:after="0" w:line="26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63" w:lineRule="exact"/>
        <w:rPr>
          <w:rFonts w:ascii="Times New Roman" w:cs="Times New Roman" w:eastAsia="Times New Roman" w:hAnsi="Times New Roman"/>
          <w:sz w:val="20"/>
          <w:szCs w:val="20"/>
          <w:color w:val="auto"/>
        </w:rPr>
      </w:pPr>
    </w:p>
    <w:p>
      <w:pPr>
        <w:ind w:left="720" w:right="80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the noncash component of certain employee stock-based compensation expense and associated payroll taxes;</w:t>
      </w:r>
    </w:p>
    <w:p>
      <w:pPr>
        <w:spacing w:after="0" w:line="141" w:lineRule="exact"/>
        <w:rPr>
          <w:rFonts w:ascii="Times New Roman" w:cs="Times New Roman" w:eastAsia="Times New Roman" w:hAnsi="Times New Roman"/>
          <w:sz w:val="20"/>
          <w:szCs w:val="20"/>
          <w:color w:val="auto"/>
        </w:rPr>
      </w:pPr>
    </w:p>
    <w:p>
      <w:pPr>
        <w:jc w:val="both"/>
        <w:ind w:left="720" w:right="68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constant currency measures do not reflect the impact of foreign currency fluctuations; and</w:t>
      </w:r>
    </w:p>
    <w:p>
      <w:pPr>
        <w:spacing w:after="0" w:line="210" w:lineRule="exact"/>
        <w:rPr>
          <w:rFonts w:ascii="Times New Roman" w:cs="Times New Roman" w:eastAsia="Times New Roman" w:hAnsi="Times New Roman"/>
          <w:sz w:val="20"/>
          <w:szCs w:val="20"/>
          <w:color w:val="auto"/>
        </w:rPr>
      </w:pPr>
    </w:p>
    <w:p>
      <w:pPr>
        <w:ind w:left="720" w:right="14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55"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We compensate for these limitations by relying primarily on our GAAP results and using Free Cash Flow, Adjusted EBITDA, Adjusted EBIT, Adjusted Net Income, Adjusted Diluted EPS and constant currency measures only as supplemental information.</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060" w:h="15660" w:orient="portrait"/>
          <w:cols w:equalWidth="0" w:num="1">
            <w:col w:w="10400"/>
          </w:cols>
          <w:pgMar w:left="820" w:top="748" w:right="840" w:bottom="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including under Part I, Item 1. – “Business,” Part I, Item 1A. – “Risk Factors” and Part II, Item 7. – “Management’s Discussion and Analysis of Financial Condition and Results of Operations” are forward-looking statements.</w:t>
      </w:r>
    </w:p>
    <w:p>
      <w:pPr>
        <w:spacing w:after="0" w:line="17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7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Some of the factors that could cause actual results to differ materially from those expressed or implied by the forward-looking statements include:</w:t>
      </w:r>
    </w:p>
    <w:p>
      <w:pPr>
        <w:spacing w:after="0" w:line="141"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political, social and market conditions and the impact of these changes on trading volumes;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compete successfully;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adapt our business effectively to keep pace with industry and technological changes;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and concentration in the financial services industry;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dealer clients;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defects, errors, failures or delays with our platforms or solutions;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 for certain market data and certain key functions;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strategies profitably;</w:t>
      </w:r>
    </w:p>
    <w:p>
      <w:pPr>
        <w:spacing w:after="0" w:line="210"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any acquisition or to realize benefits from any strategic alliances, partnerships, joint ventures or investments;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maintain and grow the capacity of our trading platforms, systems and infrastructure;</w:t>
      </w:r>
    </w:p>
    <w:p>
      <w:pPr>
        <w:spacing w:after="0" w:line="210" w:lineRule="exact"/>
        <w:rPr>
          <w:rFonts w:ascii="Times New Roman" w:cs="Times New Roman" w:eastAsia="Times New Roman" w:hAnsi="Times New Roman"/>
          <w:sz w:val="20"/>
          <w:szCs w:val="20"/>
          <w:color w:val="auto"/>
        </w:rPr>
      </w:pPr>
    </w:p>
    <w:p>
      <w:pPr>
        <w:ind w:left="720" w:right="80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systems failures, interruptions, delays in services, cybersecurity incidents, catastrophic events and any resulting interruptions;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protection of our intellectual property;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services of our senior management team;</w:t>
      </w:r>
    </w:p>
    <w:p>
      <w:pPr>
        <w:spacing w:after="0" w:line="210" w:lineRule="exact"/>
        <w:rPr>
          <w:rFonts w:ascii="Times New Roman" w:cs="Times New Roman" w:eastAsia="Times New Roman" w:hAnsi="Times New Roman"/>
          <w:sz w:val="20"/>
          <w:szCs w:val="20"/>
          <w:color w:val="auto"/>
        </w:rPr>
      </w:pPr>
    </w:p>
    <w:p>
      <w:pPr>
        <w:jc w:val="both"/>
        <w:ind w:left="720" w:right="100" w:hanging="370"/>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060" w:h="15660" w:orient="portrait"/>
          <w:cols w:equalWidth="0" w:num="1">
            <w:col w:w="10420"/>
          </w:cols>
          <w:pgMar w:left="820" w:top="741" w:right="820" w:bottom="0" w:gutter="0" w:footer="0" w:header="0"/>
          <w:type w:val="continuous"/>
        </w:sectPr>
      </w:pPr>
    </w:p>
    <w:bookmarkStart w:id="17" w:name="page18"/>
    <w:bookmarkEnd w:id="17"/>
    <w:p>
      <w:pPr>
        <w:jc w:val="both"/>
        <w:ind w:left="720" w:right="42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any benefit from our organizational structure;</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Refinitiv’s, and indirectly LSEG’s, control of us and our status as a controlled company; and</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including those listed under Part I, Item 1A. – “Risk Factors.”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Given these risks and uncertainties, you are cautioned not to place undue reliance on such forward-looking statements. The forward-looking statements contained in this Annual Report on Form 10-K are not guarantees of future events or performance and future events, our actual results of operations, financial condition or liquidity, and the development of the industry and markets in which we operate, may differ materially from the forward-looking statements contained in this Annual Report on Form 10-K. In addition, even if future events, our results of operations, financial condition or liquidity, and events in the industry and markets in which we operate, are consistent with the forward-looking statements contained in this Annual Report on Form 10-K, they may not be predictive of events, results or developments in future periods.</w:t>
      </w:r>
    </w:p>
    <w:p>
      <w:pPr>
        <w:spacing w:after="0" w:line="1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060" w:h="15660" w:orient="portrait"/>
          <w:cols w:equalWidth="0" w:num="1">
            <w:col w:w="10420"/>
          </w:cols>
          <w:pgMar w:left="820" w:top="748" w:right="820" w:bottom="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clients across the financial ecosystem. Our network is comprised of more than 3,000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 As our network continues to grow across client sectors and geographies, we expect to generate additional transactions and data on our platforms, driving a virtuous cycle of greater liquidity and value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142875</wp:posOffset>
            </wp:positionV>
            <wp:extent cx="3429000" cy="2236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extLst>
                    </a:blip>
                    <a:srcRect/>
                    <a:stretch>
                      <a:fillRect/>
                    </a:stretch>
                  </pic:blipFill>
                  <pic:spPr bwMode="auto">
                    <a:xfrm>
                      <a:off x="0" y="0"/>
                      <a:ext cx="3429000" cy="223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order, risk and treasury management systems, accounting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17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As a company focused on technology serving the financial markets, we embrace a strategy of evolution and balance, not revolution. Our expansion into emerging markets continued in 2024 with the addition of clients across Latin America and the Middle East. We have also continued our efforts to strategically invest in technology that we expect to help advance our business,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060" w:h="15660" w:orient="portrait"/>
          <w:cols w:equalWidth="0" w:num="1">
            <w:col w:w="10420"/>
          </w:cols>
          <w:pgMar w:left="820" w:top="741" w:right="820" w:bottom="0" w:gutter="0" w:footer="0" w:header="0"/>
          <w:type w:val="continuous"/>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20"/>
          <w:szCs w:val="20"/>
          <w:color w:val="auto"/>
        </w:rPr>
        <w:t>such as entering into minority investments, commercial agreements and strategic partnerships with companies involved in blockchain infrastructure and digital assets. This strategy for these strategic investments allows us to leverage and benefit from the technical expertise of our partners, without having to make significant investments in research and development in-house. By expanding the scope of our platforms and solutions, building scale and integration across marketplaces and benefiting from broader network effects, we have continued to grow both our transaction volume and subscription-based revenues year-over-year. With a track record of growth and strong financial performance, we are excited about opportunities to continue to engage with our clients and to expand our multi-asset class footprint in the future. We remain focused on balancing revenue growth and margin expansion to create long-term value for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Evolution</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were founded in 1996 and set out to solve for inefficiencies in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Asia and most recently in Australia, Africa, South America and the Middle East.</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identified an opportunity to complement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June 2021, we acquired Nasdaq’s U.S. fixed income electronic trading platform. The addition of this fully-electronic CLOB (central limit order book) offers a flexible, efficient approach to trading in the wholesale U.S. Treasury market. In August 2023, we acquired Tradeweb Australia Pty Ltd (formerly Yieldbroker Pty Limited) (“Yieldbroker”), a leading Australian trading platform for Australian and New Zealand government bonds and interest rate derivatives covering the institutional and wholesale client sectors. This acquisition combined Australia and New Zealand’s highly attractive, fast-growing markets with Tradeweb’s international reach and scale.</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More broadly, market participants are increasingly taking a whole market view of the trading landscape and are seeking ways to deploy cross-asset strategies more efficiently and frequently than ever. To that end, in January 2024, we acquired R8FIN Holdings LP (together with its subsidiaries, “r8fin”), an algorithmic technology provider that, among other things, facilitates multi-legged trades between the U.S. Treasury cash and interest rates futures markets. These types of workflow innovations help to make it easier for market participants to seamlessly express a view across multiple markets, effectively closing the gaps between asset classes, and this acquisition helps move us closer to a one-stop shop approach for trading across asset classes.</w:t>
      </w:r>
    </w:p>
    <w:p>
      <w:pPr>
        <w:spacing w:after="0" w:line="168"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9"/>
          <w:szCs w:val="19"/>
          <w:color w:val="auto"/>
        </w:rPr>
        <w:t>In August 2024, we expanded into the corporates client sector through our acquisition of Institutional Cash Distributors (“ICD”), an institutional investment technology provider for corporate treasury organizations trading short-term investments.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4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Request-for-Market (“RFM”) trading protocol across our global swaps market and the blast all-to-all (“A2A”) and portfolio trading protocols across our global credit marketplaces. We have also integrated our trading platforms with our proprietary post-trade systems as well as many of our clients’ order, risk and treasury management and accounting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services, asset classes and geographies, while growing our powerful network of clients.</w:t>
      </w:r>
    </w:p>
    <w:p>
      <w:pPr>
        <w:spacing w:after="0" w:line="176" w:lineRule="exact"/>
        <w:rPr>
          <w:sz w:val="20"/>
          <w:szCs w:val="20"/>
          <w:color w:val="auto"/>
        </w:rPr>
      </w:pPr>
    </w:p>
    <w:p>
      <w:pPr>
        <w:ind w:right="560"/>
        <w:spacing w:after="0" w:line="309" w:lineRule="auto"/>
        <w:rPr>
          <w:sz w:val="20"/>
          <w:szCs w:val="20"/>
          <w:color w:val="auto"/>
        </w:rPr>
      </w:pPr>
      <w:r>
        <w:rPr>
          <w:rFonts w:ascii="Times New Roman" w:cs="Times New Roman" w:eastAsia="Times New Roman" w:hAnsi="Times New Roman"/>
          <w:sz w:val="19"/>
          <w:szCs w:val="19"/>
          <w:color w:val="auto"/>
        </w:rPr>
        <w:t>While our cornerstone products continue to be some of the first products we launched, including U.S. Treasuries, European government bonds and To-Be-Announced mortgage-backed securities (“TBA MBS”), we have continued to solve trading</w:t>
      </w:r>
    </w:p>
    <w:p>
      <w:pPr>
        <w:sectPr>
          <w:pgSz w:w="12060" w:h="15660" w:orient="portrait"/>
          <w:cols w:equalWidth="0" w:num="1">
            <w:col w:w="10420"/>
          </w:cols>
          <w:pgMar w:left="820" w:top="748" w:right="820"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060" w:h="15660" w:orient="portrait"/>
          <w:cols w:equalWidth="0" w:num="1">
            <w:col w:w="10420"/>
          </w:cols>
          <w:pgMar w:left="820" w:top="748" w:right="820" w:bottom="0" w:gutter="0" w:footer="0" w:header="0"/>
          <w:type w:val="continuous"/>
        </w:sectPr>
      </w:pPr>
    </w:p>
    <w:bookmarkStart w:id="20" w:name="page21"/>
    <w:bookmarkEnd w:id="20"/>
    <w:p>
      <w:pPr>
        <w:ind w:right="80"/>
        <w:spacing w:after="0" w:line="260" w:lineRule="auto"/>
        <w:rPr>
          <w:sz w:val="20"/>
          <w:szCs w:val="20"/>
          <w:color w:val="auto"/>
        </w:rPr>
      </w:pPr>
      <w:r>
        <w:rPr>
          <w:rFonts w:ascii="Times New Roman" w:cs="Times New Roman" w:eastAsia="Times New Roman" w:hAnsi="Times New Roman"/>
          <w:sz w:val="20"/>
          <w:szCs w:val="20"/>
          <w:color w:val="auto"/>
        </w:rPr>
        <w:t>inefficiencies by adding new products across our rates, credit, equities and money markets asset classes. As a result of expanding our offerings, we have increased our opportunities in related addressable markets, where estimated average daily trading volumes for the types of asset classes traded on our platforms, excluding our ICD Portal, have grown from approximately $4.2 trillion in 2016 to $8.9 trillion through December 31, 2024, according to industry sources and management estimates.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During 2024, we commemorated the 10-year anniversary of the launch of our U.S. credit platform, with revenues from our overall credit asset class totaling $459.0 million for the year ended December 31, 2024. Looking ahead, U.S. credit remains one of our biggest areas of focus and we believe we are well positioned across our client channels, with a long runway for growth and ample opportunity to innovate alongside our clients. Our strategy is focused on, among other things, expanding our network, increasing our market share, increasing electronification of our markets, enhancing our pre- and post-trade analytics and continuously improving our protocols and client experience.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Network of Clients, Products, Geographies and Protocols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clients continue to use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Our average daily volume traded on our trading venues has increased 209% to $2.2 trillion for the year ended December 31, 2024 compared to $0.7 trillion for the year ended December 31, 2019, our first year as a public company. We expect our existing clients to continue to trade more volume on our trading venues and to attract new users to our already powerful network, as liquidity on our marketplaces continues to grow and we offer more products and value-added solutions. The breadth of our network, diversity of our products and clients,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ETP-traded Yen-denominated interest rate swaps, European exchange traded funds (“ETFs”) and U.S. institutional money market funds. We cover all major client sectors participating in electronic trading, including the institutional, wholesale and retail client sectors, as well as our recently added corporates client sector. In addition, we provide a full spectrum of trading protocols including voice, sweeps (session-based trading), RFQ, RFM, CLOB, A2A and portfolio trading, among others, and many of our protocols utilize Automated Intelligent Execution (“AiEX”). See “—Our Solutions” below for additional information.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believe the breadth of our offerings, experience and client relationships provides us with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South America, Europe, Australia, Asia and the Middle East and a global trading network that is distributed throughout the world.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 of Collaborative Innovation</w:t>
      </w:r>
    </w:p>
    <w:p>
      <w:pPr>
        <w:spacing w:after="0" w:line="2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have developed trusted client relationships through a culture of collaborative innovation where we work alongside our clients to identify and help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6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Recently, due to higher money market volatility as a result of revised expectations regarding central bank policy actions, we identified that institutional traders on our platform were increasingly referencing overnight index swap (“OIS”) curves to evaluate fixed-rate repurchase agreement pricing. In response to these client needs, during 2024, we were the first electronic trading platform to make OIS curves available during the repurchase agreement trade negotiation process, helping institutional clients assess the price competitiveness of different repurchase agreement rates across various currencies and maturities. During 2021, we also introduced Tradeweb’s Rematch, an industry-exclusive solution, offering institutional investors trading within AllTrade previously unavailable access to hundreds of millions of dollars in unmatched risk from dealers’ sessions, opening the door for our clients to a significantly larger pool of liquidity. Beginning in 2019,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w:t>
      </w:r>
    </w:p>
    <w:p>
      <w:pPr>
        <w:sectPr>
          <w:pgSz w:w="12060" w:h="15660" w:orient="portrait"/>
          <w:cols w:equalWidth="0" w:num="1">
            <w:col w:w="10420"/>
          </w:cols>
          <w:pgMar w:left="820" w:top="748" w:right="820" w:bottom="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060" w:h="15660" w:orient="portrait"/>
          <w:cols w:equalWidth="0" w:num="1">
            <w:col w:w="10420"/>
          </w:cols>
          <w:pgMar w:left="820" w:top="748" w:right="820" w:bottom="0" w:gutter="0" w:footer="0" w:header="0"/>
          <w:type w:val="continuous"/>
        </w:sectPr>
      </w:pPr>
    </w:p>
    <w:bookmarkStart w:id="21" w:name="page22"/>
    <w:bookmarkEnd w:id="21"/>
    <w:p>
      <w:pPr>
        <w:ind w:right="160"/>
        <w:spacing w:after="0" w:line="260" w:lineRule="auto"/>
        <w:rPr>
          <w:sz w:val="20"/>
          <w:szCs w:val="20"/>
          <w:color w:val="auto"/>
        </w:rPr>
      </w:pPr>
      <w:r>
        <w:rPr>
          <w:rFonts w:ascii="Times New Roman" w:cs="Times New Roman" w:eastAsia="Times New Roman" w:hAnsi="Times New Roman"/>
          <w:sz w:val="20"/>
          <w:szCs w:val="20"/>
          <w:color w:val="auto"/>
        </w:rPr>
        <w:t>in connection with a corporate bond trade. This net spotting functionality allows our credit clients to spot multiple bonds at the same time using our multi-dealer net spotting tool to net their interest rate risk simultaneously using one spot price. Through collaborative endeavors like these, we have become deeply integrated into our clients’ workflow and become a partner of choice for new innovations.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Scalable and Flexible Technology</w:t>
      </w:r>
    </w:p>
    <w:p>
      <w:pPr>
        <w:spacing w:after="0" w:line="2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Our January 2024 acquisition of the r8fin technology helped us offer a new and differentiated level of intelligent execution for trading U.S. Treasuries and related futures through a combination of algorithmic technology and cross-market connectivity. Our plans to pair this sophisticated technology with our global network is expected to open up a range of new possibilities for clients engaged in relative value or macro trades spanning multiple asset classes. Going forward, we expect our technology platform, and ongoing investments in technology and new product offerings, to help us stay at the forefront of the evolution of electronic trading.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Global Regulatory Footprint and Domain Expertise</w:t>
      </w:r>
    </w:p>
    <w:p>
      <w:pPr>
        <w:spacing w:after="0" w:line="2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Platforms and Solutions Empowered by Data and Analytics</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2024, the percentage of trades executed by our institutional clients using our AiEX functionality was over 40% of total institutional trades, up from 23% in 2019, and we are seeing demand for AiEX continue to grow across some of our key products, including U.S. Treasuries, European government bonds, global swaps, U.S. corporate bonds and global ETFs.</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on average over 150,000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With markets becoming more electronic, clients increasingly turn to our composite data for its transparency and to help improve execution, further increasing the value proposition of our data. For example, in 2023, we signed an amended and restated two-year market data license agreement with an affiliate of LSEG (formerly referred to as Refinitiv), pursuant to which LSEG distributes certain of our data directly to LSEG customers through its flagship financial platforms, LSEG Workspace, Datascope, LSEG Pricing Service and Tick History. The amended agreement provides us with increased revenue and flexibility in growing our market data offering. We will seek to further monetize our data over time both through potential expansion of our existing market data license agreement with LSEG and through distributing additional datasets, derived data and analytics offerings through our own network or through other third-party networks. For example, in 2023, we also announced a strategic partnership with FTSE Russell which seeks to develop the next generation of fixed income pricing and index trading products. Fixed income closing prices are administered as benchmarks by FTSE Russell and are derived from trading activity on our platform. The partnership aims to extend pricing coverage to most constituents featured in the FTSE Fixed Income Index universes and explore incorporating new Tradeweb pricing sets into FTSE</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060" w:h="15660" w:orient="portrait"/>
          <w:cols w:equalWidth="0" w:num="1">
            <w:col w:w="10420"/>
          </w:cols>
          <w:pgMar w:left="820" w:top="748" w:right="820" w:bottom="0" w:gutter="0" w:footer="0" w:header="0"/>
          <w:type w:val="continuous"/>
        </w:sectPr>
      </w:pPr>
    </w:p>
    <w:bookmarkStart w:id="22" w:name="page23"/>
    <w:bookmarkEnd w:id="22"/>
    <w:p>
      <w:pPr>
        <w:ind w:right="540"/>
        <w:spacing w:after="0" w:line="266" w:lineRule="auto"/>
        <w:rPr>
          <w:sz w:val="20"/>
          <w:szCs w:val="20"/>
          <w:color w:val="auto"/>
        </w:rPr>
      </w:pPr>
      <w:r>
        <w:rPr>
          <w:rFonts w:ascii="Times New Roman" w:cs="Times New Roman" w:eastAsia="Times New Roman" w:hAnsi="Times New Roman"/>
          <w:sz w:val="20"/>
          <w:szCs w:val="20"/>
          <w:color w:val="auto"/>
        </w:rPr>
        <w:t>Fixed Income Indices. In June 2024, we announced the launch of Tradeweb FTSE U.S. Treasury closing prices, utilizing an enhanced methodology, which also facilitates the calculation of bid and offer prices. Most recently, this methodology was extended to UK Gilts and European government bonds and is currently available for clients.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are also continuously developing new offerings and solutions to meet the changing needs of our clients. In addition to providing benchmark closing prices, we plan to expand and enhance electronic trading functionality for FTSE Russell Fixed Income indices and customized baskets through tools and protocols such as RFQ, AiEX and portfolio trading, offering trade-at-market close, trade-at-month-end and other features conducive to index rebalancing trades. For clients seeking to efficiently take a position on FTSE Russell indices and baskets, providing enhanced trading functionality can help efficiently manage what are often their largest and most critical trades.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Experienced Management Team</w:t>
      </w:r>
    </w:p>
    <w:p>
      <w:pPr>
        <w:spacing w:after="0" w:line="2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Mr. Billy Hult, who has been at the Company for over 20 years and took over as our Chief Executive Officer effective January 1, 2023 and new executives, including Troy Dixon, who joined our team in January 2025 as Co-Head of Global Markets, and Amy Clack, who joined our team in August 2024 as Chief Administrative Officer.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2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 to Grow Our Existing Markets</w:t>
      </w:r>
    </w:p>
    <w:p>
      <w:pPr>
        <w:spacing w:after="0" w:line="21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We believe there are significant opportunities to generate additional revenue from secular and cyclical tailwinds in our existing markets: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Underlying Asset Classes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global interest rate swaps, global ETFs and credit cash products, including developed and emerging market (“EM”) investment grade and high yield bonds.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Market Share</w:t>
      </w:r>
    </w:p>
    <w:p>
      <w:pPr>
        <w:spacing w:after="0" w:line="21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auto"/>
        </w:rPr>
        <w:t>Our clients represent most of the largest institutional, wholesale, retail and corporate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institutional, wholesale and retail clients across all trade sizes, from odd-lot to block trades, through a variety of protocols. In general, many of our asset manager, hedge fund, insurance, central bank/sovereign entity and regional dealer clients actively trade multiple products on our platforms and our global dealer clients trade in most asset classes across our institutional, wholesale and retail client sectors. We also see a growing appetite for multi-asset trading to reduce cost and duration risk. In the future, we also expect to provide our newest client sector, corporates, with the ability to manage short-term liquidity needs and foreign exchange (“FX”) risk, as well as optimize yield and duration via our existing suite of products and partnerships.</w:t>
      </w:r>
    </w:p>
    <w:p>
      <w:pPr>
        <w:sectPr>
          <w:pgSz w:w="12060" w:h="15660" w:orient="portrait"/>
          <w:cols w:equalWidth="0" w:num="1">
            <w:col w:w="10420"/>
          </w:cols>
          <w:pgMar w:left="820" w:top="748" w:right="82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060" w:h="15660" w:orient="portrait"/>
          <w:cols w:equalWidth="0" w:num="1">
            <w:col w:w="10420"/>
          </w:cols>
          <w:pgMar w:left="820" w:top="748" w:right="82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Electronification of Our Markets</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w:t>
      </w:r>
    </w:p>
    <w:p>
      <w:pPr>
        <w:spacing w:after="0" w:line="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color w:val="auto"/>
        </w:rPr>
        <w:t>2013 and MiFID II in 2018 and we saw strong electronification increases in U.S. corporate bonds, repurchase agreements and swaps during the COVID-19 pandemic.</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As markets become more interconnected, clients increasingly expect the ability to trade across asset types—bonds, equities, derivatives, and digital assets—with the same ease and efficiency as they are used to today. We are well positioned to continue to innovate and provide better electronic markets and solutions that satisfy the needs of our clients and that meet changing market demands and evolving regulatory standards. In addition, through our acquisition of ICD, we believe that we can help drive increased adoption of electronic trading by corporate treasurers.</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Global government bonds, global interest rate swaps, global ETFs, in particular, institutional block ETFs, credit cash products, including corporate high grade and high yield bonds and EM bonds are expected to be key drivers of our future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 Our Product Set and Reach</w:t>
      </w:r>
    </w:p>
    <w:p>
      <w:pPr>
        <w:spacing w:after="0" w:line="21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We have grown our business by prudently expanding our offerings to add new products and asset classes, and we expect to continue to invest to add new products and expand into new complementary markets as client demand and market trends evolve. We have significant scale and breadth across our platforms, which position us well to take advantage of favorable market dynamics when entering into new markets or introducing new products or solutions.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2017, we expanded into China to offer our global clients access to the Chinese bond market through our initiative with BondConnect, in 2020, we launched CIBM Direct, and in 2021, we completed our first Southbound BondConnect transactions, offering onshore investors enhanced access to oversees liquidity, pre-trade transparency and innovative trading protocols. We continue to focus on these initiatives and on expanding opportunities with clients in the Asia region more broadly. For example, in 2023, we announced that institutional clients executing Japanese Yen swaps on our multilateral trading facilities and swap execution facilities would now be able to clear their transactions via the Japan Securities Clearing Corporation (“JSCC”), providing more connectivity, flexibility and choice in Yen swap trading. Also in 2023, we participated in the development of and added the ability for our clients to have direct trading access on our platform to Swap Connect, the world’s first derivatives market access scheme, where offshore investors can trade and central counterparty clear onshore Chinese Yuan Renminbi interest rate swaps without changing their existing trading and settlement practices. In November 2024, we announced a collaboration with Tokyo Stock Exchange (“TSE”) to offer institutional investors enhanced access to liquidity in Japanese ETFs and launched a new direct link between Tradeweb and TSE’s request-for-quote platform, CONNEQTOR, which allows our buy-side clients to include CONNEQTOR liquidity providers when launching a trade inquiry on our Japan-listed ETF marketplace.</w:t>
      </w:r>
    </w:p>
    <w:p>
      <w:pPr>
        <w:spacing w:after="0" w:line="1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With the 2024 acquisition of ICD, we have added institutional funds with money market and other short-term investments (collectively referred to herein as “money market funds”) to our available products, further diversified our client base with the addition of corporates and continued our track record of expanding into adjacent markets to help improve client workflow. In the future, we plan to provide ICD clients with the ability to manage short-term liquidity needs and FX risk, as well as optimize yield and duration via our existing suite of products and partnerships. In addition to plans to cross-sell our other products to ICD’s existing clients, we also plan to leverage our international presence with the aim to accelerate growth and expansion of the ICD Portal outside of the U.S.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intend to continue to leverage innovation and technology capabilities to develop new solutions that help our clients trade more effectively and efficiently. For example, in 2023, we launched a new and innovative solution to help institutional investors trade EM bonds more efficiently, developed in collaboration with FXall, LSEG’s leading electronic platform for global currency products. This FX swap workflow solution allows mutual clients of Tradeweb and FXall to buy or sell an EM bond via the RFQ or RFM protocols on Tradeweb and then seamlessly hedge the local currency risk by executing an FX swap trade via direct connection to FXall. Given the breadth of expertise of our sales people and management, we have the ability to focus on new client opportunities and on selling additional solutions to existing clients.</w:t>
      </w:r>
    </w:p>
    <w:p>
      <w:pPr>
        <w:sectPr>
          <w:pgSz w:w="12060" w:h="15660" w:orient="portrait"/>
          <w:cols w:equalWidth="0" w:num="1">
            <w:col w:w="10420"/>
          </w:cols>
          <w:pgMar w:left="820" w:top="744" w:right="82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060" w:h="15660" w:orient="portrait"/>
          <w:cols w:equalWidth="0" w:num="1">
            <w:col w:w="10420"/>
          </w:cols>
          <w:pgMar w:left="820" w:top="744" w:right="820" w:bottom="0" w:gutter="0" w:footer="0" w:header="0"/>
          <w:type w:val="continuous"/>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20"/>
          <w:szCs w:val="20"/>
          <w:color w:val="auto"/>
        </w:rPr>
        <w:t>We also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often involves offering our existing products in new geographies and then adding local products. In addition, we believe our trading models in one product or asset class are transferable to other products or asset classes, irrespective of geography. More recently, we have also expanded internationally through acquisition. For example, following our 2023 acquisition of Yieldbroker, we successfully expanded local client access in Australia to our global product suite, with a significant number of additional local users onboarded onto the global interest rate swaps platform during 2024. In 2024, we opened an office in Dubai to better service hedge fund clients in the Middle East and are establishing a presence in Saudi Arabia as we have been granted a license by the Capital Market Authority (“CMA”) to conduct business as an Alternative Trading System for local Sukuk and debt instruments.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Integrating digital assets into this fixed income ecosystem is also a natural next step in the evolution of electronic trading. Whether it is potentially offering trading in tokenized bonds or digital currencies and funds linking issuance, or potentially providing settlement, custody or trading protocols through blockchain technology, we are actively seeking opportunities to help us prepare to support clients as they explore this new asset type and technology. Our long-term goal is to make trading in digital assets as seamless as any other asset class, providing clients with access to another source of liquidity and helping them to manage risk and capitalize on opportunities in digital assets with confidence. We believe our potential future expansion into digital assets aligns with our multi-asset class approach.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Enhance Underlying Data and Analytics Capabilities to Develop Innovative Solutions</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70" w:lineRule="exact"/>
        <w:rPr>
          <w:sz w:val="20"/>
          <w:szCs w:val="20"/>
          <w:color w:val="auto"/>
        </w:rPr>
      </w:pPr>
    </w:p>
    <w:p>
      <w:pPr>
        <w:ind w:right="440"/>
        <w:spacing w:after="0" w:line="459" w:lineRule="auto"/>
        <w:rPr>
          <w:sz w:val="20"/>
          <w:szCs w:val="20"/>
          <w:color w:val="auto"/>
        </w:rPr>
      </w:pPr>
      <w:r>
        <w:rPr>
          <w:rFonts w:ascii="Times New Roman" w:cs="Times New Roman" w:eastAsia="Times New Roman" w:hAnsi="Times New Roman"/>
          <w:sz w:val="20"/>
          <w:szCs w:val="20"/>
          <w:color w:val="auto"/>
        </w:rPr>
        <w:t xml:space="preserve">We will continue to selectively pursue new strategic partnerships to further expand our data and analytics offering over time. </w:t>
      </w:r>
      <w:r>
        <w:rPr>
          <w:rFonts w:ascii="Times New Roman" w:cs="Times New Roman" w:eastAsia="Times New Roman" w:hAnsi="Times New Roman"/>
          <w:sz w:val="20"/>
          <w:szCs w:val="20"/>
          <w:b w:val="1"/>
          <w:bCs w:val="1"/>
          <w:i w:val="1"/>
          <w:iCs w:val="1"/>
          <w:color w:val="auto"/>
        </w:rPr>
        <w:t>Pursue Strategic Acquisitions and Alliances</w:t>
      </w:r>
    </w:p>
    <w:p>
      <w:pPr>
        <w:ind w:right="320"/>
        <w:spacing w:after="0" w:line="260" w:lineRule="auto"/>
        <w:rPr>
          <w:sz w:val="20"/>
          <w:szCs w:val="20"/>
          <w:color w:val="auto"/>
        </w:rPr>
      </w:pPr>
      <w:r>
        <w:rPr>
          <w:rFonts w:ascii="Times New Roman" w:cs="Times New Roman" w:eastAsia="Times New Roman" w:hAnsi="Times New Roman"/>
          <w:sz w:val="20"/>
          <w:szCs w:val="20"/>
          <w:color w:val="auto"/>
        </w:rPr>
        <w:t>As part of our culture of collaborative innovation, throughout our history we have completed various acquisitions and initiated several formal strategic alliances. These alliances have taken several forms, including partnerships, technological alliances, minority investments and other financial and commercial arrangements. We intend to continue to selectively consider opportunities to grow through strategic alliances and acquisitions.</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closing of the ICD acquisition in August 2024 marked our third strategic acquisition within a twelve month period, together with our acquisition of r8fin in January 2024 and Yieldbroker in August 2023. Prior to that, our most recent acquisition was in June 2021, when we acquired Nasdaq’s U.S. fixed income electronic trading platform. These acquisitions have contributed to one or more of our goals to continue to expand our product suite, further diversify our client and revenue base, expand our geographic reach, strengthen our market share and/or enable us to provide a more comprehensive range of tools, technology and services, while remaining focused on balancing revenue growth and margin expansion to create long-term value for stockholders.</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have entered into a number of strategic alliances over the years. One goal when entering into a strategic alliance is to enhance our existing capabilities by allowing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 For example, in November 2022, we entered into a multi-year partnership with BlackRock with the goal to integrate our credit trading solutions and data into BlackRock’s Aladdin order execution management system. This partnership remains ongoing, and early client feedback has been positive, particularly around the enhanced integration that allows our clients to more easily monitor A2A and dealer liquidity opportunities.</w:t>
      </w:r>
    </w:p>
    <w:p>
      <w:pPr>
        <w:spacing w:after="0" w:line="173"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9"/>
          <w:szCs w:val="19"/>
          <w:color w:val="auto"/>
        </w:rPr>
        <w:t>Further, similar to the early days of electronic trading, various alliances are forming to identify new and interesting ways to advance the trading of digital assets. For us, that has meant entering into collaborations with, and/or making investments in, a range of partners and initiatives, including BlackRock, Securitize, Digital Asset, Goldman Sachs, Canton Network and Alphaledger, among others. For example, during 2024, we entered into a commercial agreement with Alphaledger to jointly develop new products leveraging the Alphaledger blockchain infrastructure for fixed income assets; joined as a Super Validator and Validator on the Global Synchronizer, the Canton Network’s decentralized interoperability infrastructure; and entered into a</w:t>
      </w:r>
    </w:p>
    <w:p>
      <w:pPr>
        <w:sectPr>
          <w:pgSz w:w="12060" w:h="15660" w:orient="portrait"/>
          <w:cols w:equalWidth="0" w:num="1">
            <w:col w:w="10420"/>
          </w:cols>
          <w:pgMar w:left="820" w:top="748" w:right="820" w:bottom="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060" w:h="15660" w:orient="portrait"/>
          <w:cols w:equalWidth="0" w:num="1">
            <w:col w:w="10420"/>
          </w:cols>
          <w:pgMar w:left="820" w:top="748" w:right="820" w:bottom="0" w:gutter="0" w:footer="0" w:header="0"/>
          <w:type w:val="continuous"/>
        </w:sectPr>
      </w:pPr>
    </w:p>
    <w:bookmarkStart w:id="25" w:name="page26"/>
    <w:bookmarkEnd w:id="25"/>
    <w:p>
      <w:pPr>
        <w:spacing w:after="0" w:line="278" w:lineRule="auto"/>
        <w:rPr>
          <w:sz w:val="20"/>
          <w:szCs w:val="20"/>
          <w:color w:val="auto"/>
        </w:rPr>
      </w:pPr>
      <w:r>
        <w:rPr>
          <w:rFonts w:ascii="Times New Roman" w:cs="Times New Roman" w:eastAsia="Times New Roman" w:hAnsi="Times New Roman"/>
          <w:sz w:val="19"/>
          <w:szCs w:val="19"/>
          <w:color w:val="auto"/>
        </w:rPr>
        <w:t>new strategic partnership with Goldman Sachs to help them in bringing new commercial use cases to the GS DAP® technology platform, designed to meet the needs of participants in digital capital markets. This strategy of collaboration and minority investment in digital assets allows us to increase our digital asset competencies by leveraging the technical expertise of our strategic partners in this digital asset space, without having to make significant investments in research and development in-house.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Client Sectors</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We have a powerful network of more than 3,000 clients across the institutional, wholesale, retail and corporates client sectors. Our clients include leading global asset managers, hedge funds, insurance companies, central banks, banks and dealers, proprietary trading firms, retail brokerage and financial advisory firms, regional dealers and corporations.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We provide deep liquidity pools to the institutional, wholesale, retail and corporates client sectors through our Tradeweb Institutional, Dealerweb, Tradeweb Direct and ICD Portal platforms. We are dependent on our dealer clients to support our institutional, wholesale and retail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global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wholesale, retail and corporates channels. Given our technological capabilities, the diversity of our client sectors and the breadth of our products and trading protocols, we believe we are well positioned to capitalize on this ongoing trend.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Tradeweb Institutional offers dealer-to-client and all-to-all trading and related solutions to liquidity-taking clients. Our clients include leading asset managers, hedge funds, insurance companies, regional dealers and central banks/sovereign entities. Through our Tradeweb Institutional platform, we offer trading in a wide variety of products, including U.S. Treasuries, European government bonds, TBA MBS, global interest rate swaps, global corporate bonds and global ETFs, among others. Our trading protocols include RFQ, RFM, Request-for-Stream, list trading, compression, blast all-to-all, Click-to-Trade, portfolio trading and inventory-based.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Wholesale</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provide fully electronic, hybrid and voice trading for the wholesale community on our Dealerweb platform. Our clients include dealers and financial institutions trading on our electronic and hybrid markets. Nearly all of our electronic and hybrid dealer clients also trade on the Tradeweb Institutional and Tradeweb Direct platforms. Wholesale’s leading markets include TBA MBS, specified pools, other securitized products, global credit products, U.S. Treasuries, repurchase agreements, U.S. dollar-denominated swaps, U.S. ETFs and U.S. equity derivative products.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40% growth in the number of e-participants on our wholesale client sector markets since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Tradeweb Direct, our regulated Alternative Trading System (“ATS”), offers financial advisors at retail brokerage and advisory firms and their retail clients access to micro-lot liquidity provided by our network of broker-dealers. Certain Tradeweb Direct clients also provide access to retail clients through white-labeled, web-based front ends. Our large and middle-market asset manager clients also have access to the Tradeweb Direct ATS. Tradeweb Direct offers trading in a range of products, including U.S. corporate bonds, U.S. Treasuries, municipal bonds, structured products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060" w:h="15660" w:orient="portrait"/>
          <w:cols w:equalWidth="0" w:num="1">
            <w:col w:w="10420"/>
          </w:cols>
          <w:pgMar w:left="820" w:top="748" w:right="82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expanded into the corporates client sector through our acquisition of ICD on August 1, 2024. Our ICD Portal offers corporate treasurers globally a one-stop shop to research, trade, analyze and report on investments across more than 40 available investment providers, primarily offering money market funds and access to other short term products including fixed term funds and separately managed accounts (collectively referred to as “money market funds”). Through our ICD Portfolio Analytics tool, corporate treasury organizations also have access to an AI-driven cloud solution for aggregating investment positions for comprehensive analysis, monitoring and reporting. Our acquisition of ICD broadened our product suite, further diversified our client and revenue base and strengthened our position in the corporate treasury space, enabling us to provide a more comprehensive range of liquidity management tools and services. In the future, we expect to provide existing ICD clients with the ability to optimize yield and duration through our existing suite of products and partnerships, as well as manage liquidity needs and related FX risk. In addition to cross-selling our other products to these clients, we will also leverage our international presence to aim to accelerate the growth and expansion of the ICD Portal outside of the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Asset Classes and Products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offer efficient and transparent trading across a diverse range of asset classes:</w:t>
      </w:r>
    </w:p>
    <w:p>
      <w:pPr>
        <w:spacing w:after="0" w:line="206" w:lineRule="exact"/>
        <w:rPr>
          <w:sz w:val="20"/>
          <w:szCs w:val="20"/>
          <w:color w:val="auto"/>
        </w:rPr>
      </w:pPr>
    </w:p>
    <w:p>
      <w:pPr>
        <w:ind w:left="720" w:right="260" w:hanging="37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Rates</w:t>
      </w:r>
      <w:r>
        <w:rPr>
          <w:rFonts w:ascii="Times New Roman" w:cs="Times New Roman" w:eastAsia="Times New Roman" w:hAnsi="Times New Roman"/>
          <w:sz w:val="20"/>
          <w:szCs w:val="20"/>
          <w:color w:val="auto"/>
        </w:rPr>
        <w:t>: We facilitate trading in a broad range of cash and derivatives rates products, including major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such as U.S. Treasury securities and European government bonds, mortgage-backed securities, interest rate swaps and agency/supranational securities and other rates products.</w:t>
      </w:r>
    </w:p>
    <w:p>
      <w:pPr>
        <w:spacing w:after="0" w:line="149" w:lineRule="exact"/>
        <w:rPr>
          <w:rFonts w:ascii="Times New Roman" w:cs="Times New Roman" w:eastAsia="Times New Roman" w:hAnsi="Times New Roman"/>
          <w:sz w:val="20"/>
          <w:szCs w:val="20"/>
          <w:color w:val="auto"/>
        </w:rPr>
      </w:pPr>
    </w:p>
    <w:p>
      <w:pPr>
        <w:ind w:left="720" w:right="20" w:hanging="37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Credit</w:t>
      </w:r>
      <w:r>
        <w:rPr>
          <w:rFonts w:ascii="Times New Roman" w:cs="Times New Roman" w:eastAsia="Times New Roman" w:hAnsi="Times New Roman"/>
          <w:sz w:val="20"/>
          <w:szCs w:val="20"/>
          <w:color w:val="auto"/>
        </w:rPr>
        <w:t>: We offer deep pools of liquidity in cash and derivatives credit products, including U.S. and European high grade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high yield bonds, China bonds, municipal bonds, index, single name and sovereign credit default swaps and other credit products.</w:t>
      </w:r>
    </w:p>
    <w:p>
      <w:pPr>
        <w:spacing w:after="0" w:line="149" w:lineRule="exact"/>
        <w:rPr>
          <w:rFonts w:ascii="Times New Roman" w:cs="Times New Roman" w:eastAsia="Times New Roman" w:hAnsi="Times New Roman"/>
          <w:sz w:val="20"/>
          <w:szCs w:val="20"/>
          <w:color w:val="auto"/>
        </w:rPr>
      </w:pPr>
    </w:p>
    <w:p>
      <w:pPr>
        <w:ind w:left="720" w:hanging="370"/>
        <w:spacing w:after="0" w:line="28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Equities</w:t>
      </w:r>
      <w:r>
        <w:rPr>
          <w:rFonts w:ascii="Times New Roman" w:cs="Times New Roman" w:eastAsia="Times New Roman" w:hAnsi="Times New Roman"/>
          <w:sz w:val="20"/>
          <w:szCs w:val="20"/>
          <w:color w:val="auto"/>
        </w:rPr>
        <w:t>: We offer trading in a range of cash and derivatives equities products, including global ETFs, equity derivatives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equities products.</w:t>
      </w:r>
    </w:p>
    <w:p>
      <w:pPr>
        <w:spacing w:after="0" w:line="131" w:lineRule="exact"/>
        <w:rPr>
          <w:rFonts w:ascii="Times New Roman" w:cs="Times New Roman" w:eastAsia="Times New Roman" w:hAnsi="Times New Roman"/>
          <w:sz w:val="20"/>
          <w:szCs w:val="20"/>
          <w:color w:val="auto"/>
        </w:rPr>
      </w:pPr>
    </w:p>
    <w:p>
      <w:pPr>
        <w:ind w:left="720" w:right="220" w:hanging="37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Money Markets</w:t>
      </w:r>
      <w:r>
        <w:rPr>
          <w:rFonts w:ascii="Times New Roman" w:cs="Times New Roman" w:eastAsia="Times New Roman" w:hAnsi="Times New Roman"/>
          <w:sz w:val="20"/>
          <w:szCs w:val="20"/>
          <w:color w:val="auto"/>
        </w:rPr>
        <w:t>: We offer trading in repurchase agreements and a broad range of other money market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agency discount notes, commercial paper, certificates of deposit (including structured CDs) and institutional funds comprised of money market and other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629400" cy="3223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extLst>
                    </a:blip>
                    <a:srcRect/>
                    <a:stretch>
                      <a:fillRect/>
                    </a:stretch>
                  </pic:blipFill>
                  <pic:spPr bwMode="auto">
                    <a:xfrm>
                      <a:off x="0" y="0"/>
                      <a:ext cx="6629400" cy="3223895"/>
                    </a:xfrm>
                    <a:prstGeom prst="rect">
                      <a:avLst/>
                    </a:prstGeom>
                    <a:noFill/>
                  </pic:spPr>
                </pic:pic>
              </a:graphicData>
            </a:graphic>
          </wp:anchor>
        </w:drawing>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2060" w:h="15660" w:orient="portrait"/>
          <w:cols w:equalWidth="0" w:num="1">
            <w:col w:w="10400"/>
          </w:cols>
          <w:pgMar w:left="820" w:top="739" w:right="8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Our Geographies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a global footprint serving more than 3,000 clients in over 85 countries across the Americas, EMEA (Europe, Middle East and Africa) and APAC (Asia Pacific) regions and with offices in North America, South America, Europe, Australia, Asia and the Middle East. In addition, we currently support trading across over 30 currencies globally.</w:t>
      </w:r>
    </w:p>
    <w:p>
      <w:pPr>
        <w:spacing w:after="0" w:line="15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further toward electronic trading, we expect to be at the forefront of this change.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 Wholesale and Retail Client Solutions</w:t>
      </w:r>
    </w:p>
    <w:p>
      <w:pPr>
        <w:spacing w:after="0" w:line="21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We provide our institutional, wholesale and retail clients with solutions across the trade lifecycle including pre-trade data and analytics, intelligent trade execution, straight-through processing and post-trade data, analytics and reporting.</w:t>
      </w:r>
    </w:p>
    <w:p>
      <w:pPr>
        <w:spacing w:after="0" w:line="137" w:lineRule="exact"/>
        <w:rPr>
          <w:sz w:val="20"/>
          <w:szCs w:val="20"/>
          <w:color w:val="auto"/>
        </w:rPr>
      </w:pPr>
    </w:p>
    <w:p>
      <w:pPr>
        <w:ind w:left="720" w:right="100" w:hanging="370"/>
        <w:spacing w:after="0" w:line="24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Pre-Trade Data and Analytics</w:t>
      </w:r>
      <w:r>
        <w:rPr>
          <w:rFonts w:ascii="Times New Roman" w:cs="Times New Roman" w:eastAsia="Times New Roman" w:hAnsi="Times New Roman"/>
          <w:sz w:val="20"/>
          <w:szCs w:val="20"/>
          <w:color w:val="auto"/>
        </w:rPr>
        <w:t>: We provide clients with accurate, real-time market data and streaming price updates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across more than 50 products. Major financial publications across the globe reference our market data. Our real-time market data services include coverage of government bonds, corporate bonds, mortgage-backed securities, fixed income derivatives and money markets. Our pre-trade service offerings also include:</w:t>
      </w:r>
    </w:p>
    <w:p>
      <w:pPr>
        <w:spacing w:after="0" w:line="157" w:lineRule="exact"/>
        <w:rPr>
          <w:rFonts w:ascii="Times New Roman" w:cs="Times New Roman" w:eastAsia="Times New Roman" w:hAnsi="Times New Roman"/>
          <w:sz w:val="20"/>
          <w:szCs w:val="20"/>
          <w:color w:val="auto"/>
        </w:rPr>
      </w:pPr>
    </w:p>
    <w:p>
      <w:pPr>
        <w:ind w:left="1440" w:right="20" w:hanging="370"/>
        <w:spacing w:after="0" w:line="242" w:lineRule="auto"/>
        <w:tabs>
          <w:tab w:leader="none" w:pos="14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Ai-Price.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Automated Intelligent Price, or Ai-Price, functionality is an innovative bond pricing engine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applies data science to help make markets more efficient by delivering real-time and end-of-day reference pricing for nearly 30,000 U.S. corporate bonds and approximately 1 million U.S. municipal bonds, regardless of how frequently a bond trades. Clients leverage the service to power their AiEX auto-trading, portfolio trading and transaction cost analysis.</w:t>
      </w:r>
    </w:p>
    <w:p>
      <w:pPr>
        <w:spacing w:after="0" w:line="160" w:lineRule="exact"/>
        <w:rPr>
          <w:rFonts w:ascii="Times New Roman" w:cs="Times New Roman" w:eastAsia="Times New Roman" w:hAnsi="Times New Roman"/>
          <w:sz w:val="20"/>
          <w:szCs w:val="20"/>
          <w:color w:val="auto"/>
        </w:rPr>
      </w:pPr>
    </w:p>
    <w:p>
      <w:pPr>
        <w:ind w:left="1440" w:right="80" w:hanging="370"/>
        <w:spacing w:after="0"/>
        <w:tabs>
          <w:tab w:leader="none" w:pos="14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iNAV for ETFs.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real-time indicative multi asset class portfolio calculation service can be used to calculate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real-time valuations for any portfolio of securities or index and is currently being leveraged to produce intraday net asset values (“iNAVs”) for ETFs. This solution was built for issuers of ETFs, to assist them in bringing high-quality transparency of their funds to investors, to support market surveillance and to satisfy numerous listing obligations across European exchanges. Robust iNAVs help increase market transparency and trading confidence by enabling investors to assess whether an ETF is being fairly priced.</w:t>
      </w:r>
    </w:p>
    <w:p>
      <w:pPr>
        <w:spacing w:after="0" w:line="164" w:lineRule="exact"/>
        <w:rPr>
          <w:rFonts w:ascii="Times New Roman" w:cs="Times New Roman" w:eastAsia="Times New Roman" w:hAnsi="Times New Roman"/>
          <w:sz w:val="20"/>
          <w:szCs w:val="20"/>
          <w:color w:val="auto"/>
        </w:rPr>
      </w:pPr>
    </w:p>
    <w:p>
      <w:pPr>
        <w:ind w:left="1440" w:right="80" w:hanging="370"/>
        <w:spacing w:after="0"/>
        <w:tabs>
          <w:tab w:leader="none" w:pos="14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Integrations.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trade data is integrated directly with certain order management systems allowing for order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entry and pre-trade compliance and risk analysis. Clients are also able to perform credit checks for cleared derivatives trading — either with limits on our system or through connectivity to the futures commission merchants. We were also the first electronic trading platform to make OIS curves available during the repurchase agreement trade negotiation process, helping institutional clients assess the price competitiveness of different repurchase agreement rates across various currencies and maturities.</w:t>
      </w:r>
    </w:p>
    <w:p>
      <w:pPr>
        <w:spacing w:after="0" w:line="164" w:lineRule="exact"/>
        <w:rPr>
          <w:rFonts w:ascii="Times New Roman" w:cs="Times New Roman" w:eastAsia="Times New Roman" w:hAnsi="Times New Roman"/>
          <w:sz w:val="20"/>
          <w:szCs w:val="20"/>
          <w:color w:val="auto"/>
        </w:rPr>
      </w:pPr>
    </w:p>
    <w:p>
      <w:pPr>
        <w:ind w:left="1440" w:right="20" w:hanging="370"/>
        <w:spacing w:after="0" w:line="251" w:lineRule="auto"/>
        <w:tabs>
          <w:tab w:leader="none" w:pos="14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LSEG market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provide LSEG with certain real-time market data feeds for multiple fixed income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derivatives products under a license pursuant to which LSEG distributes such market data to its customers on its platforms and through direct feeds.</w:t>
      </w:r>
    </w:p>
    <w:p>
      <w:pPr>
        <w:spacing w:after="0" w:line="150" w:lineRule="exact"/>
        <w:rPr>
          <w:rFonts w:ascii="Times New Roman" w:cs="Times New Roman" w:eastAsia="Times New Roman" w:hAnsi="Times New Roman"/>
          <w:sz w:val="20"/>
          <w:szCs w:val="20"/>
          <w:color w:val="auto"/>
        </w:rPr>
      </w:pPr>
    </w:p>
    <w:p>
      <w:pPr>
        <w:ind w:left="720" w:right="40" w:hanging="370"/>
        <w:spacing w:after="0" w:line="26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Execution</w:t>
      </w:r>
      <w:r>
        <w:rPr>
          <w:rFonts w:ascii="Times New Roman" w:cs="Times New Roman" w:eastAsia="Times New Roman" w:hAnsi="Times New Roman"/>
          <w:sz w:val="20"/>
          <w:szCs w:val="20"/>
          <w:color w:val="auto"/>
        </w:rPr>
        <w:t>: Trade execution is at the core of our business. We provide marketplaces and tools that facilitate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55" w:lineRule="exact"/>
        <w:rPr>
          <w:rFonts w:ascii="Times New Roman" w:cs="Times New Roman" w:eastAsia="Times New Roman" w:hAnsi="Times New Roman"/>
          <w:sz w:val="20"/>
          <w:szCs w:val="20"/>
          <w:color w:val="auto"/>
        </w:rPr>
      </w:pPr>
    </w:p>
    <w:p>
      <w:pPr>
        <w:ind w:left="1440" w:hanging="370"/>
        <w:spacing w:after="0" w:line="270" w:lineRule="auto"/>
        <w:tabs>
          <w:tab w:leader="none" w:pos="1440" w:val="left"/>
        </w:tabs>
        <w:numPr>
          <w:ilvl w:val="1"/>
          <w:numId w:val="1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Request-for-quote.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multi-dealer request-for-quote, or RFQ, protocol provides institutional clients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w:t>
      </w:r>
    </w:p>
    <w:p>
      <w:pPr>
        <w:spacing w:after="0" w:line="1" w:lineRule="exact"/>
        <w:rPr>
          <w:rFonts w:ascii="Times New Roman" w:cs="Times New Roman" w:eastAsia="Times New Roman" w:hAnsi="Times New Roman"/>
          <w:sz w:val="19"/>
          <w:szCs w:val="19"/>
          <w:b w:val="1"/>
          <w:bCs w:val="1"/>
          <w:i w:val="1"/>
          <w:iCs w:val="1"/>
          <w:color w:val="auto"/>
        </w:rPr>
      </w:pPr>
    </w:p>
    <w:p>
      <w:pPr>
        <w:ind w:left="1440" w:right="100"/>
        <w:spacing w:after="0" w:line="253" w:lineRule="auto"/>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20"/>
          <w:szCs w:val="20"/>
          <w:color w:val="auto"/>
        </w:rPr>
        <w:t>— both buy-side and sell-side names are known prior to execution. Multi-dealer RFQ assists clients with achieving best execution. During 2024, we deployed RFQ Edge, a new functionality that applies advanced portfolio trading analytics to the RFQ protocol in U.S. credit markets, allowing clients to make better-informed trade decisions.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060" w:h="15660" w:orient="portrait"/>
          <w:cols w:equalWidth="0" w:num="1">
            <w:col w:w="10420"/>
          </w:cols>
          <w:pgMar w:left="820" w:top="741" w:right="820" w:bottom="0" w:gutter="0" w:footer="0" w:header="0"/>
          <w:type w:val="continuous"/>
        </w:sectPr>
      </w:pPr>
    </w:p>
    <w:bookmarkStart w:id="28" w:name="page29"/>
    <w:bookmarkEnd w:id="28"/>
    <w:p>
      <w:pPr>
        <w:ind w:left="820" w:right="180" w:hanging="370"/>
        <w:spacing w:after="0" w:line="259"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Request-for-market.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request-for-market, or RFM, protocol provides institutional clients with the ability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9" w:lineRule="exact"/>
        <w:rPr>
          <w:rFonts w:ascii="Times New Roman" w:cs="Times New Roman" w:eastAsia="Times New Roman" w:hAnsi="Times New Roman"/>
          <w:sz w:val="20"/>
          <w:szCs w:val="20"/>
          <w:b w:val="1"/>
          <w:bCs w:val="1"/>
          <w:i w:val="1"/>
          <w:iCs w:val="1"/>
          <w:color w:val="auto"/>
        </w:rPr>
      </w:pPr>
    </w:p>
    <w:p>
      <w:pPr>
        <w:ind w:left="820" w:right="920" w:hanging="370"/>
        <w:spacing w:after="0" w:line="313" w:lineRule="auto"/>
        <w:tabs>
          <w:tab w:leader="none" w:pos="82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Request-for-stream.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request-for-stream, or RFS, protocol allows multiple dealers to show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continuously updating rates, in line with market movements, during a client’s request window.</w:t>
      </w:r>
    </w:p>
    <w:p>
      <w:pPr>
        <w:spacing w:after="0" w:line="110" w:lineRule="exact"/>
        <w:rPr>
          <w:rFonts w:ascii="Times New Roman" w:cs="Times New Roman" w:eastAsia="Times New Roman" w:hAnsi="Times New Roman"/>
          <w:sz w:val="19"/>
          <w:szCs w:val="19"/>
          <w:b w:val="1"/>
          <w:bCs w:val="1"/>
          <w:i w:val="1"/>
          <w:iCs w:val="1"/>
          <w:color w:val="auto"/>
        </w:rPr>
      </w:pPr>
    </w:p>
    <w:p>
      <w:pPr>
        <w:ind w:left="820" w:right="20" w:hanging="370"/>
        <w:spacing w:after="0" w:line="262"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List trading.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by clients with multiple transactions to complete, our list trading protocol is a highly efficient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55" w:lineRule="exact"/>
        <w:rPr>
          <w:rFonts w:ascii="Times New Roman" w:cs="Times New Roman" w:eastAsia="Times New Roman" w:hAnsi="Times New Roman"/>
          <w:sz w:val="20"/>
          <w:szCs w:val="20"/>
          <w:b w:val="1"/>
          <w:bCs w:val="1"/>
          <w:i w:val="1"/>
          <w:iCs w:val="1"/>
          <w:color w:val="auto"/>
        </w:rPr>
      </w:pPr>
    </w:p>
    <w:p>
      <w:pPr>
        <w:ind w:left="820" w:hanging="370"/>
        <w:spacing w:after="0" w:line="257"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Compression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utilize our interest rate swap compression tool as an efficient means to reduce the number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line items they have outstanding at a clearinghouse by netting offsetting positions in a single transaction. This functionality allows clients to submit up to 200 line items to liquidity providers for simultaneous list pricing, which they can execute, clear and report in one transaction, reducing both their risk and clearing costs. The compression tool is flexible and versatile in design, allowing clients to adapt the tool to their workflow and customize for non-standard or bespoke swaps.</w:t>
      </w:r>
    </w:p>
    <w:p>
      <w:pPr>
        <w:spacing w:after="0" w:line="162" w:lineRule="exact"/>
        <w:rPr>
          <w:rFonts w:ascii="Times New Roman" w:cs="Times New Roman" w:eastAsia="Times New Roman" w:hAnsi="Times New Roman"/>
          <w:sz w:val="20"/>
          <w:szCs w:val="20"/>
          <w:b w:val="1"/>
          <w:bCs w:val="1"/>
          <w:i w:val="1"/>
          <w:iCs w:val="1"/>
          <w:color w:val="auto"/>
        </w:rPr>
      </w:pPr>
    </w:p>
    <w:p>
      <w:pPr>
        <w:ind w:left="820" w:hanging="370"/>
        <w:spacing w:after="0" w:line="256"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Blast all-to-all.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Blast all-to-all, or A2A, protocol allows clients to send RFQ trade inquiries to all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62" w:lineRule="exact"/>
        <w:rPr>
          <w:rFonts w:ascii="Times New Roman" w:cs="Times New Roman" w:eastAsia="Times New Roman" w:hAnsi="Times New Roman"/>
          <w:sz w:val="20"/>
          <w:szCs w:val="20"/>
          <w:b w:val="1"/>
          <w:bCs w:val="1"/>
          <w:i w:val="1"/>
          <w:iCs w:val="1"/>
          <w:color w:val="auto"/>
        </w:rPr>
      </w:pPr>
    </w:p>
    <w:p>
      <w:pPr>
        <w:ind w:left="820" w:right="280" w:hanging="370"/>
        <w:spacing w:after="0" w:line="288" w:lineRule="auto"/>
        <w:tabs>
          <w:tab w:leader="none" w:pos="82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Click-to-trade.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click-to-trade, or CTT, protocol enables a liquidity-taking client to view a set of prices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real-time and click on the price and the dealer with whom they wish to execute. This trading protocol is especially popular with clients that are looking to view a range of executable, real-time prices across dealers.</w:t>
      </w:r>
    </w:p>
    <w:p>
      <w:pPr>
        <w:spacing w:after="0" w:line="133" w:lineRule="exact"/>
        <w:rPr>
          <w:rFonts w:ascii="Times New Roman" w:cs="Times New Roman" w:eastAsia="Times New Roman" w:hAnsi="Times New Roman"/>
          <w:sz w:val="19"/>
          <w:szCs w:val="19"/>
          <w:b w:val="1"/>
          <w:bCs w:val="1"/>
          <w:i w:val="1"/>
          <w:iCs w:val="1"/>
          <w:color w:val="auto"/>
        </w:rPr>
      </w:pPr>
    </w:p>
    <w:p>
      <w:pPr>
        <w:ind w:left="820" w:right="120" w:hanging="370"/>
        <w:spacing w:after="0" w:line="286"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Portfolio Trading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rebalancing of passive portfolios and ETFs, our portfolio trading solution allows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to obtain competitive prices and trade on net present value on a full basket of securities.</w:t>
      </w:r>
    </w:p>
    <w:p>
      <w:pPr>
        <w:spacing w:after="0" w:line="131" w:lineRule="exact"/>
        <w:rPr>
          <w:rFonts w:ascii="Times New Roman" w:cs="Times New Roman" w:eastAsia="Times New Roman" w:hAnsi="Times New Roman"/>
          <w:sz w:val="20"/>
          <w:szCs w:val="20"/>
          <w:b w:val="1"/>
          <w:bCs w:val="1"/>
          <w:i w:val="1"/>
          <w:iCs w:val="1"/>
          <w:color w:val="auto"/>
        </w:rPr>
      </w:pPr>
    </w:p>
    <w:p>
      <w:pPr>
        <w:ind w:left="820" w:right="160" w:hanging="370"/>
        <w:spacing w:after="0" w:line="259"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Session-based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Sweep, our session-based trading protocol, allows clients to manage inventory and balance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59" w:lineRule="exact"/>
        <w:rPr>
          <w:rFonts w:ascii="Times New Roman" w:cs="Times New Roman" w:eastAsia="Times New Roman" w:hAnsi="Times New Roman"/>
          <w:sz w:val="20"/>
          <w:szCs w:val="20"/>
          <w:b w:val="1"/>
          <w:bCs w:val="1"/>
          <w:i w:val="1"/>
          <w:iCs w:val="1"/>
          <w:color w:val="auto"/>
        </w:rPr>
      </w:pPr>
    </w:p>
    <w:p>
      <w:pPr>
        <w:ind w:left="820" w:right="140" w:hanging="370"/>
        <w:spacing w:after="0" w:line="268" w:lineRule="auto"/>
        <w:tabs>
          <w:tab w:leader="none" w:pos="8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Central Limit Order Book.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central limit order book, or CLOB, is a continuous electronic protocol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allows clients to trade on firm bids and offers from other market participants, as well as enter their own resting bids and offers for display to the market participants, typically anonymously.</w:t>
      </w:r>
    </w:p>
    <w:p>
      <w:pPr>
        <w:spacing w:after="0" w:line="149" w:lineRule="exact"/>
        <w:rPr>
          <w:rFonts w:ascii="Times New Roman" w:cs="Times New Roman" w:eastAsia="Times New Roman" w:hAnsi="Times New Roman"/>
          <w:sz w:val="20"/>
          <w:szCs w:val="20"/>
          <w:b w:val="1"/>
          <w:bCs w:val="1"/>
          <w:i w:val="1"/>
          <w:iCs w:val="1"/>
          <w:color w:val="auto"/>
        </w:rPr>
      </w:pPr>
    </w:p>
    <w:p>
      <w:pPr>
        <w:ind w:left="820" w:right="140" w:hanging="370"/>
        <w:spacing w:after="0" w:line="276" w:lineRule="auto"/>
        <w:tabs>
          <w:tab w:leader="none" w:pos="82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Bilateral Firm Streams.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Bilateral Firm Streams protocol, which is currently used by our wholesale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43" w:lineRule="exact"/>
        <w:rPr>
          <w:rFonts w:ascii="Times New Roman" w:cs="Times New Roman" w:eastAsia="Times New Roman" w:hAnsi="Times New Roman"/>
          <w:sz w:val="19"/>
          <w:szCs w:val="19"/>
          <w:b w:val="1"/>
          <w:bCs w:val="1"/>
          <w:i w:val="1"/>
          <w:iCs w:val="1"/>
          <w:color w:val="auto"/>
        </w:rPr>
      </w:pPr>
    </w:p>
    <w:p>
      <w:pPr>
        <w:ind w:left="820" w:hanging="370"/>
        <w:spacing w:after="0" w:line="259"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Inventory-based.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inventory-based protocol allows liquidity-providing clients to submit a range of bids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ectPr>
          <w:pgSz w:w="12060" w:h="15660" w:orient="portrait"/>
          <w:cols w:equalWidth="0" w:num="1">
            <w:col w:w="9800"/>
          </w:cols>
          <w:pgMar w:left="1440" w:top="7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19</w:t>
      </w:r>
    </w:p>
    <w:p>
      <w:pPr>
        <w:sectPr>
          <w:pgSz w:w="12060" w:h="15660" w:orient="portrait"/>
          <w:cols w:equalWidth="0" w:num="1">
            <w:col w:w="9800"/>
          </w:cols>
          <w:pgMar w:left="1440" w:top="744" w:right="820" w:bottom="0" w:gutter="0" w:footer="0" w:header="0"/>
          <w:type w:val="continuous"/>
        </w:sectPr>
      </w:pPr>
    </w:p>
    <w:bookmarkStart w:id="29" w:name="page30"/>
    <w:bookmarkEnd w:id="29"/>
    <w:p>
      <w:pPr>
        <w:ind w:left="1090" w:right="20" w:hanging="370"/>
        <w:spacing w:after="0" w:line="262" w:lineRule="auto"/>
        <w:tabs>
          <w:tab w:leader="none" w:pos="109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Rematch.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Rematch protocol allows dealers to send accepted, but unmatched orders from a Sweep session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all-to-all network as 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55" w:lineRule="exact"/>
        <w:rPr>
          <w:rFonts w:ascii="Times New Roman" w:cs="Times New Roman" w:eastAsia="Times New Roman" w:hAnsi="Times New Roman"/>
          <w:sz w:val="20"/>
          <w:szCs w:val="20"/>
          <w:color w:val="auto"/>
        </w:rPr>
      </w:pPr>
    </w:p>
    <w:p>
      <w:pPr>
        <w:ind w:left="1090" w:right="180" w:hanging="370"/>
        <w:spacing w:after="0" w:line="288" w:lineRule="auto"/>
        <w:tabs>
          <w:tab w:leader="none" w:pos="109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Voice.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Voice-brokered products in our wholesale client sector include, among other products, U.S. Treasuries,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MBS, municipal bonds and repurchase agreements. Our voice brokers provide anonymity and insight for sell side traders and give us valuable high-touch relationships and market understanding and access.</w:t>
      </w:r>
    </w:p>
    <w:p>
      <w:pPr>
        <w:spacing w:after="0" w:line="133" w:lineRule="exact"/>
        <w:rPr>
          <w:rFonts w:ascii="Times New Roman" w:cs="Times New Roman" w:eastAsia="Times New Roman" w:hAnsi="Times New Roman"/>
          <w:sz w:val="19"/>
          <w:szCs w:val="19"/>
          <w:color w:val="auto"/>
        </w:rPr>
      </w:pPr>
    </w:p>
    <w:p>
      <w:pPr>
        <w:ind w:left="1090" w:right="380" w:hanging="370"/>
        <w:spacing w:after="0" w:line="268" w:lineRule="auto"/>
        <w:tabs>
          <w:tab w:leader="none" w:pos="109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Futures vs. cash spreading.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Within our r8fin technology, clients can create orders to trade futures vs.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bonds at specified levels. The algorithm uses a mix of passive and aggressive trading strategies across cash and futures venues to achieve the client’s target.</w:t>
      </w:r>
    </w:p>
    <w:p>
      <w:pPr>
        <w:spacing w:after="0" w:line="153" w:lineRule="exact"/>
        <w:rPr>
          <w:sz w:val="20"/>
          <w:szCs w:val="20"/>
          <w:color w:val="auto"/>
        </w:rPr>
      </w:pPr>
    </w:p>
    <w:p>
      <w:pPr>
        <w:ind w:left="370" w:right="160"/>
        <w:spacing w:after="0" w:line="256" w:lineRule="auto"/>
        <w:rPr>
          <w:sz w:val="20"/>
          <w:szCs w:val="20"/>
          <w:color w:val="auto"/>
        </w:rPr>
      </w:pPr>
      <w:r>
        <w:rPr>
          <w:rFonts w:ascii="Times New Roman" w:cs="Times New Roman" w:eastAsia="Times New Roman" w:hAnsi="Times New Roman"/>
          <w:sz w:val="20"/>
          <w:szCs w:val="20"/>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more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64" w:lineRule="exact"/>
        <w:rPr>
          <w:sz w:val="20"/>
          <w:szCs w:val="20"/>
          <w:color w:val="auto"/>
        </w:rPr>
      </w:pPr>
    </w:p>
    <w:p>
      <w:pPr>
        <w:ind w:left="370" w:hanging="370"/>
        <w:spacing w:after="0" w:line="254" w:lineRule="auto"/>
        <w:tabs>
          <w:tab w:leader="none" w:pos="3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Processing</w:t>
      </w:r>
      <w:r>
        <w:rPr>
          <w:rFonts w:ascii="Times New Roman" w:cs="Times New Roman" w:eastAsia="Times New Roman" w:hAnsi="Times New Roman"/>
          <w:sz w:val="20"/>
          <w:szCs w:val="20"/>
          <w:color w:val="auto"/>
        </w:rPr>
        <w:t>: Our trade processing technology allows our clients to increase productivity, reduce risk and improve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overall performance. For example, immediately after executing a long-dated fixed-rate repurchase agreement transaction, buy-side traders can also manage their interest rate exposure in a fully electronic workflow, thereby achieving straight-through processing and reducing operational risk. Our post-trade solutions also allow clients to allocate their electronic or phone-executed trades electronically, including storing and communicating organizational and sub-account settlement, identity and confirmation preference information for processing trades. Our post-trade solutions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62"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Post-Trade Data, Analytics and Reporting</w:t>
      </w:r>
      <w:r>
        <w:rPr>
          <w:rFonts w:ascii="Times New Roman" w:cs="Times New Roman" w:eastAsia="Times New Roman" w:hAnsi="Times New Roman"/>
          <w:sz w:val="20"/>
          <w:szCs w:val="20"/>
          <w:color w:val="auto"/>
        </w:rPr>
        <w:t>: Our comprehensive post-trade services include:</w:t>
      </w:r>
    </w:p>
    <w:p>
      <w:pPr>
        <w:spacing w:after="0" w:line="210" w:lineRule="exact"/>
        <w:rPr>
          <w:rFonts w:ascii="Times New Roman" w:cs="Times New Roman" w:eastAsia="Times New Roman" w:hAnsi="Times New Roman"/>
          <w:sz w:val="20"/>
          <w:szCs w:val="20"/>
          <w:color w:val="auto"/>
        </w:rPr>
      </w:pPr>
    </w:p>
    <w:p>
      <w:pPr>
        <w:ind w:left="1090" w:right="180" w:hanging="370"/>
        <w:spacing w:after="0" w:line="259" w:lineRule="auto"/>
        <w:tabs>
          <w:tab w:leader="none" w:pos="10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Transaction cost analysis.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cost analysis, or TCA, best execution reporting and client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reports are powerful tools that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w:t>
      </w:r>
    </w:p>
    <w:p>
      <w:pPr>
        <w:spacing w:after="0" w:line="159" w:lineRule="exact"/>
        <w:rPr>
          <w:rFonts w:ascii="Times New Roman" w:cs="Times New Roman" w:eastAsia="Times New Roman" w:hAnsi="Times New Roman"/>
          <w:sz w:val="20"/>
          <w:szCs w:val="20"/>
          <w:color w:val="auto"/>
        </w:rPr>
      </w:pPr>
    </w:p>
    <w:p>
      <w:pPr>
        <w:ind w:left="1090" w:right="20" w:hanging="370"/>
        <w:spacing w:after="0" w:line="254" w:lineRule="auto"/>
        <w:tabs>
          <w:tab w:leader="none" w:pos="10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Benchmark Prices.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partnership with FTSE Russell, we also provide U.S. Treasury, UK Gilt and European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bond closing prices in a manner consistent with the International Organization of Securities Commissions (“IOSCO”) principles and United Kingdom (“UK”) and European Union (“EU”) Benchmark Regulation (“BMR”). These benchmark prices can be used for various purposes, including asset valuation, trade at close and as reference rates in derivatives contracts. In October 2024, FTSE Russell announced that, starting in March 2025, it expects to make a price source change to include Tradeweb FTSE benchmark closing prices for U.S. Treasuries, European government bonds and UK Gilts in FTSE’s global fixed income indices, including its World Government Bond Index, FTSE’s flagship global index and a leading global benchmark for fixed income markets.</w:t>
      </w:r>
    </w:p>
    <w:p>
      <w:pPr>
        <w:spacing w:after="0" w:line="169" w:lineRule="exact"/>
        <w:rPr>
          <w:rFonts w:ascii="Times New Roman" w:cs="Times New Roman" w:eastAsia="Times New Roman" w:hAnsi="Times New Roman"/>
          <w:sz w:val="20"/>
          <w:szCs w:val="20"/>
          <w:color w:val="auto"/>
        </w:rPr>
      </w:pPr>
    </w:p>
    <w:p>
      <w:pPr>
        <w:ind w:left="1090" w:right="140" w:hanging="370"/>
        <w:spacing w:after="0" w:line="259" w:lineRule="auto"/>
        <w:tabs>
          <w:tab w:leader="none" w:pos="109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APA.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MiFID II regulatory obligations, we also operate an APA reporting service in the UK and EU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LSEG’s FX trading venues.</w:t>
      </w:r>
    </w:p>
    <w:p>
      <w:pPr>
        <w:sectPr>
          <w:pgSz w:w="12060" w:h="15660" w:orient="portrait"/>
          <w:cols w:equalWidth="0" w:num="1">
            <w:col w:w="10070"/>
          </w:cols>
          <w:pgMar w:left="1170" w:top="7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20"/>
          <w:szCs w:val="20"/>
          <w:color w:val="auto"/>
        </w:rPr>
        <w:t>20</w:t>
      </w:r>
    </w:p>
    <w:p>
      <w:pPr>
        <w:sectPr>
          <w:pgSz w:w="12060" w:h="15660" w:orient="portrait"/>
          <w:cols w:equalWidth="0" w:num="1">
            <w:col w:w="10070"/>
          </w:cols>
          <w:pgMar w:left="1170" w:top="744" w:right="82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Corporates Solutions</w:t>
      </w:r>
    </w:p>
    <w:p>
      <w:pPr>
        <w:spacing w:after="0" w:line="21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9"/>
          <w:szCs w:val="19"/>
          <w:color w:val="auto"/>
        </w:rPr>
        <w:t>We currently provide clients in our corporates client sector with access to the ICD Portal, where clients can research money market fund products and place orders to purchase or redeem investments. Those orders are securely transmitted to the appropriate counterparties to ensure timely trade executions and cash transfers. Through our ICD Portfolio Analytics tool, corporate treasury organizations also have access to an AI-driven cloud solution for aggregating investment positions for comprehensive analysis, monitoring and reporting. In the future, we expect to provide corporate treasury organizations with the ability to manage liquidity needs and related FX risk and to optimize yield and duration through our existing suite of Tradeweb products and partnerships. Existing ICD clients do not currently have access to the larger suite of Tradeweb solutions.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1" w:lineRule="exact"/>
        <w:rPr>
          <w:sz w:val="20"/>
          <w:szCs w:val="20"/>
          <w:color w:val="auto"/>
        </w:rPr>
      </w:pPr>
    </w:p>
    <w:p>
      <w:pPr>
        <w:ind w:left="720" w:right="100" w:hanging="370"/>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electronic trading platforms</w:t>
      </w:r>
      <w:r>
        <w:rPr>
          <w:rFonts w:ascii="Times New Roman" w:cs="Times New Roman" w:eastAsia="Times New Roman" w:hAnsi="Times New Roman"/>
          <w:sz w:val="20"/>
          <w:szCs w:val="20"/>
          <w:color w:val="auto"/>
        </w:rPr>
        <w:t>: We compete with a number of other electronic trading venues. These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MarketAxess, Bloomberg, ICE (Bondpoint, TMC Bonds, Creditex), Trumid, TP ICAP (Liquidnet) and others in the credit and municipal markets; Bloomberg, Euronext (MTS), CME Group (NEX Group), BGC Partners (Fenics), MarketAxess (LiquidityEdge), GLMX and others in the rates and derivatives markets; Virtu (RFQ-hub) and Bloomberg and others in the equities and ETF markets; and BNY Mellon, State Street, J.P. Morgan (Morgan Money) and Goldman Sachs and others in the money market portal market.</w:t>
      </w:r>
    </w:p>
    <w:p>
      <w:pPr>
        <w:spacing w:after="0" w:line="162" w:lineRule="exact"/>
        <w:rPr>
          <w:rFonts w:ascii="Times New Roman" w:cs="Times New Roman" w:eastAsia="Times New Roman" w:hAnsi="Times New Roman"/>
          <w:sz w:val="20"/>
          <w:szCs w:val="20"/>
          <w:color w:val="auto"/>
        </w:rPr>
      </w:pPr>
    </w:p>
    <w:p>
      <w:pPr>
        <w:ind w:left="720" w:right="60" w:hanging="370"/>
        <w:spacing w:after="0" w:line="276" w:lineRule="auto"/>
        <w:tabs>
          <w:tab w:leader="none" w:pos="7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Exchanges</w:t>
      </w:r>
      <w:r>
        <w:rPr>
          <w:rFonts w:ascii="Times New Roman" w:cs="Times New Roman" w:eastAsia="Times New Roman" w:hAnsi="Times New Roman"/>
          <w:sz w:val="19"/>
          <w:szCs w:val="19"/>
          <w:color w:val="auto"/>
        </w:rPr>
        <w:t>: In recent years, exchanges have pursued acquisitions that have put them in competition with us.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example, ICE acquired BondPoint and TMC Bonds, retail-focused platforms, and Interactive Data Corporation (“IDC”), a provider of fixed income data, in an effort to expand its portfolio of fixed income products and services. CME Group and CBOE also operate exchanges that compete with us. Exchanges also have data and analytics relationships with several market participants, which increasingly put their offerings in direct competition with Tradeweb.</w:t>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2060" w:h="15660" w:orient="portrait"/>
          <w:cols w:equalWidth="0" w:num="1">
            <w:col w:w="10400"/>
          </w:cols>
          <w:pgMar w:left="820" w:top="739" w:right="840" w:bottom="0" w:gutter="0" w:footer="0" w:header="0"/>
          <w:type w:val="continuous"/>
        </w:sectPr>
      </w:pPr>
    </w:p>
    <w:bookmarkStart w:id="31" w:name="page32"/>
    <w:bookmarkEnd w:id="31"/>
    <w:p>
      <w:pPr>
        <w:ind w:left="720" w:right="80" w:hanging="370"/>
        <w:spacing w:after="0" w:line="259"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Inter-dealer brokers</w:t>
      </w:r>
      <w:r>
        <w:rPr>
          <w:rFonts w:ascii="Times New Roman" w:cs="Times New Roman" w:eastAsia="Times New Roman" w:hAnsi="Times New Roman"/>
          <w:sz w:val="20"/>
          <w:szCs w:val="20"/>
          <w:color w:val="auto"/>
        </w:rPr>
        <w:t>: We compete with inter-dealer brokers, particularly in our wholesale markets in products such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MBS, U.S. Treasuries, U.S. repurchase agreements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59" w:lineRule="exact"/>
        <w:rPr>
          <w:rFonts w:ascii="Times New Roman" w:cs="Times New Roman" w:eastAsia="Times New Roman" w:hAnsi="Times New Roman"/>
          <w:sz w:val="20"/>
          <w:szCs w:val="20"/>
          <w:color w:val="auto"/>
        </w:rPr>
      </w:pPr>
    </w:p>
    <w:p>
      <w:pPr>
        <w:ind w:left="720" w:right="440" w:hanging="370"/>
        <w:spacing w:after="0" w:line="26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EMS and OMS providers: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are various providers of execution management services (“EMS”) and order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services (“OMS”) that offer direct-to-dealer fully electronic trading solutions as well as aggregation of trading venue liquidity.</w:t>
      </w:r>
    </w:p>
    <w:p>
      <w:pPr>
        <w:spacing w:after="0" w:line="149" w:lineRule="exact"/>
        <w:rPr>
          <w:rFonts w:ascii="Times New Roman" w:cs="Times New Roman" w:eastAsia="Times New Roman" w:hAnsi="Times New Roman"/>
          <w:sz w:val="20"/>
          <w:szCs w:val="20"/>
          <w:color w:val="auto"/>
        </w:rPr>
      </w:pPr>
    </w:p>
    <w:p>
      <w:pPr>
        <w:ind w:left="720" w:right="180" w:hanging="370"/>
        <w:spacing w:after="0" w:line="26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Single-bank systems</w:t>
      </w:r>
      <w:r>
        <w:rPr>
          <w:rFonts w:ascii="Times New Roman" w:cs="Times New Roman" w:eastAsia="Times New Roman" w:hAnsi="Times New Roman"/>
          <w:sz w:val="20"/>
          <w:szCs w:val="20"/>
          <w:color w:val="auto"/>
        </w:rPr>
        <w:t>: Major global and regional investment and commercial banks offer institutional clients electronic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 execution through proprietary trading systems. Many of these banks expend considerable resources on product development, sales and support to promote their single-bank systems.</w:t>
      </w:r>
    </w:p>
    <w:p>
      <w:pPr>
        <w:spacing w:after="0" w:line="149" w:lineRule="exact"/>
        <w:rPr>
          <w:rFonts w:ascii="Times New Roman" w:cs="Times New Roman" w:eastAsia="Times New Roman" w:hAnsi="Times New Roman"/>
          <w:sz w:val="20"/>
          <w:szCs w:val="20"/>
          <w:color w:val="auto"/>
        </w:rPr>
      </w:pPr>
    </w:p>
    <w:p>
      <w:pPr>
        <w:ind w:left="720" w:right="40" w:hanging="370"/>
        <w:spacing w:after="0" w:line="262"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Dealers</w:t>
      </w:r>
      <w:r>
        <w:rPr>
          <w:rFonts w:ascii="Times New Roman" w:cs="Times New Roman" w:eastAsia="Times New Roman" w:hAnsi="Times New Roman"/>
          <w:sz w:val="20"/>
          <w:szCs w:val="20"/>
          <w:color w:val="auto"/>
        </w:rPr>
        <w:t>: Many of the markets in which we operate are still traded through traditional voice-based protocols. Institutional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55" w:lineRule="exact"/>
        <w:rPr>
          <w:rFonts w:ascii="Times New Roman" w:cs="Times New Roman" w:eastAsia="Times New Roman" w:hAnsi="Times New Roman"/>
          <w:sz w:val="20"/>
          <w:szCs w:val="20"/>
          <w:color w:val="auto"/>
        </w:rPr>
      </w:pPr>
    </w:p>
    <w:p>
      <w:pPr>
        <w:ind w:left="720" w:right="160" w:hanging="370"/>
        <w:spacing w:after="0" w:line="26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Market data and information vendors</w:t>
      </w:r>
      <w:r>
        <w:rPr>
          <w:rFonts w:ascii="Times New Roman" w:cs="Times New Roman" w:eastAsia="Times New Roman" w:hAnsi="Times New Roman"/>
          <w:sz w:val="20"/>
          <w:szCs w:val="20"/>
          <w:color w:val="auto"/>
        </w:rPr>
        <w:t>: Market data and information providers, such as Bloomberg, IDC (now part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ICE) and IHS Markit, have a pervasive presence across the financial trading community. Their data and pre- and post-trade analytics compete with offerings we provide to support trading on our marketplaces.</w:t>
      </w:r>
    </w:p>
    <w:p>
      <w:pPr>
        <w:spacing w:after="0" w:line="1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face intense competition from a broad range of competitors, which we expect to continue to increase in the future. See Part I, Item 1A. – “Risk Factors — Risks Relating to Market and Industry Dynamics and Competition — Failure to compete successfully could materially adversely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Proprietary Technology</w:t>
      </w:r>
    </w:p>
    <w:p>
      <w:pPr>
        <w:spacing w:after="0" w:line="2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For more than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400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17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4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55"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13" w:lineRule="exact"/>
        <w:rPr>
          <w:sz w:val="20"/>
          <w:szCs w:val="20"/>
          <w:color w:val="auto"/>
        </w:rPr>
      </w:pPr>
    </w:p>
    <w:p>
      <w:pPr>
        <w:ind w:left="720" w:right="120" w:hanging="370"/>
        <w:spacing w:after="0" w:line="259"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Nimble product development in collaboration with clients</w:t>
      </w:r>
      <w:r>
        <w:rPr>
          <w:rFonts w:ascii="Times New Roman" w:cs="Times New Roman" w:eastAsia="Times New Roman" w:hAnsi="Times New Roman"/>
          <w:sz w:val="20"/>
          <w:szCs w:val="20"/>
          <w:color w:val="auto"/>
        </w:rPr>
        <w:t>: Our approach to product development facilitates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59" w:lineRule="exact"/>
        <w:rPr>
          <w:rFonts w:ascii="Times New Roman" w:cs="Times New Roman" w:eastAsia="Times New Roman" w:hAnsi="Times New Roman"/>
          <w:sz w:val="20"/>
          <w:szCs w:val="20"/>
          <w:color w:val="auto"/>
        </w:rPr>
      </w:pPr>
    </w:p>
    <w:p>
      <w:pPr>
        <w:ind w:left="720" w:right="160" w:hanging="370"/>
        <w:spacing w:after="0" w:line="262"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Scalable architecture</w:t>
      </w:r>
      <w:r>
        <w:rPr>
          <w:rFonts w:ascii="Times New Roman" w:cs="Times New Roman" w:eastAsia="Times New Roman" w:hAnsi="Times New Roman"/>
          <w:sz w:val="20"/>
          <w:szCs w:val="20"/>
          <w:color w:val="auto"/>
        </w:rPr>
        <w:t>: Our scalable architecture was designed to address increased trading activities and evolving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55" w:lineRule="exact"/>
        <w:rPr>
          <w:rFonts w:ascii="Times New Roman" w:cs="Times New Roman" w:eastAsia="Times New Roman" w:hAnsi="Times New Roman"/>
          <w:sz w:val="20"/>
          <w:szCs w:val="20"/>
          <w:color w:val="auto"/>
        </w:rPr>
      </w:pPr>
    </w:p>
    <w:p>
      <w:pPr>
        <w:ind w:left="720" w:right="60" w:hanging="370"/>
        <w:spacing w:after="0" w:line="313"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Strong business continuity and disaster recovery planning</w:t>
      </w:r>
      <w:r>
        <w:rPr>
          <w:rFonts w:ascii="Times New Roman" w:cs="Times New Roman" w:eastAsia="Times New Roman" w:hAnsi="Times New Roman"/>
          <w:sz w:val="19"/>
          <w:szCs w:val="19"/>
          <w:color w:val="auto"/>
        </w:rPr>
        <w:t>: We continue to regularly evaluate and enhance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business continuity plans in place in the event of a significant business disruption or disaster recovery situation to ensure</w:t>
      </w:r>
    </w:p>
    <w:p>
      <w:pPr>
        <w:sectPr>
          <w:pgSz w:w="12060" w:h="15660" w:orient="portrait"/>
          <w:cols w:equalWidth="0" w:num="1">
            <w:col w:w="10420"/>
          </w:cols>
          <w:pgMar w:left="820" w:top="744" w:right="820"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060" w:h="15660" w:orient="portrait"/>
          <w:cols w:equalWidth="0" w:num="1">
            <w:col w:w="10420"/>
          </w:cols>
          <w:pgMar w:left="820" w:top="744" w:right="820" w:bottom="0" w:gutter="0" w:footer="0" w:header="0"/>
          <w:type w:val="continuous"/>
        </w:sectPr>
      </w:pPr>
    </w:p>
    <w:bookmarkStart w:id="32" w:name="page33"/>
    <w:bookmarkEnd w:id="32"/>
    <w:p>
      <w:pPr>
        <w:ind w:left="720" w:right="80"/>
        <w:spacing w:after="0" w:line="254" w:lineRule="auto"/>
        <w:rPr>
          <w:sz w:val="20"/>
          <w:szCs w:val="20"/>
          <w:color w:val="auto"/>
        </w:rPr>
      </w:pPr>
      <w:r>
        <w:rPr>
          <w:rFonts w:ascii="Times New Roman" w:cs="Times New Roman" w:eastAsia="Times New Roman" w:hAnsi="Times New Roman"/>
          <w:sz w:val="20"/>
          <w:szCs w:val="20"/>
          <w:color w:val="auto"/>
        </w:rPr>
        <w:t>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73" w:lineRule="exact"/>
        <w:rPr>
          <w:sz w:val="20"/>
          <w:szCs w:val="20"/>
          <w:color w:val="auto"/>
        </w:rPr>
      </w:pPr>
    </w:p>
    <w:p>
      <w:pPr>
        <w:ind w:left="720" w:right="60"/>
        <w:spacing w:after="0" w:line="260" w:lineRule="auto"/>
        <w:rPr>
          <w:sz w:val="20"/>
          <w:szCs w:val="20"/>
          <w:color w:val="auto"/>
        </w:rPr>
      </w:pPr>
      <w:r>
        <w:rPr>
          <w:rFonts w:ascii="Times New Roman" w:cs="Times New Roman" w:eastAsia="Times New Roman" w:hAnsi="Times New Roman"/>
          <w:sz w:val="20"/>
          <w:szCs w:val="20"/>
          <w:color w:val="auto"/>
        </w:rPr>
        <w:t>We also maintain redundant networks, hardware, data centers and alternate operational facilities to address interruptions. We have twelve datacenters across the United States, the UK, Japan and Australia. Our data center infrastructure is designed to be resilient and responsive with built-in redundancies. Some of our solutions, including the ICD Portal, are hosted in the cloud with similar redundancies and resiliency plans.</w:t>
      </w:r>
    </w:p>
    <w:p>
      <w:pPr>
        <w:spacing w:after="0" w:line="159" w:lineRule="exact"/>
        <w:rPr>
          <w:sz w:val="20"/>
          <w:szCs w:val="20"/>
          <w:color w:val="auto"/>
        </w:rPr>
      </w:pPr>
    </w:p>
    <w:p>
      <w:pPr>
        <w:ind w:left="720" w:right="100" w:hanging="370"/>
        <w:spacing w:after="0" w:line="254"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Ongoing security, system monitoring and alerting</w:t>
      </w:r>
      <w:r>
        <w:rPr>
          <w:rFonts w:ascii="Times New Roman" w:cs="Times New Roman" w:eastAsia="Times New Roman" w:hAnsi="Times New Roman"/>
          <w:sz w:val="20"/>
          <w:szCs w:val="20"/>
          <w:color w:val="auto"/>
        </w:rPr>
        <w:t>: We prioritize security throughout our platforms, operations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a combination of ISO/ICE 27001 principles, the National Institute of Standards and Technology Cybersecurity Framework, regulatory mandates and industry best practices. Our Chief Information Security Officer leads a qualified cybersecurity team in assessing, managing and reducing material risks from cybersecurity threats to protect critical operations and delivery of service. We continuously monitor connectivity, and our global operations team is alerted if there are any suspect events. See Part I, Item 1C. – “Cybersecurity – Governance” for further detail regarding our cybersecurity risk management, strategy and governance structure.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0"/>
          <w:szCs w:val="20"/>
          <w:color w:val="auto"/>
        </w:rPr>
        <w:t>Like most companies that develop technology in-house, we rely upon a combination of copyright, patent, trade secret and trademark laws, written agreements and common law to protect our proprietary technology, processes and other intellectual property.</w:t>
      </w:r>
    </w:p>
    <w:p>
      <w:pPr>
        <w:spacing w:after="0" w:line="1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To that end, we have patents or patents pending in the United States and other jurisdictions covering significant trading protocols and other aspects of our trading system technology.</w:t>
      </w:r>
    </w:p>
    <w:p>
      <w:pPr>
        <w:spacing w:after="0" w:line="14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“Tradeweb Direct” and “ICD.”</w:t>
      </w:r>
    </w:p>
    <w:p>
      <w:pPr>
        <w:spacing w:after="0" w:line="16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Many aspects of our business are subject to regulation in a number of jurisdictions, including the United States, the UK, the Netherlands, France, Germany, Switzerland, Portugal, Japan, Hong Kong, China, Singapore, Australia and the Dubai International Financial Centre (“DIFC”), among others.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 including by imposing costs in the form of increased compliance, personnel, and technology needs in order to comply with relevant laws and regulations.</w:t>
      </w:r>
    </w:p>
    <w:p>
      <w:pPr>
        <w:spacing w:after="0" w:line="1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060" w:h="15660" w:orient="portrait"/>
          <w:cols w:equalWidth="0" w:num="1">
            <w:col w:w="10420"/>
          </w:cols>
          <w:pgMar w:left="820" w:top="748" w:right="820" w:bottom="0" w:gutter="0" w:footer="0" w:header="0"/>
          <w:type w:val="continuous"/>
        </w:sectPr>
      </w:pPr>
    </w:p>
    <w:bookmarkStart w:id="33" w:name="page34"/>
    <w:bookmarkEnd w:id="33"/>
    <w:p>
      <w:pPr>
        <w:ind w:right="200"/>
        <w:spacing w:after="0" w:line="281" w:lineRule="auto"/>
        <w:rPr>
          <w:sz w:val="20"/>
          <w:szCs w:val="20"/>
          <w:color w:val="auto"/>
        </w:rPr>
      </w:pPr>
      <w:r>
        <w:rPr>
          <w:rFonts w:ascii="Times New Roman" w:cs="Times New Roman" w:eastAsia="Times New Roman" w:hAnsi="Times New Roman"/>
          <w:sz w:val="20"/>
          <w:szCs w:val="20"/>
          <w:color w:val="auto"/>
        </w:rPr>
        <w:t>handling of material non-public information, safeguarding data, capital requirements, reporting, record retention, market access, licensing of employees and the conduct of officers, employees and other associated persons.</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including as a result of the recent change in U.S. administration and Congress.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7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auto"/>
        </w:rPr>
        <w:t>The CFTC is the federal agency primarily responsible for the administration of federal laws governing activities relating to futures, swaps and other derivatives (but excluding security-based swaps) including the adoption and administration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Following the 2008 financial crisis, legislators and regulators in the United States adopted new laws and regulations, including the Dodd-Frank Act, the Volcker Rule and additional bank capital and liquidity requirements.</w:t>
      </w:r>
    </w:p>
    <w:p>
      <w:pPr>
        <w:spacing w:after="0" w:line="1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w:t>
      </w:r>
    </w:p>
    <w:p>
      <w:pPr>
        <w:sectPr>
          <w:pgSz w:w="12060" w:h="15660" w:orient="portrait"/>
          <w:cols w:equalWidth="0" w:num="1">
            <w:col w:w="10420"/>
          </w:cols>
          <w:pgMar w:left="820" w:top="748" w:right="820" w:bottom="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060" w:h="15660" w:orient="portrait"/>
          <w:cols w:equalWidth="0" w:num="1">
            <w:col w:w="10420"/>
          </w:cols>
          <w:pgMar w:left="820" w:top="748" w:right="820" w:bottom="0" w:gutter="0" w:footer="0" w:header="0"/>
          <w:type w:val="continuous"/>
        </w:sectPr>
      </w:pPr>
    </w:p>
    <w:bookmarkStart w:id="34" w:name="page35"/>
    <w:bookmarkEnd w:id="34"/>
    <w:p>
      <w:pPr>
        <w:ind w:right="220"/>
        <w:spacing w:after="0" w:line="260" w:lineRule="auto"/>
        <w:rPr>
          <w:sz w:val="20"/>
          <w:szCs w:val="20"/>
          <w:color w:val="auto"/>
        </w:rPr>
      </w:pPr>
      <w:r>
        <w:rPr>
          <w:rFonts w:ascii="Times New Roman" w:cs="Times New Roman" w:eastAsia="Times New Roman" w:hAnsi="Times New Roman"/>
          <w:sz w:val="20"/>
          <w:szCs w:val="20"/>
          <w:color w:val="auto"/>
        </w:rPr>
        <w:t>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SEC is charged with adopting and administering the regulatory regime for “security-based swaps” (generally, swaps based on certain types of securities or loans or groups thereof). In late 2023, the SEC adopted registration requirements for entities that act as security-based swap execution facilities (“SBSEFs”). We submitted an SBSEF application to the SEC in August 2024. The application was approved on January 29, 2025, which commenced a 30-day implementation period. We anticipate that implementation of these requirements will be substantially similar to requirements implemented as a result of operating as a CFTC-registered SEF, but the implementation will likely result in new challenges and oversight risk.</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SEC also adopted final rules on December 13, 2023 regarding central clearing of certain secondary market repurchase and reverse repurchase transactions and secondary market purchase and sale transactions involving U.S. Treasury securities. The new clearing requirements are currently scheduled to go into effect at the end of 2025 (for cash trading) and June 2026 (for repurchase transactions). Although the final rule was more limited in scope than the proposal, this central clearing mandate will impact certain market participants who do not clear today, and some have expressed concerns about the potential impact of additional clearing costs that may impact liquidity. While we expect this change will increase our own platform efficiency and potentially create greater electronification of trading, it is still unknown at this time the full impact of this change, and what effect it will have, whether positive or negative, on our industry, our clients or us. It is further uncertain as to whether new SEC leadership will change aspects of the final rules (including through its authority over clearinghouses and the rules they adopt) or abandon the final rules entirely.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The regulatory environment in the U.S. continues to evolve and while some legislation to roll-back key pieces of the Dodd-Frank Act has been passed (and more could potentially follow in 2025) in an effort to loosen certain regulatory restrictions on financial institutions, the industry continues to be more heavily regulated than it was prior to the 2008 financial crisis and we expect continued significant activity at the SEC and CFTC, though with the potential for major changes in priorities under new leadership in 2025. For example, the SEC has recently conducted a review of the regulatory framework for fixed-income electronic trading platforms for the purpose of evaluating the potential regulatory gaps that may exist among such platforms, including ours, with respect to access to markets, system integrity, surveillance, and transparency, among other things. In recent years, the SEC also has proposed rules that would expand Regulation ATS and Regulation SCI to capture ATS’s that trade government securities and amend the SEC rule regarding defining “exchange” to include Communication Protocol Systems, such as our RFQ protocols. In April 2023, the SEC proposed separate, specific rules that would update the requirements of Regulation SCI and expand the number and types of entities that must comply with Regulation SCI. In connection with these proposed rules, we expect that we will have to operate additional trading protocols in compliance with Regulation ATS and Regulation SCI. It is unknown at this time to what extent new legislation will be passed into law or whether pending or new regulatory proposals will be adopted, abandoned or modified, or what effect such passage, adoption, abandonment or modification will have, whether positive or negative, on our industry, our clients or us. This uncertainty may be more pronounced during periods following changes in political or regulatory priorities, such as the recent change in U.S. administration and Congress, which may lead to material changes to prior laws, rules and regulations, guidance and enforcement stances.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Non-U.S. Regulation</w:t>
      </w:r>
    </w:p>
    <w:p>
      <w:pPr>
        <w:spacing w:after="0" w:line="2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 the Dubai Financial Services Authority (the “DFSA”) in the DIFC, the Abu Dhabi Global Market (“ADGM”) in Abu Dhabi and the Comissão do Mercado de Valores Mobiliários (“CMVM”) in Portugal.</w:t>
      </w:r>
    </w:p>
    <w:p>
      <w:pPr>
        <w:spacing w:after="0" w:line="1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060" w:h="15660" w:orient="portrait"/>
          <w:cols w:equalWidth="0" w:num="1">
            <w:col w:w="10420"/>
          </w:cols>
          <w:pgMar w:left="820" w:top="748" w:right="820" w:bottom="0" w:gutter="0" w:footer="0" w:header="0"/>
          <w:type w:val="continuous"/>
        </w:sectPr>
      </w:pPr>
    </w:p>
    <w:bookmarkStart w:id="35" w:name="page36"/>
    <w:bookmarkEnd w:id="35"/>
    <w:p>
      <w:pPr>
        <w:ind w:right="360"/>
        <w:spacing w:after="0" w:line="281" w:lineRule="auto"/>
        <w:rPr>
          <w:sz w:val="20"/>
          <w:szCs w:val="20"/>
          <w:color w:val="auto"/>
        </w:rPr>
      </w:pPr>
      <w:r>
        <w:rPr>
          <w:rFonts w:ascii="Times New Roman" w:cs="Times New Roman" w:eastAsia="Times New Roman" w:hAnsi="Times New Roman"/>
          <w:sz w:val="20"/>
          <w:szCs w:val="20"/>
          <w:color w:val="auto"/>
        </w:rPr>
        <w:t>Subject to section 178 of FSMA, individuals or companies that seek to acquire or increase their control in a firm that the FCA regulates is required to obtain prior approval from the FCA.</w:t>
      </w:r>
    </w:p>
    <w:p>
      <w:pPr>
        <w:spacing w:after="0" w:line="1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6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Much of our derivatives volume continues to be executed by non-U.S. based clients outside the United States and is subject to local regulations. In particular, the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including the fixed income and derivative markets, designed to facilitate more efficient markets and greater transparency for participants.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During 2023, the European Securities and Markets Authority (“ESMA”), the EU’s financial markets regulator and supervisor, announced a shift in its Union Strategic Supervisory Priorities (“USSPs”), introducing cyber risk and digital resilience as key areas of focus alongside environmental, social and governance disclosures. The USSPs are an important tool through which ESMA coordinates and focuses supervisory action with national competent authorities (“NCAs”) across the EU on specific topics. The strategy takes into account the key priorities of the EU in the area of financial services and aims to address the most significant risks linked to EU financial markets. It is structured around the following key areas: effective financial markets and financial stability, supervision and supervisory convergence, retail investor protection, sustainable finance and technological innovation and increased use of data. With this new priority, EU supervisors will put greater emphasis on reinforcing firms’ information and communication technology (“ICT”) risk management surrounding the use of financial technology systems (including but not limited to trading venue technologies) through close monitoring and supervisory actions, building new supervisory capacity and expertise. The new USSPs came into effect in January 2025, at the same time as the Digital Operational Resilience Act.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Digital Operational Resilience Act (“DORA”) is a new EU framework which aims to enhance and harmonize the digital operational resilience and cyber security of entities across the EU financial sector. Under DORA, beginning in January 2025, our entities in the EU, namely Tradeweb EU B.V. and Tradeweb Execution Services B.V., were required to adopt a broader business view of resilience, with accountability clearly established at the senior management level. DORA consists of the following key pillars: ICT risk management requirements, reporting of ICT incidents, testing programs covering ICT tools, systems and processes, ICT third party risk management and an oversight framework for critical ICT third-party service providers. In response, and where necessary, effective in January 2025, relevant third-party risk management and incident reporting policies and procedure documents were created or updated to address the requirements of DORA. The implementation of DORA in January 2025 represents a key delivery of the EU’s strategic initiatives and supervisors will assess compliance with DORA as part of their efforts to achieve the USSP’s broader strategic goals. For the rest of 2025 and into 2026, we expect NCAs will continue to implement and monitor the focus areas outlined in the USSPs, adjusting their supervisory approaches as necessary to address emerging risks and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2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2024,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 of Tradeweb Entities</w:t>
      </w:r>
    </w:p>
    <w:p>
      <w:pPr>
        <w:spacing w:after="0" w:line="21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Our operations span jurisdictions across North America, South America, Europe, the Middle East and the Asia Pacific region, and we operate through various regulated entities. The current regulatory status of our regulated entities is described below.</w:t>
      </w:r>
    </w:p>
    <w:p>
      <w:pPr>
        <w:sectPr>
          <w:pgSz w:w="12060" w:h="15660" w:orient="portrait"/>
          <w:cols w:equalWidth="0" w:num="1">
            <w:col w:w="10420"/>
          </w:cols>
          <w:pgMar w:left="820" w:top="748" w:right="820" w:bottom="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060" w:h="15660" w:orient="portrait"/>
          <w:cols w:equalWidth="0" w:num="1">
            <w:col w:w="10420"/>
          </w:cols>
          <w:pgMar w:left="820" w:top="748" w:right="820" w:bottom="0" w:gutter="0" w:footer="0" w:header="0"/>
          <w:type w:val="continuous"/>
        </w:sectPr>
      </w:pPr>
    </w:p>
    <w:bookmarkStart w:id="36" w:name="page37"/>
    <w:bookmarkEnd w:id="36"/>
    <w:p>
      <w:pPr>
        <w:jc w:val="both"/>
        <w:ind w:left="10" w:right="40"/>
        <w:spacing w:after="0" w:line="260" w:lineRule="auto"/>
        <w:rPr>
          <w:sz w:val="20"/>
          <w:szCs w:val="20"/>
          <w:color w:val="auto"/>
        </w:rPr>
      </w:pPr>
      <w:r>
        <w:rPr>
          <w:rFonts w:ascii="Times New Roman" w:cs="Times New Roman" w:eastAsia="Times New Roman" w:hAnsi="Times New Roman"/>
          <w:sz w:val="20"/>
          <w:szCs w:val="20"/>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63"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Dealerweb Inc. is a SEC-registered broker-dealer, operates an ATS and is a member of FINRA and MSRB. Dealerweb Inc. is also a CFTC-registered introducing broker and a member of NFA, is recognized as a foreign trading venue in Switzerland and is a Recognized Body of the DFSA. Dealerweb relies on the international dealer exemption in the Canadian provinces of Ontario, Quebec and Nova Scotia and the ATS Order Exemption for Ontario, Quebec and Nova Scotia. Effective on January 2, 2025, Dealerweb Inc. merged with and into Dealerweb LLC, with Dealerweb LLC being the surviving entity.</w:t>
      </w:r>
    </w:p>
    <w:p>
      <w:pPr>
        <w:spacing w:after="0" w:line="164" w:lineRule="exact"/>
        <w:rPr>
          <w:sz w:val="20"/>
          <w:szCs w:val="20"/>
          <w:color w:val="auto"/>
        </w:rPr>
      </w:pPr>
    </w:p>
    <w:p>
      <w:pPr>
        <w:ind w:left="10" w:right="440"/>
        <w:spacing w:after="0" w:line="266" w:lineRule="auto"/>
        <w:rPr>
          <w:sz w:val="20"/>
          <w:szCs w:val="20"/>
          <w:color w:val="auto"/>
        </w:rPr>
      </w:pPr>
      <w:r>
        <w:rPr>
          <w:rFonts w:ascii="Times New Roman" w:cs="Times New Roman" w:eastAsia="Times New Roman" w:hAnsi="Times New Roman"/>
          <w:sz w:val="20"/>
          <w:szCs w:val="20"/>
          <w:color w:val="auto"/>
        </w:rPr>
        <w:t>Tradeweb Direct LLC is a SEC registered broker-dealer, operates an ATS and is a member of FINRA and MSRB. Tradeweb Direct LLC also relies on the Ontario Securities Commission International Dealer Exemption in the Canadian provinces of Ontario and Quebec, is registered as an exempt firm with the AFM and is a Recognized Body of the DFSA.</w:t>
      </w:r>
    </w:p>
    <w:p>
      <w:pPr>
        <w:spacing w:after="0" w:line="155"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Institutional Cash Distributors, LLC (“ICDLC”), acquired in August 2024, is a SEC registered broker-dealer and a member of FINRA. ICDLC relies on the international dealer exemption in the Canadian provinces of Alberta, British Columbia, Nova Scotia, Ontario, Quebec and Saskatchewan.</w:t>
      </w:r>
    </w:p>
    <w:p>
      <w:pPr>
        <w:spacing w:after="0" w:line="155"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Tradeweb Europe Limited is authorized and regulated in the UK by the FCA as a MiFID Investment Firm. It has permissions to operate a Multilateral Trading Facility (“MTF”), an Organized Trading Facility (“OTF”) and an APA. Tradeweb Europe Limited is also regulated by ASIC and holds an Overseas Australian Market Operator License, is a recognized foreign trading venue by FINMA in Switzerland and is recognized as a Remote Body by the ADGM. In January 2022, Tradeweb Europe obtained a license to provide direct market access to trading participants (Handelsteilnehmer) domiciled in Germany via an electronic trading system pursuant to section 102(1) of the German Securities Trading Act (Wertpapierhandelsgesetz – WpHG).</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Singapore branch of Tradeweb Europe Limited is regulated by the MAS as a Recognised Market Operator (“RMO”).</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Hong Kong branch of Tradeweb Europe Limited is regulated by the SFC as an Automated Trading Service.</w:t>
      </w:r>
    </w:p>
    <w:p>
      <w:pPr>
        <w:spacing w:after="0" w:line="210" w:lineRule="exact"/>
        <w:rPr>
          <w:sz w:val="20"/>
          <w:szCs w:val="20"/>
          <w:color w:val="auto"/>
        </w:rPr>
      </w:pPr>
    </w:p>
    <w:p>
      <w:pPr>
        <w:ind w:left="10" w:right="300"/>
        <w:spacing w:after="0" w:line="260" w:lineRule="auto"/>
        <w:rPr>
          <w:sz w:val="20"/>
          <w:szCs w:val="20"/>
          <w:color w:val="auto"/>
        </w:rPr>
      </w:pPr>
      <w:r>
        <w:rPr>
          <w:rFonts w:ascii="Times New Roman" w:cs="Times New Roman" w:eastAsia="Times New Roman" w:hAnsi="Times New Roman"/>
          <w:sz w:val="20"/>
          <w:szCs w:val="20"/>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63"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auto"/>
        </w:rPr>
        <w:t>TW SEF LLC is a CFTC-registered SEF. TW SEF LLC is formally exempt from registration as an exchange in the Canadian provinces of Alberta, Ontario, Nova Scotia and Quebec and is recognized as a foreign trading venue in Switzerland. TW SEF LLC is approved and regulated by ASIC as an Overseas Australian Market Operator Licensee, recognized as Foreign Trading Venue in Mexico, is a Recognized Body of the DFSA and is recognized as a Remote Body by the ADGM. On January 29, 2025, TW SEF LLC was approved by the SEC to be a registered SBSEF.</w:t>
      </w:r>
    </w:p>
    <w:p>
      <w:pPr>
        <w:spacing w:after="0" w:line="164"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DW SEF LLC is a CFTC-registered SEF. DW SEF LLC is formally exempt from registration in the Canadian provinces of Ontario, Nova Scotia and Quebec and is recognized as a foreign trading venue in Switzerland.</w:t>
      </w:r>
    </w:p>
    <w:p>
      <w:pPr>
        <w:spacing w:after="0" w:line="141" w:lineRule="exact"/>
        <w:rPr>
          <w:sz w:val="20"/>
          <w:szCs w:val="20"/>
          <w:color w:val="auto"/>
        </w:rPr>
      </w:pPr>
    </w:p>
    <w:p>
      <w:pPr>
        <w:ind w:left="10" w:right="60"/>
        <w:spacing w:after="0" w:line="271" w:lineRule="auto"/>
        <w:rPr>
          <w:sz w:val="20"/>
          <w:szCs w:val="20"/>
          <w:color w:val="auto"/>
        </w:rPr>
      </w:pPr>
      <w:r>
        <w:rPr>
          <w:rFonts w:ascii="Times New Roman" w:cs="Times New Roman" w:eastAsia="Times New Roman" w:hAnsi="Times New Roman"/>
          <w:sz w:val="19"/>
          <w:szCs w:val="19"/>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w:t>
      </w:r>
    </w:p>
    <w:p>
      <w:pPr>
        <w:ind w:left="10" w:right="120" w:hanging="10"/>
        <w:spacing w:after="0" w:line="260" w:lineRule="auto"/>
        <w:tabs>
          <w:tab w:leader="none" w:pos="3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member of the JSDA, which is an authorized self-regulatory body under the Financial Instruments and Exchange Law of Japan, the governing law of the financial services industry in Japan.</w:t>
      </w:r>
    </w:p>
    <w:p>
      <w:pPr>
        <w:spacing w:after="0" w:line="162"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Tradeweb EU B.V. is authorized and regulated by the DNB and AFM as a MiFID Investment Firm with permissions to operate an MTF and an OTF. Tradeweb EU B.V. passports its permissions under MiFID and accordingly provides services throughout the EU and the European Economic Area (“EEA”). Tradeweb EU B.V. is also regulated by ASIC and holds an Overseas Australian Market Operator License, is a recognized foreign trading venue by FINMA in Switzerland and is recognized as a Remote Body by the ADGM.</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Paris branch of Tradeweb EU B.V. is supervised by the ACPR.</w:t>
      </w:r>
    </w:p>
    <w:p>
      <w:pPr>
        <w:spacing w:after="0" w:line="210"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Tradeweb Execution Services Limited is authorized and regulated in the UK by the FCA as an Investment Firm (“BIPRU Firm”) and holds an exemption from ASIC from having to hold an Australian financial services license.</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27</w:t>
      </w:r>
    </w:p>
    <w:p>
      <w:pPr>
        <w:sectPr>
          <w:pgSz w:w="12060" w:h="15660" w:orient="portrait"/>
          <w:cols w:equalWidth="0" w:num="1">
            <w:col w:w="10430"/>
          </w:cols>
          <w:pgMar w:left="810" w:top="748" w:right="820" w:bottom="0" w:gutter="0" w:footer="0" w:header="0"/>
          <w:type w:val="continuous"/>
        </w:sectPr>
      </w:pPr>
    </w:p>
    <w:bookmarkStart w:id="37" w:name="page38"/>
    <w:bookmarkEnd w:id="37"/>
    <w:p>
      <w:pPr>
        <w:ind w:right="120"/>
        <w:spacing w:after="0" w:line="281" w:lineRule="auto"/>
        <w:rPr>
          <w:sz w:val="20"/>
          <w:szCs w:val="20"/>
          <w:color w:val="auto"/>
        </w:rPr>
      </w:pPr>
      <w:r>
        <w:rPr>
          <w:rFonts w:ascii="Times New Roman" w:cs="Times New Roman" w:eastAsia="Times New Roman" w:hAnsi="Times New Roman"/>
          <w:sz w:val="20"/>
          <w:szCs w:val="20"/>
          <w:color w:val="auto"/>
        </w:rPr>
        <w:t>Tradeweb Execution Services B.V. is authorized and regulated by the AFM as a MiFID investment firm with permission to trade on a matched principal basis.</w:t>
      </w:r>
    </w:p>
    <w:p>
      <w:pPr>
        <w:spacing w:after="0" w:line="14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Tradeweb Australia Pty Ltd (formerly Yieldbroker Pty Limited), acquired in August 2023, is a Tier 1 Australian Markets Licensee in Australia, regulated by the ASIC, that maintains an authorization in Singapore by the MAS as a Regulated Market Operator. Tradeweb Australia Pty Ltd changed its name from Yieldbroker Pty Limited in January 2024.</w:t>
      </w:r>
    </w:p>
    <w:p>
      <w:pPr>
        <w:spacing w:after="0" w:line="15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Tradeweb (DIFC) Limited is an Authorized Firm regulated by the DFSA with a license for “arranging deals in investments” for users to access our various trading venues that are also separately recognized by the DFSA.</w:t>
      </w:r>
    </w:p>
    <w:p>
      <w:pPr>
        <w:spacing w:after="0" w:line="1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Institutional Cash Distributors Limited (“ICDLT”), acquired in August 2024, is authorized and regulated in the UK by the FCA in the provision of intermediary services.</w:t>
      </w:r>
    </w:p>
    <w:p>
      <w:pPr>
        <w:spacing w:after="0" w:line="14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ICD Europa - Empresa de Investimento, S.A. (“ICDEU”), acquired on August 1, 2024, is regulated by the Comissão do Mercado de Valores Mobiliários in Portugal as an investment firm.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1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an inclusive and safe workplace. We firmly believe that a cared-for, proud, and inclusive workforce will power our innovation into the future. We strive to provide opportunities for our employees to grow and develop in their careers, supported by strong compensation, benefits and health and wellness programs, and by initiatives that build connections between our employees and the communities in which we operate.</w:t>
      </w:r>
    </w:p>
    <w:p>
      <w:pPr>
        <w:spacing w:after="0" w:line="16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2024, we had 1,412 employees, 1,000 of whom were based in the United States and 412 of whom were based outside of the United States. As of December 31, 2023, we had 1,179 employees globally. None of our employees are represented by a labor union. We consider our relationships with our employees to be good and have not experienced any interruptions of operations due to labor disagreements.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Inclusion and Retention</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strive to create a company culture where all employees feel that they belong and are included so that our teams can deliver at the highest levels. We focus on inclusivity through building an environment where employees feel that they are heard, that their experiences and opinions matter, that they are represented and acknowledged, that social issues and a range of human experience topics are given a platform for discussion and learning, and by creating a safe space where employees know they are valued and respected.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Our commitment to DE&amp;I also includes partnerships with organizations globally, including StreetWise Partners, Women’s Bond Club, TEAK Fellowship, Council of Urban Professionals, Rewriting the Code and Rock the Street, Wall Street in the U.S., and SEO, Big City Bright Future and Cowrie Scholarship Foundation in the UK. We believe that a culture of inclusion is foundational to having a workforce that is proud and motivated to contribute and to build their career at Tradeweb. Retention is bolstered not only through creating an environment where employees feel a sense of belonging, but also by providing employees with competitive and comprehensive compensation, benefits and perks.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Well-Being</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success of our business is fundamentally connected to the health, safety and wellness of our employees. We provide an evolving package of benefits and perks to employees (which varies by country and region), aiming to ensure our employees have access to comprehensive care relating to their physical and mental health and their family planning needs, as well as adequate time out of office for personal, vacation, sick and bereavement leave needs. Some examples of the initiatives we provide in certain countries include post-birth parental and adoptive parent leave, financial assistance in connection with eligible fertility treatment, adoption and surrogacy expenses, health and wellness speaker series, health club discounts and subsidized memberships and virtual health visits.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060" w:h="15660" w:orient="portrait"/>
          <w:cols w:equalWidth="0" w:num="1">
            <w:col w:w="10420"/>
          </w:cols>
          <w:pgMar w:left="820" w:top="748" w:right="82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provide robust compensation and benefits programs to help attract and retain talent and to meet the needs of our employees. In addition to salaries, these programs (which vary by country or region) include annual bonuses, stock awards, retirement savings plans, healthcare and insurance benefits, health savings and flexible spending accounts, paid time off, family leave (including equal minimum leave for all new parents), family care resources, flexible work schedules,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key personnel, particularly those with strong product and functional knowledge and/or critical technology and engineering skills and experience.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invest significant resources to develop and retain the talent needed to continue to build our position as a global leader in electronic marketplaces. We are focused on providing continuous opportunities for our employees to garner new knowledge and skills. Events and resources such as product and business updates, as well as other programs such as Lunch &amp; Learns and Tradeweb U(niversity), which provides education courses on financial topics, are aimed at sharing information and improving our collective understanding of our industry and our clients’ needs. We sponsor a competitive summer internship program, from which we often make full-time hires, and provide assistance with numerous professional courses and qualifications through our tuition reimbursement program.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the Global Diversity Equity &amp; Inclusion Network, the Tradeweb Cares Committee, the Sustainability Action Network and the Working Parents Network.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Involvement and Philanthropy</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believe that with success comes the responsibility to give back and to lift up the communities in which we live and work. We bring these opportunities to our employees through our philanthropy group, Tradeweb Cares, which focuses on corporate philanthropic partnerships, employee volunteerism, and supporting the Tradeweb Matching Donation program, which provides a match of qualifying charitable contributions by our employees of up to $1,000 per year, per employee. We partner with many organizations around the world that are focused on the four pillars of our philanthropy strategy: ensuring equitable access to quality education and economic opportunity for all, supporting environmental conservation efforts to restore our planet, enriching and empowering social mobility in the communities where we live and work, and providing access to healthcare and disease prevention for our society’s most vulnerable.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Sustainability</w:t>
      </w:r>
    </w:p>
    <w:p>
      <w:pPr>
        <w:spacing w:after="0" w:line="2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Our approach to sustainability is rooted in identifying opportunities for leadership in our industry, integrating principles of sustainability into our business and operations decision making, and sharing our progress in our external reporting in a way that is decision-useful and meaningful. In August 2024, we published our fourth annual Corporate Sustainability Report, which reports on our sustainability goals and priorities as well as our progress towards those goals during calendar year 2023.</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060" w:h="15660" w:orient="portrait"/>
          <w:cols w:equalWidth="0" w:num="1">
            <w:col w:w="10420"/>
          </w:cols>
          <w:pgMar w:left="820" w:top="739" w:right="82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The Environment</w:t>
      </w: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While our business involves limited direct environmental risks, we will endeavor to make our operations and impact more sustainable over time. Our primary environmental goals have been to reduce our overall energy consumption and emissions where possible, and to move toward renewable energy coverage or direct sourcing of renewable energy to net our Scope 2 market-based emissions to zero. To that end, in 2024, we reached 100% coverage of our global energy usage with renewables. Where energy usage was not already covered or powered by renewables at our leased office spaces and data centers, we purchased energy attribute certificates to cover our remaining energy usage 100% with renewables for 2024. We also responded to Carbon Disclosure Project (“CDP”) for the second time, and published our second Taskforce on Climate-Related Financial Disclosure (“TCFD”) report, each in 2024.</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By partnering with CBI, we aim to promote the visibility and accessibility of Green Bond trading activity across a wide range of asset classes, and leverage CBI data to provide transparency and clarity around the Green Bond trading volumes and trends on our platforms. In 2024, CBI-screened Green Bond trading accounted for $431.8 billion of the total $452.5 billion in global Green Bond trading volume executed on Tradeweb (excluding ETF). This represents a trading volume increase of 45% from 2023, calculated using CBI-screened Green Bond alignment based on the CBI definition of ‘Green’ as of December 31, 2024 for both the 2024 and 2023 comparative period. We provide Green Bond highlights across our institutional platform, including global credit, European government bonds, supranationals, repurchase agreements, China bonds and convertibles, and have Green Bond search tools across asset classes on Tradeweb Direct, our retail platform. We plan to continually increase the data available to our clients around Green Bonds, and are currently working to integrate additional CBI data for Social Bonds and Sustainability Bonds.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People and Communities</w:t>
      </w:r>
    </w:p>
    <w:p>
      <w:pPr>
        <w:spacing w:after="0" w:line="2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an inclusive workforce, please see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Human Capital”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Governance</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invested in strong and well-established governance structures across our global enterprise, led by a Board of Directors that is deeply experienced in our business and highly focused on advancing our sustainability strategies across the company. As part of that commitment, during 2020, we established an ESG Steering Committee comprised of senior level executives covering major business directives across the company. The ESG Steering Committee is an advisory board assembled to guide our focus, and ensure delivery on our thoughtful approach to integrating our sustainability strategy into our business and operations. To support the implementation of our sustainability strategy, a dedicated team was formed and has expanded to meet the needs of our growing strategy. The team head reports directly into our senior executive leadership team, which provides critical support for the integration of these initiatives across our business. At the Board level, the Nominating and Corporate Governance Committee is responsible for sustainability oversight and guidance. The Compensation Committee has responsibility for oversight of human capital-related topics, including diversity, equity, and inclusion, and the Audit and Risk Committee has responsibility for oversight of external reporting of climate-related disclosures.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060" w:h="15660" w:orient="portrait"/>
          <w:cols w:equalWidth="0" w:num="1">
            <w:col w:w="10420"/>
          </w:cols>
          <w:pgMar w:left="820" w:top="739" w:right="82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Our Organizational Structure</w:t>
      </w:r>
    </w:p>
    <w:p>
      <w:pPr>
        <w:spacing w:after="0" w:line="2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LSEG Transaction</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On January 29, 2021, LSEG completed its acquisition of the Refinitiv business (currently referred to by LSEG as LSEG Data &amp; Analytics) from a consortium, including certain investment funds affiliated with Blackstone as well as Thomson Reuters, in an all share transaction.</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Following the consummation of the LSEG Transaction, LSEG became the controlling shareholder of Refinitiv and Refinitiv continued to be the controlling shareholder of Tradeweb, holding approximately 89.9% of our combined voting power as of December 31, 2024. Tradeweb remained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We maintain a market data license agreement with LSEG, which was amended and restated effective as of November 1, 2023. The non-compete period applicable to Refinitiv in their restrictive covenant agreement with us was terminated as of January 29,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ectPr>
          <w:pgSz w:w="12060" w:h="15660" w:orient="portrait"/>
          <w:cols w:equalWidth="0" w:num="1">
            <w:col w:w="10380"/>
          </w:cols>
          <w:pgMar w:left="820" w:top="7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31</w:t>
      </w:r>
    </w:p>
    <w:p>
      <w:pPr>
        <w:sectPr>
          <w:pgSz w:w="12060" w:h="15660" w:orient="portrait"/>
          <w:cols w:equalWidth="0" w:num="1">
            <w:col w:w="10380"/>
          </w:cols>
          <w:pgMar w:left="820" w:top="741" w:right="86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principal factors that make an investment in our Class A common stock speculative or risky.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34"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market conditions may reduce trading volumes.</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compete successfully.</w:t>
      </w:r>
    </w:p>
    <w:p>
      <w:pPr>
        <w:spacing w:after="0" w:line="10"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adapt our business effectively to keep pace with industry and technological changes, we may not be able to compete effectively.</w:t>
      </w: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and development of artificial intelligence and blockchain technologies may not be successful.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consolidation and concentration in the financial services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34" w:lineRule="exact"/>
        <w:rPr>
          <w:sz w:val="20"/>
          <w:szCs w:val="20"/>
          <w:color w:val="auto"/>
        </w:rPr>
      </w:pPr>
    </w:p>
    <w:p>
      <w:pPr>
        <w:ind w:left="720" w:right="60" w:hanging="370"/>
        <w:spacing w:after="0" w:line="252"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our dealer clients to support our marketplaces by transacting with our other institutional, wholesale and retail clients.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long-term contractual arrangements with certain of our clients.</w:t>
      </w:r>
    </w:p>
    <w:p>
      <w:pPr>
        <w:spacing w:after="0" w:line="10" w:lineRule="exact"/>
        <w:rPr>
          <w:rFonts w:ascii="Times New Roman" w:cs="Times New Roman" w:eastAsia="Times New Roman" w:hAnsi="Times New Roman"/>
          <w:sz w:val="20"/>
          <w:szCs w:val="20"/>
          <w:color w:val="auto"/>
        </w:rPr>
      </w:pPr>
    </w:p>
    <w:p>
      <w:pPr>
        <w:ind w:left="720" w:right="16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if we are unable to maintain and grow the capacity of our trading platforms, systems and infrastructure.</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design defects, errors, failures or delays with our platforms or solutions.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conduct our business may be impacted by unforeseen, catastrophic or uncontrollable events.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results may fluctuate significantly.</w:t>
      </w:r>
    </w:p>
    <w:p>
      <w:pPr>
        <w:spacing w:after="0" w:line="1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retain our senior management team or the inability to attract and retain qualified personnel could materially adversely impact our ability to operate or grow our business.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damage to our reputation or brand.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 charges for our goodwill and other indefinite-lived intangible assets.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achieve our sustainability goals.</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Cryptocurrency and other digital assets are an emerging asset class that carries unique risk, including the risk of financial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34"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maintain our current level of business or execute our growth plan.</w:t>
      </w:r>
    </w:p>
    <w:p>
      <w:pPr>
        <w:spacing w:after="0" w:line="13"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w:t>
      </w: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undertake acquisitions or divestitures, which may not be successful.</w:t>
      </w:r>
    </w:p>
    <w:p>
      <w:pPr>
        <w:spacing w:after="0" w:line="10" w:lineRule="exact"/>
        <w:rPr>
          <w:rFonts w:ascii="Times New Roman" w:cs="Times New Roman" w:eastAsia="Times New Roman" w:hAnsi="Times New Roman"/>
          <w:sz w:val="20"/>
          <w:szCs w:val="20"/>
          <w:color w:val="auto"/>
        </w:rPr>
      </w:pPr>
    </w:p>
    <w:p>
      <w:pPr>
        <w:ind w:left="720" w:right="680" w:hanging="370"/>
        <w:spacing w:after="0" w:line="26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enter into strategic alliances, partnerships, joint ventures or investments, we may not realize the anticipated strategic goals for any such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34" w:lineRule="exact"/>
        <w:rPr>
          <w:sz w:val="20"/>
          <w:szCs w:val="20"/>
          <w:color w:val="auto"/>
        </w:rPr>
      </w:pPr>
    </w:p>
    <w:p>
      <w:pPr>
        <w:ind w:left="720" w:right="100" w:hanging="370"/>
        <w:spacing w:after="0" w:line="252"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financial condition and results of operations may be materially adversely affected by risks associated with our international operations.</w:t>
      </w: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 may adversely affect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34" w:lineRule="exact"/>
        <w:rPr>
          <w:sz w:val="20"/>
          <w:szCs w:val="20"/>
          <w:color w:val="auto"/>
        </w:rPr>
      </w:pPr>
    </w:p>
    <w:p>
      <w:pPr>
        <w:ind w:left="720" w:right="20" w:hanging="370"/>
        <w:spacing w:after="0" w:line="252"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actual or perceived security vulnerabilities in the systems, networks and infrastructure that we own or use, breaches of security controls, unauthorized access to confidential or personal information or cyber attacks.</w:t>
      </w:r>
    </w:p>
    <w:p>
      <w:pPr>
        <w:ind w:left="7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systems failures, interruptions, delays in service, catastrophic events and resulting interruptions in the availability of our platforms or solutions.</w:t>
      </w: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adequately protect our intellectual property or rely on third-party intellectual property rights.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claim that we are infringing or misappropriating their intellectual property rights.</w:t>
      </w:r>
    </w:p>
    <w:p>
      <w:pPr>
        <w:sectPr>
          <w:pgSz w:w="12060" w:h="15660" w:orient="portrait"/>
          <w:cols w:equalWidth="0" w:num="1">
            <w:col w:w="10420"/>
          </w:cols>
          <w:pgMar w:left="820" w:top="741" w:right="820" w:bottom="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060" w:h="15660" w:orient="portrait"/>
          <w:cols w:equalWidth="0" w:num="1">
            <w:col w:w="10420"/>
          </w:cols>
          <w:pgMar w:left="820" w:top="741" w:right="820" w:bottom="0" w:gutter="0" w:footer="0" w:header="0"/>
          <w:type w:val="continuous"/>
        </w:sectPr>
      </w:pPr>
    </w:p>
    <w:bookmarkStart w:id="42" w:name="page43"/>
    <w:bookmarkEnd w:id="42"/>
    <w:p>
      <w:pPr>
        <w:ind w:left="720" w:right="90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open source software could result in litigation or impose unanticipated restrictions on our ability to commercialize our platforms and solutions.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34" w:lineRule="exact"/>
        <w:rPr>
          <w:sz w:val="20"/>
          <w:szCs w:val="20"/>
          <w:color w:val="auto"/>
        </w:rPr>
      </w:pPr>
    </w:p>
    <w:p>
      <w:pPr>
        <w:ind w:left="720" w:right="260" w:hanging="370"/>
        <w:spacing w:after="0" w:line="252"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 results in ongoing exposure to significant costs and penalties, enhanced oversight and restrictions and limitations on our business.</w:t>
      </w:r>
    </w:p>
    <w:p>
      <w:pPr>
        <w:ind w:left="720" w:right="36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the businesses of many of our clients, could be materially adversely affected by new laws, rules or regulations or changes in existing laws, rules or regulations.</w:t>
      </w:r>
    </w:p>
    <w:p>
      <w:pPr>
        <w:ind w:left="720" w:right="12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privacy, data protection and information security laws, rules, regulations and obligations could harm our business.</w:t>
      </w:r>
    </w:p>
    <w:p>
      <w:pPr>
        <w:ind w:left="720" w:right="68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new tax legislation and regulation as well as unanticipated changes in effective tax rates or adverse outcomes resulting from examination of our income or other tax returns.</w:t>
      </w: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and risk management programs might not be effective.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exposed to litigation risk, including securities litigation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34" w:lineRule="exact"/>
        <w:rPr>
          <w:sz w:val="20"/>
          <w:szCs w:val="20"/>
          <w:color w:val="auto"/>
        </w:rPr>
      </w:pPr>
    </w:p>
    <w:p>
      <w:pPr>
        <w:ind w:left="720" w:hanging="370"/>
        <w:spacing w:after="0" w:line="252"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that governs the 2023 Revolving Credit Facility imposes certain operating and financial restrictions on us and our restricted subsidiaries.</w:t>
      </w: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borrowings under the 2023 Revolving Credit Facility will subject us to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34"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controls us and its interests may conflict with ours or yours.</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“controlled company” within the meaning of the corporate governance standards of Nasdaq.</w:t>
      </w:r>
    </w:p>
    <w:p>
      <w:pPr>
        <w:spacing w:after="0" w:line="10" w:lineRule="exact"/>
        <w:rPr>
          <w:rFonts w:ascii="Times New Roman" w:cs="Times New Roman" w:eastAsia="Times New Roman" w:hAnsi="Times New Roman"/>
          <w:sz w:val="20"/>
          <w:szCs w:val="20"/>
          <w:color w:val="auto"/>
        </w:rPr>
      </w:pPr>
    </w:p>
    <w:p>
      <w:pPr>
        <w:ind w:left="720" w:right="52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organizational documents and Delaware law might discourage or delay acquisition attempts for us that you might consider favorable.</w:t>
      </w:r>
    </w:p>
    <w:p>
      <w:pPr>
        <w:ind w:left="720" w:right="20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720" w:right="2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principal asset is our equity interest in TWM LLC, and, accordingly, we depend on distributions from TWM LLC to pay our taxes and expenses, including payments under the Tax Receivable Agreement.</w:t>
      </w:r>
    </w:p>
    <w:p>
      <w:pPr>
        <w:ind w:left="720" w:right="10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Receivable Agreement with the Continuing LLC Owners requires us to make cash payments to them in respect of certain tax benefits to which we may become entitled.</w:t>
      </w:r>
    </w:p>
    <w:p>
      <w:pPr>
        <w:ind w:left="720" w:right="12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 w:lineRule="exact"/>
        <w:rPr>
          <w:rFonts w:ascii="Times New Roman" w:cs="Times New Roman" w:eastAsia="Times New Roman" w:hAnsi="Times New Roman"/>
          <w:sz w:val="20"/>
          <w:szCs w:val="20"/>
          <w:color w:val="auto"/>
        </w:rPr>
      </w:pPr>
    </w:p>
    <w:p>
      <w:pPr>
        <w:ind w:left="720" w:right="22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cases, payments under the Tax Receivable Agreement to the Continuing LLC Owners may be accelerated or significantly exceed the actual benefits we realize.</w:t>
      </w:r>
    </w:p>
    <w:p>
      <w:pPr>
        <w:ind w:left="720" w:right="6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not be reimbursed for any payments made to the Continuing LLC Owners under the Tax Receivable Agreement in the event that any tax benefits are disallowed.</w:t>
      </w:r>
    </w:p>
    <w:p>
      <w:pPr>
        <w:ind w:left="720" w:hanging="370"/>
        <w:spacing w:after="0" w:line="255"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34" w:lineRule="exact"/>
        <w:rPr>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and Continuing LLC Owners may require us to issue additional shares of our Class A common stock.</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Class A common stock may be highly volatile.</w:t>
      </w:r>
    </w:p>
    <w:p>
      <w:pPr>
        <w:spacing w:after="0" w:line="10" w:lineRule="exact"/>
        <w:rPr>
          <w:rFonts w:ascii="Times New Roman" w:cs="Times New Roman" w:eastAsia="Times New Roman" w:hAnsi="Times New Roman"/>
          <w:sz w:val="20"/>
          <w:szCs w:val="20"/>
          <w:color w:val="auto"/>
        </w:rPr>
      </w:pPr>
    </w:p>
    <w:p>
      <w:pPr>
        <w:ind w:left="720" w:right="420" w:hanging="370"/>
        <w:spacing w:after="0" w:line="25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the potential for sales, of a substantial number of shares of our Class A common stock in the public market could cause our stock price to drop significantly.</w:t>
      </w:r>
    </w:p>
    <w:p>
      <w:pPr>
        <w:ind w:left="720" w:right="140" w:hanging="370"/>
        <w:spacing w:after="0" w:line="25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intend to continue to pay regular dividends, but our ability to do so may be limited.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any share repurchases are subject to a number of uncertainties.</w:t>
      </w:r>
    </w:p>
    <w:p>
      <w:pPr>
        <w:spacing w:after="0" w:line="10" w:lineRule="exact"/>
        <w:rPr>
          <w:rFonts w:ascii="Times New Roman" w:cs="Times New Roman" w:eastAsia="Times New Roman" w:hAnsi="Times New Roman"/>
          <w:sz w:val="20"/>
          <w:szCs w:val="20"/>
          <w:color w:val="auto"/>
        </w:rPr>
      </w:pPr>
    </w:p>
    <w:p>
      <w:pPr>
        <w:ind w:left="720" w:right="500" w:hanging="370"/>
        <w:spacing w:after="0" w:line="287"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requirements of being a public company may strain our resources, increase our costs and divert management’s attention, and we may be unable to comply with these requirements in a timely or cost-effective manner.</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060" w:h="15660" w:orient="portrait"/>
          <w:cols w:equalWidth="0" w:num="1">
            <w:col w:w="10400"/>
          </w:cols>
          <w:pgMar w:left="820" w:top="748" w:right="8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2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Economic, political and market conditions may reduce trading volumes, which could have a material adverse effect on our business, financial condition and results of operations.</w:t>
      </w:r>
    </w:p>
    <w:p>
      <w:pPr>
        <w:spacing w:after="0" w:line="1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3" w:lineRule="exact"/>
        <w:rPr>
          <w:sz w:val="20"/>
          <w:szCs w:val="20"/>
          <w:color w:val="auto"/>
        </w:rPr>
      </w:pPr>
    </w:p>
    <w:p>
      <w:pPr>
        <w:ind w:left="720" w:right="8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social conditions in the United States, the UK, the EU and/or its member states, China or other major economies around the world, including, among other things, the strength and direction of the U.S. and global economy and banking industry, the war in Ukraine, the conflicts in the Middle East and the new U.S. administration and Congress;</w:t>
      </w:r>
    </w:p>
    <w:p>
      <w:pPr>
        <w:spacing w:after="0" w:line="1" w:lineRule="exact"/>
        <w:rPr>
          <w:rFonts w:ascii="Times New Roman" w:cs="Times New Roman" w:eastAsia="Times New Roman" w:hAnsi="Times New Roman"/>
          <w:sz w:val="20"/>
          <w:szCs w:val="20"/>
          <w:color w:val="auto"/>
        </w:rPr>
      </w:pPr>
    </w:p>
    <w:p>
      <w:pPr>
        <w:ind w:left="720" w:right="20" w:hanging="370"/>
        <w:spacing w:after="0" w:line="234"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Federal Reserve Board and other central banks’ monetary policy (including the level and volatility of interest rates, including actual and anticipated changes in the federal funds rate by the Federal Reserve), increased capital requirements for banks and other financial institutions and other regulatory requirements;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conditions, including unforeseen market closures or other disruptions in trading;</w:t>
      </w:r>
    </w:p>
    <w:p>
      <w:pPr>
        <w:spacing w:after="0" w:line="8" w:lineRule="exact"/>
        <w:rPr>
          <w:rFonts w:ascii="Times New Roman" w:cs="Times New Roman" w:eastAsia="Times New Roman" w:hAnsi="Times New Roman"/>
          <w:sz w:val="20"/>
          <w:szCs w:val="20"/>
          <w:color w:val="auto"/>
        </w:rPr>
      </w:pPr>
    </w:p>
    <w:p>
      <w:pPr>
        <w:ind w:left="720" w:right="40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 trends in business and finance, including the number of new issuances and changes in investment patterns and priorities;</w:t>
      </w: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concerns over a potential recession (in the United States or globally) and inflation;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or contraction in the number, and changes in the financial strength, of market participants;</w:t>
      </w:r>
    </w:p>
    <w:p>
      <w:pPr>
        <w:spacing w:after="0" w:line="10"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capital for borrowings and investments by our clients, as well as the amount of available cash balances held by corporates;</w:t>
      </w:r>
    </w:p>
    <w:p>
      <w:pPr>
        <w:ind w:left="720" w:right="26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concerns, including concerns over credit default or bankruptcy of one or more sovereign nations or corporate entities;</w:t>
      </w:r>
    </w:p>
    <w:p>
      <w:pPr>
        <w:ind w:left="720" w:right="2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legislative, regulatory, administrative or government policy changes, particularly as a result of the new U.S. administration and Congress, including changes to financial industry regulations and tax laws, including the imposition of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20"/>
          <w:szCs w:val="20"/>
          <w:color w:val="auto"/>
        </w:rPr>
      </w:pPr>
    </w:p>
    <w:p>
      <w:pPr>
        <w:ind w:left="720" w:right="28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 including between the United States and China, or other governmental action related to tariffs, international trade agreements or trade policies;</w:t>
      </w:r>
    </w:p>
    <w:p>
      <w:pPr>
        <w:ind w:left="720" w:right="44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foreign exchange fluctuations (see “—Risks Relating to our International Operations—Fluctuations in foreign currency exchange rates may adversely affect our financial results” for further information); and</w:t>
      </w:r>
    </w:p>
    <w:p>
      <w:pPr>
        <w:jc w:val="both"/>
        <w:ind w:left="720" w:right="460" w:hanging="370"/>
        <w:spacing w:after="0" w:line="25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or anticipated impact of climate change, extreme weather events, natural disasters and other catastrophic events, actual or threatened acts of war, terrorism or other armed hostilities or outbreaks of pandemic or contagious diseases.</w:t>
      </w:r>
    </w:p>
    <w:p>
      <w:pPr>
        <w:spacing w:after="0" w:line="1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These factors also affect the degree of volatility (the magnitude and frequency of fluctuations) in the U.S. and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16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060" w:h="15660" w:orient="portrait"/>
          <w:cols w:equalWidth="0" w:num="1">
            <w:col w:w="10420"/>
          </w:cols>
          <w:pgMar w:left="820" w:top="741" w:right="820" w:bottom="0" w:gutter="0" w:footer="0" w:header="0"/>
          <w:type w:val="continuous"/>
        </w:sectPr>
      </w:pPr>
    </w:p>
    <w:bookmarkStart w:id="44" w:name="page45"/>
    <w:bookmarkEnd w:id="44"/>
    <w:p>
      <w:pPr>
        <w:ind w:right="20"/>
        <w:spacing w:after="0" w:line="309" w:lineRule="auto"/>
        <w:rPr>
          <w:sz w:val="20"/>
          <w:szCs w:val="20"/>
          <w:color w:val="auto"/>
        </w:rPr>
      </w:pPr>
      <w:r>
        <w:rPr>
          <w:rFonts w:ascii="Times New Roman" w:cs="Times New Roman" w:eastAsia="Times New Roman" w:hAnsi="Times New Roman"/>
          <w:sz w:val="19"/>
          <w:szCs w:val="19"/>
          <w:color w:val="auto"/>
        </w:rPr>
        <w:t>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compete successfully could materially adversely affect our business, financial condition and results of operations.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including data analytics, as well as the reliability, availability, security and ease of use of our platforms and solutions.</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execution management services (“EMS”), order management services (“OMS”) providers, single bank systems and market data and information vendors.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and from EMS and OMS providers.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expanded CME Group’s offerings to include NEX Group’s OTC foreign exchange and rates products and market data. Further, in 2022, TP ICAP completed its acquisition of Liquidnet to further diversify its business.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operations also include the sale of pre- and post-trade services, analytics and market data (including through a distribution agreement with LSEG). There is a high degree of competition among market data and information vendors in solutions for pre-and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060" w:h="15660" w:orient="portrait"/>
          <w:cols w:equalWidth="0" w:num="1">
            <w:col w:w="10420"/>
          </w:cols>
          <w:pgMar w:left="820" w:top="748" w:right="820" w:bottom="0" w:gutter="0" w:footer="0" w:header="0"/>
          <w:type w:val="continuous"/>
        </w:sectPr>
      </w:pPr>
    </w:p>
    <w:bookmarkStart w:id="45" w:name="page46"/>
    <w:bookmarkEnd w:id="45"/>
    <w:p>
      <w:pPr>
        <w:jc w:val="both"/>
        <w:ind w:right="5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Operating in a rapidly evolving industry involves a high degree of risk and our future success will depend in part on our ability to:</w:t>
      </w:r>
    </w:p>
    <w:p>
      <w:pPr>
        <w:spacing w:after="0" w:line="222" w:lineRule="exact"/>
        <w:rPr>
          <w:sz w:val="20"/>
          <w:szCs w:val="20"/>
          <w:color w:val="auto"/>
        </w:rPr>
      </w:pPr>
    </w:p>
    <w:p>
      <w:pPr>
        <w:ind w:left="720" w:right="700" w:hanging="37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and improve the responsiveness, functionality, accessibility and reliability of our existing platforms and solutions;</w:t>
      </w:r>
    </w:p>
    <w:p>
      <w:pPr>
        <w:spacing w:after="0" w:line="1"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and maintain market acceptance for our platforms and solutions;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our existing platforms and solutions for new markets, client sectors, asset classes and products;</w:t>
      </w:r>
    </w:p>
    <w:p>
      <w:pPr>
        <w:spacing w:after="0" w:line="1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competitive pressures, technological advances, including new or disruptive technology, emerging industry standards and practices and regulatory requirements and changes on a cost-effective and timely basis;</w:t>
      </w: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highly-skilled technology, regulatory, sales and marketing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support, expand, adapt and develop our operations, systems, networks and infrastructure;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cybersecurity threats;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advantage of acquisitions, strategic alliances and other opportunities;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any applicable regulatory approval for our platforms and solutions.</w:t>
      </w:r>
    </w:p>
    <w:p>
      <w:pPr>
        <w:spacing w:after="0" w:line="230"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20"/>
          <w:szCs w:val="20"/>
          <w:color w:val="auto"/>
        </w:rPr>
        <w:t>Further, the development of new internet, networking or telecommunications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cannot assure you that we will be able to successfully adapt our existing technologies and systems to incorporate new, or changes to existing, technologies. For example, artificial intelligence (“AI”) (including machine learning), blockchain technologies and digital assets (including cryptocurrency), are poised to have significant impacts on our markets and industry. If we are unable to successfully adapt our business to keep pace with these new technologies, including with respect to navigating new, complex and changing legal and regulatory risks, or if our competitors are more successful than us in doing so, our business, financial condition and results of operations may be adversely affected. See “—Our use and development of AI and blockchain technologies may not be successful and may present business, legal and reputational risks” for further information.</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and our partners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7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9"/>
          <w:szCs w:val="19"/>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2060" w:h="15660" w:orient="portrait"/>
          <w:cols w:equalWidth="0" w:num="1">
            <w:col w:w="10400"/>
          </w:cols>
          <w:pgMar w:left="820" w:top="739" w:right="840" w:bottom="0" w:gutter="0" w:footer="0" w:header="0"/>
          <w:type w:val="continuous"/>
        </w:sectPr>
      </w:pPr>
    </w:p>
    <w:bookmarkStart w:id="46" w:name="page47"/>
    <w:bookmarkEnd w:id="46"/>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and development of AI and blockchain technologies may not be successful and may present business, legal and reputational risks.</w:t>
      </w:r>
    </w:p>
    <w:p>
      <w:pPr>
        <w:spacing w:after="0" w:line="13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are making significant investments in AI and blockchain technologies to, among other things, develop new products and processes or features for our existing products and processes, which is costly. As AI and blockchain are highly complex and rapidly evolving technologies in the early stages of commercial use, there are significant risks involved in the development and use of AI and blockchain, and there can be no assurance that our development and use of AI or blockchain will gain market acceptance or enhance our products or services or augment our business or operating results. Additionally, our competitors may be developing their own AI and blockchain products and technologies, which may be superior in features, functionality or cost to our offerings.</w:t>
      </w:r>
    </w:p>
    <w:p>
      <w:pPr>
        <w:spacing w:after="0" w:line="210"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9"/>
          <w:szCs w:val="19"/>
          <w:color w:val="auto"/>
        </w:rPr>
        <w:t>Moreover, our AI-related product initiatives and offerings, or use of AI in our internal business operations, may give rise to risks related to accuracy, reliability, bias, discrimination, harmful content generation, intellectual property infringement, the ability to obtain intellectual property protection, misappropriation or leakage of information, defamation, data privacy and cybersecurity.</w:t>
      </w:r>
    </w:p>
    <w:p>
      <w:pPr>
        <w:spacing w:after="0" w:line="260" w:lineRule="auto"/>
        <w:rPr>
          <w:sz w:val="20"/>
          <w:szCs w:val="20"/>
          <w:color w:val="auto"/>
        </w:rPr>
      </w:pPr>
      <w:r>
        <w:rPr>
          <w:rFonts w:ascii="Times New Roman" w:cs="Times New Roman" w:eastAsia="Times New Roman" w:hAnsi="Times New Roman"/>
          <w:sz w:val="20"/>
          <w:szCs w:val="20"/>
          <w:color w:val="auto"/>
        </w:rPr>
        <w:t>The use of AI may also give rise to ethical concerns. Any of these factors could adversely affect our business, reputation or results of operations.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introduction of AI and blockchain technologies into new or existing offerings may also result in new or expanded liabilities related to enhanced governmental or regulatory scrutiny, which could result in increased investigations, enforcement actions, litigation and compliance costs. For example, states, countries and supranational bodies, including the European Union and the United States, have passed or proposed new rules and regulations related to the development and use of AI technology, which cover, among other things, algorithmic accountability, privacy and transparency. Regulatory environments related to blockchain technologies across foreign, federal, state and local jurisdictions also are rapidly evolving. Governmental authorities are likely to continue to issue new laws, rules and regulations governing blockchain technologies. Additionally, existing laws and regulations may be interpreted in ways that may affect our use of AI or blockchain technologies. Any failure or perceived failure by us to comply with such requirements could have an adverse impact on our business, reputation or results of operations. Because AI and blockchain technologies are highly complex and rapidly developing, it is not possible to predict all of the legal, reputational, operational or technological risks that may arise relating to our use and development of AI and blockchain technologies.</w:t>
      </w:r>
    </w:p>
    <w:p>
      <w:pPr>
        <w:spacing w:after="0" w:line="16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Consolidation and concentration in the financial services industry could materially adversely affect our business, financial condition and results of operations.</w:t>
      </w:r>
    </w:p>
    <w:p>
      <w:pPr>
        <w:spacing w:after="0" w:line="17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for certain of our businesses, which may lower our trading volumes. If our clients merge with or are acquired by other companies that are not our clients, or companies that utilize our offerings to a lesser degree, such clients may discontinue or reduce their use of our platforms and solutions. Any such developments could materially adversely affect our business, financial condition and results of operations.</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substantial consolidation of market share among companies in the financial services industry has resulted in concentration in markets by some of our largest dealer clients. Because most of our trading platforms depend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060" w:h="15660" w:orient="portrait"/>
          <w:cols w:equalWidth="0" w:num="1">
            <w:col w:w="10420"/>
          </w:cols>
          <w:pgMar w:left="820" w:top="739" w:right="82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20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dealer clients to support our marketplaces by transacting with our other institutional, wholesale and retail clients.</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rely on our dealer clients to provide liquidity on our trading platforms by posting prices on our platforms and responding to client inquiries, and certain of our dealer clients account for a significant portion of our total trading volume on our platforms. In addition, our dealer clients also provide us with data via feeds and through the transactions they execute on our trading platforms, which is an important input for our data and analytics offerings. Market knowledge and feedback from dealer clients have been important factors in the development of many of our offerings and solutions.</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 Further, higher capital requirements on trading activity by bank-affiliated broker-dealers may reduce their incentives to engage in certain market making activities and may impair market liquidity.</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4"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do not have long-term contractual arrangements with certain of our clients, and our business performance could be impacted if these clients stop or lessen their usage of our platforms and solutions, including as a result of macroeconomic factors.</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In addition, in August 2024, we acquired ICD, an institutional investment technology provider for corporate treasury organizations trading short-term investments, adding a fourth client channel, corporates, to our business. We earn basis point commissions on the monthly average daily balance of money market fund investments made through the ICD Portal. If the federal funds rates fall to near-zero levels, the amount of cash held by our corporate clients that is available for investment through the ICD Portal significantly declines, or if our corporate clients decide to invest their available cash through alternative means, our business, financial condition and results of operations could be adversely affected.</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2060" w:h="15660" w:orient="portrait"/>
          <w:cols w:equalWidth="0" w:num="1">
            <w:col w:w="10400"/>
          </w:cols>
          <w:pgMar w:left="820" w:top="741" w:right="840" w:bottom="0" w:gutter="0" w:footer="0" w:header="0"/>
          <w:type w:val="continuous"/>
        </w:sectPr>
      </w:pPr>
    </w:p>
    <w:bookmarkStart w:id="48" w:name="page49"/>
    <w:bookmarkEnd w:id="48"/>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if we are unable to maintain and grow the capacity of our trading platforms, systems and infrastructure.</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Any material disruptions in our trading platforms could result in our clients deciding to stop using or to reduce their use of our trading platforms, either of which would have a material adverse effect on our business, financial condition and results of operations.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will need to continually improve and upgrade our trading platforms, systems and infrastructure to accommodate increases in trading volumes, changes in regulation, changes in trading practices of new and existing clients or irregular or heavy use of our trading platforms, especially during peak trading times or at times of increased market volatility.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changes in regulation or to emerging industry standards, or if our trading platforms otherwise fail to accommodate trading volumes, our business, financial condition and results of operations could be materially adversely affected.</w:t>
      </w:r>
    </w:p>
    <w:p>
      <w:pPr>
        <w:spacing w:after="0" w:line="16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design defects, errors, failures or delays with our platforms or solutions, our business could suffer serious harm.</w:t>
      </w:r>
    </w:p>
    <w:p>
      <w:pPr>
        <w:spacing w:after="0" w:line="13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feature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features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9"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rely on a number of third parties to supply, support and maintain critical elements of our operations, including our trading platforms,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6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or meet the increasing regulatory requirements applicable to our business. In particular, like us, third-party providers are vulnerable to cybersecurity threats and other issues that can lead to operational and technological disruptions, and we may have limited remedies against these third parties in the event of product or service disruptions. For example, in July 2024, a software update by CrowdStrike Holdings, Inc., a cybersecurity technology company, caused widespread outages of Windows systems into which it was integrated, including certain Windows systems used by our vendors and clients. We did not experience</w:t>
      </w:r>
    </w:p>
    <w:p>
      <w:pPr>
        <w:sectPr>
          <w:pgSz w:w="12060" w:h="15660" w:orient="portrait"/>
          <w:cols w:equalWidth="0" w:num="1">
            <w:col w:w="10420"/>
          </w:cols>
          <w:pgMar w:left="820" w:top="739" w:right="820"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060" w:h="15660" w:orient="portrait"/>
          <w:cols w:equalWidth="0" w:num="1">
            <w:col w:w="10420"/>
          </w:cols>
          <w:pgMar w:left="820" w:top="739" w:right="820" w:bottom="0" w:gutter="0" w:footer="0" w:header="0"/>
          <w:type w:val="continuous"/>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20"/>
          <w:szCs w:val="20"/>
          <w:color w:val="auto"/>
        </w:rPr>
        <w:t>any significant operational or financial impact as a result of the CrowdStrike software update, but we could in the future experience similar software-induced interruptions to our operations. In addition, we have little control over and limited recourse to third-party providers, which increases our vulnerability to errors, failures, cybersecurity attacks,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third-party providers and our clients for our pre- and post-trade data, analytics and reporting solutions.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LSEG to source certain reference data for products that trade on our platforms.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platforms at any time, which would decrease our volume of trade data and may diminish the competitiveness of our market data offerings.</w:t>
      </w:r>
    </w:p>
    <w:p>
      <w:pPr>
        <w:spacing w:after="0" w:line="17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In addition, pursuant to a market data license agreement, LSEG currently distributes a significant portion of our market data. The cancellation of, or any adverse change to, our arrangement with LSEG or the inability of LSEG to effectively distribute our data may materially harm our business and competitive position.</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060" w:h="15660" w:orient="portrait"/>
          <w:cols w:equalWidth="0" w:num="1">
            <w:col w:w="10420"/>
          </w:cols>
          <w:pgMar w:left="820" w:top="748" w:right="82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trading counterparties and clearinghouses to perform their obligations.</w:t>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We currently maintain memberships with certain central counterparties to support the clearing operations of our business.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For example, historically we have used ICBC, a wholly-owned subsidiary of the Industrial and Commercial Bank of China Limited to clear U.S. Treasury trades executed by non-FICC members on our wholesale trading platform. Following the November 2023 ransomware attack on some ICBC operating systems, including those used to clear U.S. Treasury and repurchase agreement financings, we have and may continue to self-clear these U.S. Treasury trades.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ability to conduct our business may be materially adversely impacted by unforeseen, catastrophic or uncontrollable events. In addition, our U.S. and European operations are heavily concentrated in particular areas and may be adversely affected by events in those areas.</w:t>
      </w:r>
    </w:p>
    <w:p>
      <w:pPr>
        <w:spacing w:after="0" w:line="15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auto"/>
        </w:rPr>
        <w:t>We may incur losses as a result of unforeseen, catastrophic or uncontrollable events, including fire, natural disasters, extreme weather events, global health crises (including COVID-19 and its variants), power loss, telecommunications failure, software or hardware malfunctions, theft, cyber attacks, acts of war, terrorist attacks or other armed hostilities (including the war in Ukraine and the conflicts in the Middle East).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platforms and solutions available to our clients could be impaired and, as a result, we could lose critical data and revenues. If we are unable to deploy or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5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In addition, our U.S. operations are heavily concentrated in the New York metro area and our European operations are heavily concentrated in London, United Kingdom. Any event that affects either of those geographic areas could affect our ability to operate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 and may not fully reflect the underlying performance of our business.</w:t>
      </w:r>
    </w:p>
    <w:p>
      <w:pPr>
        <w:spacing w:after="0" w:line="2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48" w:lineRule="exact"/>
        <w:rPr>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overall trading volumes or our market share for our key products;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 or loss of clients;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unpredictability of the financial services industry;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drive an increase in the use of our trading platforms by new and existing clients;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products and volumes traded, changes in fee plans and average variable fees per million;</w:t>
      </w:r>
    </w:p>
    <w:p>
      <w:pPr>
        <w:spacing w:after="0" w:line="10"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expenses, including those related to the maintenance and expansion of our business, operations and infrastructure;</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060" w:h="15660" w:orient="portrait"/>
          <w:cols w:equalWidth="0" w:num="1">
            <w:col w:w="10420"/>
          </w:cols>
          <w:pgMar w:left="820" w:top="739" w:right="820" w:bottom="0" w:gutter="0" w:footer="0" w:header="0"/>
          <w:type w:val="continuous"/>
        </w:sectPr>
      </w:pPr>
    </w:p>
    <w:bookmarkStart w:id="51" w:name="page52"/>
    <w:bookmarkEnd w:id="51"/>
    <w:p>
      <w:pPr>
        <w:ind w:left="720" w:right="380" w:hanging="370"/>
        <w:spacing w:after="0" w:line="26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or service outages, internet disruptions, the availability of our platforms, cyber attacks, security breaches or perceived security breaches;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social, industry and market conditions;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strategies and pricing policies (or those of our competitors);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any acquisitions, divestitures or strategic alliances;</w:t>
      </w:r>
    </w:p>
    <w:p>
      <w:pPr>
        <w:spacing w:after="0" w:line="10"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platforms, solutions, technologies or businesses and potential future charges for impairment of goodwill from acquired companies;</w:t>
      </w:r>
    </w:p>
    <w:p>
      <w:pPr>
        <w:ind w:left="720" w:right="200" w:hanging="370"/>
        <w:spacing w:after="0" w:line="25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changes to existing, regulations that limit or affect our platforms, solutions and technologies or which increase our regulatory compliance costs; and</w:t>
      </w:r>
    </w:p>
    <w:p>
      <w:pPr>
        <w:ind w:left="720" w:right="160" w:hanging="370"/>
        <w:spacing w:after="0" w:line="26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magnitude of any adjustments in our consolidated financial statements driven by changes in the liability under the Tax Receivable Agreement.</w:t>
      </w:r>
    </w:p>
    <w:p>
      <w:pPr>
        <w:spacing w:after="0" w:line="152"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or brand could negatively impact our business, financial condition and results of operations.</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our use of developing technologies, such as AI and any impropriety, misconduct or fraudulent activity by any person formerly or currently associated with us.</w:t>
      </w:r>
    </w:p>
    <w:p>
      <w:pPr>
        <w:spacing w:after="0" w:line="1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42</w:t>
      </w:r>
    </w:p>
    <w:p>
      <w:pPr>
        <w:sectPr>
          <w:pgSz w:w="12060" w:h="15660" w:orient="portrait"/>
          <w:cols w:equalWidth="0" w:num="1">
            <w:col w:w="10380"/>
          </w:cols>
          <w:pgMar w:left="820" w:top="748" w:right="860" w:bottom="0" w:gutter="0" w:footer="0" w:header="0"/>
          <w:type w:val="continuous"/>
        </w:sectPr>
      </w:pPr>
    </w:p>
    <w:bookmarkStart w:id="52" w:name="page53"/>
    <w:bookmarkEnd w:id="52"/>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incur impairment charges for our goodwill and other indefinite-lived intangible assets which would negatively impact our operating results.</w:t>
      </w:r>
    </w:p>
    <w:p>
      <w:pPr>
        <w:spacing w:after="0" w:line="1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of December 31, 2024, we had goodwill of $3.2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achieve our sustainability goals.</w:t>
      </w:r>
    </w:p>
    <w:p>
      <w:pPr>
        <w:spacing w:after="0" w:line="2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We have established sustainability goals for our business. These goals reflect our current plans and aspirations and we may not be able to achieve them.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Our ability to achieve any sustainability objective is subject to numerous risks, many of which are outside of our control. Examples of such risks include our ability to accurately track Scope 1, 2 and 3 greenhouse gas emissions, the evolving regulatory requirements affecting sustainability standards or disclosures and our ability to recruit, develop and retain diverse talent in our workforce.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Standards for tracking and reporting sustainability matters continue to evolve. Our selection of voluntary disclosure frameworks and standards, and the interpretation or application of those frameworks and standards, may change from time to time or differ from those of others.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 Our processes and controls for reporting sustainability matters across our operations are evolving along with multiple disparate standards for identifying, measuring, and reporting sustainability metrics, including sustainability-related disclosures that may be required by the SEC and European and other regulators, and such standards may change over time, which could result in significant revisions to our current goals, reported progress in achieving such goals, or ability to achieve such goals in the future. If our sustainability practices and goals do not meet evolving investor or other stakeholder expectations and standards, then our reputation or our attractiveness as an investment, business partner, acquirer, service provider or employer could be negatively impacted.</w:t>
      </w:r>
    </w:p>
    <w:p>
      <w:pPr>
        <w:spacing w:after="0" w:line="1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Further, while sustainability remains important for our business, views about sustainability are diverse and changing, and our business, reputation and ability to attract and retain clients and employees may be harmed if our actions are perceived to be ineffective, insufficient or otherwise inappropriate. The continuously evolving societal and political perspectives on sustainability make the ultimate impact on us difficult to predict, identify and monitor and may be detrimental to us.</w:t>
      </w:r>
    </w:p>
    <w:p>
      <w:pPr>
        <w:spacing w:after="0" w:line="154"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Cryptocurrency and other digital assets are an emerging asset class that carries unique risk, including the risk of financial loss.</w:t>
      </w:r>
    </w:p>
    <w:p>
      <w:pPr>
        <w:spacing w:after="0" w:line="1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Cryptocurrencies, digital currencies, coins, tokens, NFTs and other digital or crypto assets or instruments that are issued and transferred using distributed ledger or blockchain technology (collectively referred to herein as “digital assets”) are a relatively new and evolving asset class and technological innovation that are subject to a high degree of uncertainty. The characteristics of particular digital assets within this broad asset class may differ significantly. We receive and hold digital assets, in the form of Canton Coins, in exchange for providing certain validator services on the Global Synchronizer. See Part I, Item 1. “Business” for additional information.</w:t>
      </w:r>
    </w:p>
    <w:p>
      <w:pPr>
        <w:spacing w:after="0" w:line="15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9"/>
          <w:szCs w:val="19"/>
          <w:color w:val="auto"/>
        </w:rPr>
        <w:t>Digital assets carry unique risks. There is a high degree of fraud, theft, cyber attacks and other forms of risk associated with digital assets, and legal, regulatory and market standards around market conduct, transparency, custody, segregation of client assets, clearing and settlement for these assets, are all evolving or unsettled, which can increase risks for us, both as a holder of digital assets and, through our activities as a validator on the Global Synchronizer, a service provider in the digital asset space.</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060" w:h="15660" w:orient="portrait"/>
          <w:cols w:equalWidth="0" w:num="1">
            <w:col w:w="10420"/>
          </w:cols>
          <w:pgMar w:left="820" w:top="739" w:right="820" w:bottom="0" w:gutter="0" w:footer="0" w:header="0"/>
          <w:type w:val="continuous"/>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20"/>
          <w:szCs w:val="20"/>
          <w:color w:val="auto"/>
        </w:rPr>
        <w:t>In addition, the intrinsic value of digital assets is particularly uncertain and difficult to determine due to the novel and rapidly changing nature of digital asset markets. For example, the value of digital assets is based in part on market adoption and future expectations regarding growth in the usage of digital assets for various applications, which may or may not be realized. Even if growth in the use of any digital assets occurs in the near or medium term, there is no assurance that such use will continue to grow over the long term. Further, a contraction in use of any digital asset may result in increased volatility or a reduction in prices. As a result, the value of digital assets is highly speculative and there can be no guarantee that the digital assets we hold will maintain their value in the future or that such digital assets can be converted into or sold for fiat currencies. Due to their highly volatile nature, prices of digital assets have also been subject to dramatic fluctuations which may negatively impact our balance sheet. In addition, it is possible for electronic wallet keys to become lost or stolen, for blockchains to experience detrimental changes, such as forks, or for exchange and custodian partners to experience cybersecurity incidents. In the event of such events, we could experience financial loss and we may face regulatory or legal consequences.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20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our current level of business or execute our growth plan, our business, financial condition and results of operations may be materially harmed.</w:t>
      </w:r>
    </w:p>
    <w:p>
      <w:pPr>
        <w:spacing w:after="0" w:line="1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As of December 31, 2024, we derived approximately 52% of our revenue from our Rates asset class. Our long-term growth plan includes expanding the number of products we offer across existing and new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It is possible that our entry into new markets will not be successful, and potential new markets may not develop quickly or at all.</w:t>
      </w:r>
    </w:p>
    <w:p>
      <w:pPr>
        <w:spacing w:after="0" w:line="13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Our long-term growth plan includes expanding our operations by entering into new markets, including new client sectors, asset classes, products and geographies, including markets where we have little or no operating experience. For example, in August 2024, we acquired ICD, adding a fourth client sector, corporates, to our business. We may have difficulties identifying and entering into new markets due to established competitors, our inability to keep pace with technology and industry developments, lack of recognition of our brand and lack of acceptance of our platforms and solutions, as has occurred with certain of our initiatives in the past.</w:t>
      </w:r>
    </w:p>
    <w:p>
      <w:pPr>
        <w:spacing w:after="0" w:line="1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Expansion, particularly in new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w:t>
      </w:r>
    </w:p>
    <w:p>
      <w:pPr>
        <w:sectPr>
          <w:pgSz w:w="12060" w:h="15660" w:orient="portrait"/>
          <w:cols w:equalWidth="0" w:num="1">
            <w:col w:w="10420"/>
          </w:cols>
          <w:pgMar w:left="820" w:top="748" w:right="82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060" w:h="15660" w:orient="portrait"/>
          <w:cols w:equalWidth="0" w:num="1">
            <w:col w:w="10420"/>
          </w:cols>
          <w:pgMar w:left="820" w:top="748" w:right="820" w:bottom="0" w:gutter="0" w:footer="0" w:header="0"/>
          <w:type w:val="continuous"/>
        </w:sectPr>
      </w:pPr>
    </w:p>
    <w:bookmarkStart w:id="54" w:name="page55"/>
    <w:bookmarkEnd w:id="54"/>
    <w:p>
      <w:pPr>
        <w:ind w:right="140"/>
        <w:spacing w:after="0" w:line="266" w:lineRule="auto"/>
        <w:rPr>
          <w:sz w:val="20"/>
          <w:szCs w:val="20"/>
          <w:color w:val="auto"/>
        </w:rPr>
      </w:pPr>
      <w:r>
        <w:rPr>
          <w:rFonts w:ascii="Times New Roman" w:cs="Times New Roman" w:eastAsia="Times New Roman" w:hAnsi="Times New Roman"/>
          <w:sz w:val="20"/>
          <w:szCs w:val="20"/>
          <w:color w:val="auto"/>
        </w:rPr>
        <w:t>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These and other factors have led us to scale back our expansion efforts into new markets in the past, and there can be no assurance that we will not experience similar difficulties in the future. There can be no assurance that we will be able to successfully maintain or grow our operations abroad.</w:t>
      </w:r>
    </w:p>
    <w:p>
      <w:pPr>
        <w:spacing w:after="0" w:line="15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4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regularly consider acquisitions, which may not be completed or, if completed, may not be ultimately beneficial to us. We have made several acquisitions in the past, and increasingly in the last several years, including the purchase of the Hilliard Farber &amp; Co. business in 2008, the Rafferty Capital Markets business in 2011, BondDesk in 2013, CodeStreet in 2016, Nasdaq’s U.S. fixed income electronic trading platform in 2021, Yieldbroker in 2023, r8fin in 2024 and ICD in 2024.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060" w:h="15660" w:orient="portrait"/>
          <w:cols w:equalWidth="0" w:num="1">
            <w:col w:w="10420"/>
          </w:cols>
          <w:pgMar w:left="820" w:top="748" w:right="820" w:bottom="0" w:gutter="0" w:footer="0" w:header="0"/>
          <w:type w:val="continuous"/>
        </w:sectPr>
      </w:pPr>
    </w:p>
    <w:bookmarkStart w:id="55" w:name="page56"/>
    <w:bookmarkEnd w:id="55"/>
    <w:p>
      <w:pPr>
        <w:jc w:val="both"/>
        <w:ind w:right="300"/>
        <w:spacing w:after="0" w:line="266" w:lineRule="auto"/>
        <w:rPr>
          <w:sz w:val="20"/>
          <w:szCs w:val="20"/>
          <w:color w:val="auto"/>
        </w:rPr>
      </w:pPr>
      <w:r>
        <w:rPr>
          <w:rFonts w:ascii="Times New Roman" w:cs="Times New Roman" w:eastAsia="Times New Roman" w:hAnsi="Times New Roman"/>
          <w:sz w:val="20"/>
          <w:szCs w:val="20"/>
          <w:color w:val="auto"/>
        </w:rPr>
        <w:t>We cannot readily predict the timing or size of any future acquisition or divestiture, and there can be no assurance that we will realize any anticipated benefits from any recent or any potential future acquisition or divestiture. If we do not realize any such anticipated benefits, our business, financial condition and results of operations could be materially adversely affected.</w:t>
      </w:r>
    </w:p>
    <w:p>
      <w:pPr>
        <w:spacing w:after="0" w:line="146" w:lineRule="exact"/>
        <w:rPr>
          <w:sz w:val="20"/>
          <w:szCs w:val="20"/>
          <w:color w:val="auto"/>
        </w:rPr>
      </w:pPr>
    </w:p>
    <w:p>
      <w:pPr>
        <w:jc w:val="both"/>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enter into strategic alliances, partnerships, joint ventures or investments, we may not realize the anticipated strategic goals for any such transactions.</w:t>
      </w:r>
    </w:p>
    <w:p>
      <w:pPr>
        <w:spacing w:after="0" w:line="1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From time to time, we may enter into strategic alliances, partnerships or joint ventures, or make strategic minority investments or other financial or commercial arrangements, as a means to accelerate our entry into new markets, provide new solutions or enhance our existing capabilities. Entering into strategic alliances, partnerships joint ventures or strategic minority investments or other financial or commercial arrangements entails risks, including: (i) difficulties in developing or expanding the business of newly formed alliances, partnerships, joint ventures or businesses in which we invest; (ii) exercising influence over the activities of joint ventures or business in which we invest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addition, there may be a long negotiation period before we enter into a strategic alliance, partnership or joint venture or make a strategic minority investment or other financial or commercial arrangement or a long preparation period before we commence providing trading venues and solutions and/or realizing the anticipated benefits from or begin earning revenues pursuant to such arrangement, as applicable.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or investing in a business or other financial or commercial arrangement, we may not be successful in maintaining the relationship.</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cannot assure you that we will be able to enter into strategic alliances, partnerships or joint ventures or invest in businesses or enter into financial or commercial arrangements on terms that are favorable to us, or at all, or that any strategic alliance, partnership or joint venture we have entered into or may enter into or investment we have or may make will be successful. In particular, these arrangements may not generate the expected number of new clients or increased trading volumes or revenues or other benefits we seek. Unsuccessful strategic alliances, partnerships joint ventures or investments could harm our reputation and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20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financial condition and results of operations may be materially adversely affected by risks associated with our international operations.</w:t>
      </w:r>
    </w:p>
    <w:p>
      <w:pPr>
        <w:spacing w:after="0" w:line="1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We are a global company serving clients in over 85 countries with offices in North America, South America, Europe, Australia, Asia and the Middle East. We may further expand our international operations in the future. We have invested significant resources in our international operations and expect to continue to do so in the future. For example, in 2024, we established offices in Dubai, United Arab Emirates, São Paulo, Brazil, Mumbai, India and Milan, Italy. However, there are certain risks inherent in doing business in international markets, particularly in the financial services industry, which is heavily regulated in many jurisdictions. These risks include:</w:t>
      </w:r>
    </w:p>
    <w:p>
      <w:pPr>
        <w:spacing w:after="0" w:line="168" w:lineRule="exact"/>
        <w:rPr>
          <w:sz w:val="20"/>
          <w:szCs w:val="20"/>
          <w:color w:val="auto"/>
        </w:rPr>
      </w:pPr>
    </w:p>
    <w:p>
      <w:pPr>
        <w:ind w:left="720" w:right="480" w:hanging="370"/>
        <w:spacing w:after="0" w:line="26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economic, political and social conditions, including the possibility of economic slowdowns, hyperinflationary conditions, political instability, social unrest or outbreaks of pandemic or contagious diseases;</w:t>
      </w:r>
    </w:p>
    <w:p>
      <w:pPr>
        <w:spacing w:after="0" w:line="1" w:lineRule="exact"/>
        <w:rPr>
          <w:rFonts w:ascii="Times New Roman" w:cs="Times New Roman" w:eastAsia="Times New Roman" w:hAnsi="Times New Roman"/>
          <w:sz w:val="20"/>
          <w:szCs w:val="20"/>
          <w:color w:val="auto"/>
        </w:rPr>
      </w:pPr>
    </w:p>
    <w:p>
      <w:pPr>
        <w:ind w:left="720" w:right="24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legal and regulatory requirements, and the possibility that any required approvals may impose restrictions on the operation of our business;</w:t>
      </w:r>
    </w:p>
    <w:p>
      <w:pPr>
        <w:ind w:left="720" w:right="14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government policies and regulations, or in how provisions are interpreted or administered and how we are supervised;</w:t>
      </w:r>
    </w:p>
    <w:p>
      <w:pPr>
        <w:ind w:left="720" w:right="34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manage and coordinate the various legal and regulatory requirements of multiple jurisdictions that are constantly evolving and subject to change;</w:t>
      </w:r>
    </w:p>
    <w:p>
      <w:pPr>
        <w:ind w:left="720" w:right="28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tax regimes, including with respect to imposition or increase of taxes on financial transactions or withholding and other taxes on remittances and other payments by subsidiaries;</w:t>
      </w:r>
    </w:p>
    <w:p>
      <w:pPr>
        <w:ind w:left="720" w:right="26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 including between the United States and China, or other governmental action related to tariffs, international trade agreements or trade policies;</w:t>
      </w: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changes in currency policies or practices and restrictions on currency conversion;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restrictions on the repatriation or other transfer of funds;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difficulties in protecting intellectual property;</w:t>
      </w:r>
    </w:p>
    <w:p>
      <w:pPr>
        <w:sectPr>
          <w:pgSz w:w="12060" w:h="15660" w:orient="portrait"/>
          <w:cols w:equalWidth="0" w:num="1">
            <w:col w:w="10400"/>
          </w:cols>
          <w:pgMar w:left="820" w:top="748" w:right="840" w:bottom="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2060" w:h="15660" w:orient="portrait"/>
          <w:cols w:equalWidth="0" w:num="1">
            <w:col w:w="10400"/>
          </w:cols>
          <w:pgMar w:left="820" w:top="748" w:right="840" w:bottom="0" w:gutter="0" w:footer="0" w:header="0"/>
          <w:type w:val="continuous"/>
        </w:sectPr>
      </w:pPr>
    </w:p>
    <w:bookmarkStart w:id="56" w:name="page57"/>
    <w:bookmarkEnd w:id="56"/>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enforce agreements, collect payments or seek recourse under or comply with differing commercial laws;</w:t>
      </w:r>
    </w:p>
    <w:p>
      <w:pPr>
        <w:spacing w:after="0" w:line="3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potential conflicts between locally accepted business practices and our obligations to comply with laws and regulations, including anti-corruption and anti-money laundering laws and regulations;</w:t>
      </w: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economic sanctions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0"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and difficulties in developing and managing our global operations and our technological infrastructure; and</w:t>
      </w: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fluctuations in business activity.</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may adversely affect our financial results.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2024, 39% of our revenues derived from our international operations. Since we operate in several different countries outside the United States, most notably the UK, the Netherlands, Japan, as well as Australia, China, Singapore, Hong Kong and Canada, among others, significant portions of our revenues, expenses, assets and liabilities are denominated in non-U.S. dollar currencies, most notably the British pound sterling and euros, as well as Japanese Yen, Australian dollars,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20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security vulnerabilities in our systems, networks and infrastructure, breaches of security controls, unauthorized access to confidential or personal information or cyber attacks could harm our business, reputation and results of operations.</w:t>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operation of our electronic trading platforms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 threats, cyber attacks and attempted security breaches. Cyber threats and cyber attacks vary in technique and sources, are persistent, frequently change and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we, like other financial services companies, may be subject to a heightened risk of such attacks from nation-state and affiliated actors, including attacks that could materially disrupt our systems, operations and platforms. In addition, our expansion into new markets, client sectors and geographies, as well as our activity in the digital asset space, exposes us to new and different risks. See “—Risks Relating to our Growth Strategies and other Strategic Opportunities” and “— Cryptocurrency and other digital assets are an emerging asset class that carries unique risk, including the risk of financial loss” for further information.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2060" w:h="15660" w:orient="portrait"/>
          <w:cols w:equalWidth="0" w:num="1">
            <w:col w:w="10400"/>
          </w:cols>
          <w:pgMar w:left="820" w:top="748" w:right="840" w:bottom="0" w:gutter="0" w:footer="0" w:header="0"/>
          <w:type w:val="continuous"/>
        </w:sectPr>
      </w:pPr>
    </w:p>
    <w:bookmarkStart w:id="57" w:name="page58"/>
    <w:bookmarkEnd w:id="57"/>
    <w:p>
      <w:pPr>
        <w:ind w:right="400"/>
        <w:spacing w:after="0" w:line="281" w:lineRule="auto"/>
        <w:rPr>
          <w:sz w:val="20"/>
          <w:szCs w:val="20"/>
          <w:color w:val="auto"/>
        </w:rPr>
      </w:pPr>
      <w:r>
        <w:rPr>
          <w:rFonts w:ascii="Times New Roman" w:cs="Times New Roman" w:eastAsia="Times New Roman" w:hAnsi="Times New Roman"/>
          <w:sz w:val="20"/>
          <w:szCs w:val="20"/>
          <w:color w:val="auto"/>
        </w:rPr>
        <w:t>reputational damage, financial losses, client dissatisfaction, regulatory enforcement actions, fines and penalties and/or private litigation.</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detect or mitigate a cyber 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 attacks, security and data breaches or other security vulnerabilities and to protect against damage caused by such events.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There have been an increasing number of cyber attacks in recent years in various industries, including ours, and cybersecurity risk management has been the subject of increasing focus by U.S. and foreign regulators. See Part I, Item 1C. – “Cybersecurity – Governance” for further detail regarding our cybersecurity risk management, strategy and governance structure.</w:t>
      </w:r>
    </w:p>
    <w:p>
      <w:pPr>
        <w:spacing w:after="0" w:line="1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1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Although we have not been a victim of a cyber attack or other cybersecurity incident that has had a material impact on our operations or financial condition, we have from time to time experienced cybersecurity incidents, including attempted denial of service attacks, malware infections, phishing, subversion of internal security controls and other information technology incidents that are typical for an electronic financial services company of our size. If an actual, threatened or perceived cyber 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 attacks or security breaches. We could also face litigation or other claims from impacted individuals as well as substantial regulatory sanctions or fines. In addition, we rely on third-parties to provide certain services, including technology services, to us. Please see “−We rely on third parties to perform certain key functions, and their failure to perform those functions could result in the interruption of our operations and systems and could result in significant costs and reputational damage to us.”</w:t>
      </w:r>
    </w:p>
    <w:p>
      <w:pPr>
        <w:spacing w:after="0" w:line="162"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in the future.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 attacks, cyber 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9"/>
          <w:szCs w:val="19"/>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060" w:h="15660" w:orient="portrait"/>
          <w:cols w:equalWidth="0" w:num="1">
            <w:col w:w="10420"/>
          </w:cols>
          <w:pgMar w:left="820" w:top="748" w:right="820" w:bottom="0" w:gutter="0" w:footer="0" w:header="0"/>
          <w:type w:val="continuous"/>
        </w:sectPr>
      </w:pPr>
    </w:p>
    <w:bookmarkStart w:id="58" w:name="page59"/>
    <w:bookmarkEnd w:id="58"/>
    <w:p>
      <w:pPr>
        <w:ind w:right="180"/>
        <w:spacing w:after="0" w:line="266" w:lineRule="auto"/>
        <w:rPr>
          <w:sz w:val="20"/>
          <w:szCs w:val="20"/>
          <w:color w:val="auto"/>
        </w:rPr>
      </w:pPr>
      <w:r>
        <w:rPr>
          <w:rFonts w:ascii="Times New Roman" w:cs="Times New Roman" w:eastAsia="Times New Roman" w:hAnsi="Times New Roman"/>
          <w:sz w:val="20"/>
          <w:szCs w:val="20"/>
          <w:color w:val="auto"/>
        </w:rPr>
        <w:t>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trading platforms and solutions.</w:t>
      </w:r>
    </w:p>
    <w:p>
      <w:pPr>
        <w:spacing w:after="0" w:line="1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9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The SEC has proposed amendments which, among other things, would extend Regulation Systems Compliance and Integrity to systems involving U.S. government securities trading and impose additional cybersecurity-related obligations on covered entities. Also, the EU’s DORA, which will apply as of January 17, 2025, is expected to significantly impact financial entities and information and communications technology service providers. Among other things, DORA requires governance and risk management measures, incident reporting, resilience testing and third-party risk management.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6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7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w:t>
      </w:r>
    </w:p>
    <w:p>
      <w:pPr>
        <w:sectPr>
          <w:pgSz w:w="12060" w:h="15660" w:orient="portrait"/>
          <w:cols w:equalWidth="0" w:num="1">
            <w:col w:w="10420"/>
          </w:cols>
          <w:pgMar w:left="820" w:top="748" w:right="820" w:bottom="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060" w:h="15660" w:orient="portrait"/>
          <w:cols w:equalWidth="0" w:num="1">
            <w:col w:w="10420"/>
          </w:cols>
          <w:pgMar w:left="820" w:top="748" w:right="820" w:bottom="0" w:gutter="0" w:footer="0" w:header="0"/>
          <w:type w:val="continuous"/>
        </w:sectPr>
      </w:pPr>
    </w:p>
    <w:bookmarkStart w:id="59" w:name="page60"/>
    <w:bookmarkEnd w:id="59"/>
    <w:p>
      <w:pPr>
        <w:ind w:right="220"/>
        <w:spacing w:after="0" w:line="281" w:lineRule="auto"/>
        <w:rPr>
          <w:sz w:val="20"/>
          <w:szCs w:val="20"/>
          <w:color w:val="auto"/>
        </w:rPr>
      </w:pPr>
      <w:r>
        <w:rPr>
          <w:rFonts w:ascii="Times New Roman" w:cs="Times New Roman" w:eastAsia="Times New Roman" w:hAnsi="Times New Roman"/>
          <w:sz w:val="20"/>
          <w:szCs w:val="20"/>
          <w:color w:val="auto"/>
        </w:rPr>
        <w:t>intellectual property rights are inadequate, or if any third party misappropriates, dilutes or infringes on our intellectual property, the value of our brand may be harmed, which could have a material adverse effect on our business.</w:t>
      </w:r>
    </w:p>
    <w:p>
      <w:pPr>
        <w:spacing w:after="0" w:line="13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66"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result in litigation or impose unanticipated restrictions on our ability to commercialize our platforms and solutions.</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20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the DNB, the AFM, the AMF, the ACPR, the BaFin, the JFSA, the JSDA, the SFC, the MAS, the ASIC, the CBNV, the FINMA, the Investment Industry Regulatory Organization of Canada and provincial regulators in Canada, the DFSA, the ADGM and the CMVM.</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060" w:h="15660" w:orient="portrait"/>
          <w:cols w:equalWidth="0" w:num="1">
            <w:col w:w="10420"/>
          </w:cols>
          <w:pgMar w:left="820" w:top="748" w:right="820" w:bottom="0" w:gutter="0" w:footer="0" w:header="0"/>
          <w:type w:val="continuous"/>
        </w:sectPr>
      </w:pPr>
    </w:p>
    <w:bookmarkStart w:id="60" w:name="page61"/>
    <w:bookmarkEnd w:id="60"/>
    <w:p>
      <w:pPr>
        <w:ind w:right="140"/>
        <w:spacing w:after="0" w:line="260" w:lineRule="auto"/>
        <w:rPr>
          <w:sz w:val="20"/>
          <w:szCs w:val="20"/>
          <w:color w:val="auto"/>
        </w:rPr>
      </w:pPr>
      <w:r>
        <w:rPr>
          <w:rFonts w:ascii="Times New Roman" w:cs="Times New Roman" w:eastAsia="Times New Roman" w:hAnsi="Times New Roman"/>
          <w:sz w:val="20"/>
          <w:szCs w:val="20"/>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16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6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59" w:lineRule="exact"/>
        <w:rPr>
          <w:sz w:val="20"/>
          <w:szCs w:val="20"/>
          <w:color w:val="auto"/>
        </w:rPr>
      </w:pPr>
    </w:p>
    <w:p>
      <w:pPr>
        <w:ind w:right="88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and the business of many of our clients, is subject to extensive regulation.</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060" w:h="15660" w:orient="portrait"/>
          <w:cols w:equalWidth="0" w:num="1">
            <w:col w:w="10420"/>
          </w:cols>
          <w:pgMar w:left="820" w:top="748" w:right="820" w:bottom="0" w:gutter="0" w:footer="0" w:header="0"/>
          <w:type w:val="continuous"/>
        </w:sectPr>
      </w:pPr>
    </w:p>
    <w:bookmarkStart w:id="61" w:name="page62"/>
    <w:bookmarkEnd w:id="61"/>
    <w:p>
      <w:pPr>
        <w:ind w:right="100"/>
        <w:spacing w:after="0" w:line="254" w:lineRule="auto"/>
        <w:rPr>
          <w:sz w:val="20"/>
          <w:szCs w:val="20"/>
          <w:color w:val="auto"/>
        </w:rPr>
      </w:pPr>
      <w:r>
        <w:rPr>
          <w:rFonts w:ascii="Times New Roman" w:cs="Times New Roman" w:eastAsia="Times New Roman" w:hAnsi="Times New Roman"/>
          <w:sz w:val="20"/>
          <w:szCs w:val="20"/>
          <w:color w:val="auto"/>
        </w:rPr>
        <w:t>Governmental and regulatory authorities periodically review legislative and regulatory policies and initiatives, particularly following changes in administration, and may promulgate new or revised, laws, rules and regulations, or adopt changes in the interpretation and enforcement of or repeal existing laws, rules and regulations, or abandon any pending legislative or regulatory proposals, at any time. Any such changes in laws, rules or regulations or in governmental policies could create additional regulatory exposure or uncertainty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such as the Federal Reserve’s recent changes to the federal funds rate, may directly impact our cost of funds for financing and investment activities and may impact the value of any financial instruments we hold.</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7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0"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privacy, data protection and information security laws, rules, regulations and obligations could harm our business.</w:t>
      </w:r>
    </w:p>
    <w:p>
      <w:pPr>
        <w:spacing w:after="0" w:line="13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is changing, subject to differing interpretations, and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1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52</w:t>
      </w:r>
    </w:p>
    <w:p>
      <w:pPr>
        <w:sectPr>
          <w:pgSz w:w="12060" w:h="15660" w:orient="portrait"/>
          <w:cols w:equalWidth="0" w:num="1">
            <w:col w:w="10380"/>
          </w:cols>
          <w:pgMar w:left="820" w:top="748" w:right="860" w:bottom="0" w:gutter="0" w:footer="0" w:header="0"/>
          <w:type w:val="continuous"/>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9"/>
          <w:szCs w:val="19"/>
          <w:color w:val="auto"/>
        </w:rPr>
        <w:t>we operate. For example, in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for example, use of standard contractual clauses (“SCCs”), issued by the European Commission, or certification by the data importer under the EU-U.S. Data Privacy Framework administered by the U.S. Department of Commerce.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SCCs cannot be used and/or broaden their enforcement activities, we could incur substantial costs and/or regulatory investigations or fines. We are also subject to the GDPR as incorporated into United Kingdom law (“UK GDPR”). Following Brexit, the European Commission adopted a UK adequacy decision in June 2021 which organizations can rely on for EEA to UK personal data transfers. This decision will automatically expire four years after its entry into force, but it might be renewed provided the UK maintains an adequate level of data protection. In recent years, the UK government has introduced proposed legislation intended to create a more business-friendly regime in the UK through changes to data protection legislation. At this stage, it is unclear whether and when changes to the legislation will be adopted and whether such legislative reforms could potentially lead the European Commission to not extend or to revoke the UK adequacy decision. Outside of Europe and the UK, several other countries in which we operate, including China, Japan, Singapore, Hong Kong and Australia have established specific legal requirements for privacy, data protection and information security, including data localization and/or cross-border transfer restrictions.</w:t>
      </w:r>
    </w:p>
    <w:p>
      <w:pPr>
        <w:spacing w:after="0" w:line="39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16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are also subject to evolving EU and UK privacy laws on cookies, tracking technologies and e-marketing. Recent European court and regulator decisions are continuing to drive increased attention to use of cookies and tracking technologies on websites and digital platforms. If the trend of increasing enforcement by regulators of the strict approach to opt-in consent for all but essential use cases continues,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it may prove to be a significant challenge to comply with such laws.</w:t>
      </w:r>
    </w:p>
    <w:p>
      <w:pPr>
        <w:spacing w:after="0" w:line="1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There has also been increased regulation of data privacy and security in the U.S. at the state level. For example, the California Consumer Privacy Act (“CCPA”), which came into force in 2020, broadly defines personal information and California “consumers” to whom the law applies, and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2024 and 2026, and a number of other states are considering similar laws related to the protection of consumer personal information.</w:t>
      </w:r>
    </w:p>
    <w:p>
      <w:pPr>
        <w:spacing w:after="0" w:line="16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In addition, many jurisdictions have also enacted or are considering laws requiring companies to notify individuals and/or regulators of data security breaches involving their personal data. The SEC also has recently adopted amendments to Regulation S-P (the privacy regulation applicable to certain financial institutions, including broker-dealers) that will expand the scope of the regulation and mandate notification to clients and customers in the event of privacy breaches. These mandatory notifications are costly to implement and often lead to widespread negative publicity, which may cause our clients to lose confidence in the effectiveness of our cybersecurity measures. Any inability, or perceived inability, by us or third parties on which we rely to comply with applicable laws, regulations, policies, industry standards and guidance, contractual obligations, or other legal obligations requiring notification could result in litigation, regulatory investigations, fines and penalties, enforcement actions, increased costs to us and significant legal and financial exposure and/or reputational harm.</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060" w:h="15660" w:orient="portrait"/>
          <w:cols w:equalWidth="0" w:num="1">
            <w:col w:w="10420"/>
          </w:cols>
          <w:pgMar w:left="820" w:top="748" w:right="820" w:bottom="0" w:gutter="0" w:footer="0" w:header="0"/>
          <w:type w:val="continuous"/>
        </w:sectPr>
      </w:pPr>
    </w:p>
    <w:bookmarkStart w:id="63" w:name="page64"/>
    <w:bookmarkEnd w:id="63"/>
    <w:p>
      <w:pPr>
        <w:ind w:right="20"/>
        <w:spacing w:after="0" w:line="272" w:lineRule="auto"/>
        <w:rPr>
          <w:sz w:val="20"/>
          <w:szCs w:val="20"/>
          <w:color w:val="auto"/>
        </w:rPr>
      </w:pPr>
      <w:r>
        <w:rPr>
          <w:rFonts w:ascii="Times New Roman" w:cs="Times New Roman" w:eastAsia="Times New Roman" w:hAnsi="Times New Roman"/>
          <w:sz w:val="19"/>
          <w:szCs w:val="19"/>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45"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New tax legislation and regulation may materially adversely affect our financial condition, results of operations and cash flows.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or be repealed. Any such law, regulation or interpretation could take effect retroactively, and could adversely affect our business and financial condition, and the impact of any such law, regulation or interpretation on holders of our Class A common stock could be adverse. For example, the IRA enacted, among other changes, a 15% corporate alternative minimum tax on certain United States corporations and a 1% excise tax on certain stock redemptions by United States corporations. In addition, 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We fall under the provisions of the Two Pillar Plan and related tax impacts per local country adoption as we are a consolidating subsidiary of LSEG. We do not anticipate a material impact to our financial condition, results of operations and cash flows from the IRA or Two Pillar Plan.</w:t>
      </w:r>
    </w:p>
    <w:p>
      <w:pPr>
        <w:spacing w:after="0" w:line="17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5" w:lineRule="exact"/>
        <w:rPr>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10" w:lineRule="exact"/>
        <w:rPr>
          <w:rFonts w:ascii="Times New Roman" w:cs="Times New Roman" w:eastAsia="Times New Roman" w:hAnsi="Times New Roman"/>
          <w:sz w:val="20"/>
          <w:szCs w:val="20"/>
          <w:color w:val="auto"/>
        </w:rPr>
      </w:pPr>
    </w:p>
    <w:p>
      <w:pPr>
        <w:ind w:left="720" w:right="680" w:hanging="37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earnings being lower than anticipated in countries where we have lower statutory tax rates and higher than anticipated in countries where we have higher statutory tax rates.</w:t>
      </w:r>
    </w:p>
    <w:p>
      <w:pPr>
        <w:spacing w:after="0" w:line="162" w:lineRule="exact"/>
        <w:rPr>
          <w:sz w:val="20"/>
          <w:szCs w:val="20"/>
          <w:color w:val="auto"/>
        </w:rPr>
      </w:pPr>
    </w:p>
    <w:p>
      <w:pPr>
        <w:jc w:val="both"/>
        <w:ind w:right="200"/>
        <w:spacing w:after="0" w:line="309" w:lineRule="auto"/>
        <w:rPr>
          <w:sz w:val="20"/>
          <w:szCs w:val="20"/>
          <w:color w:val="auto"/>
        </w:rPr>
      </w:pPr>
      <w:r>
        <w:rPr>
          <w:rFonts w:ascii="Times New Roman" w:cs="Times New Roman" w:eastAsia="Times New Roman" w:hAnsi="Times New Roman"/>
          <w:sz w:val="19"/>
          <w:szCs w:val="19"/>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46"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 management programs and efforts are ineffective, we could suffer losses that could have a material adverse effect on our financial condition and results of operations.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060" w:h="15660" w:orient="portrait"/>
          <w:cols w:equalWidth="0" w:num="1">
            <w:col w:w="10420"/>
          </w:cols>
          <w:pgMar w:left="820" w:top="748" w:right="820" w:bottom="0" w:gutter="0" w:footer="0" w:header="0"/>
          <w:type w:val="continuous"/>
        </w:sectPr>
      </w:pPr>
    </w:p>
    <w:bookmarkStart w:id="64" w:name="page65"/>
    <w:bookmarkEnd w:id="64"/>
    <w:p>
      <w:pPr>
        <w:ind w:left="10" w:right="100"/>
        <w:spacing w:after="0" w:line="260" w:lineRule="auto"/>
        <w:rPr>
          <w:sz w:val="20"/>
          <w:szCs w:val="20"/>
          <w:color w:val="auto"/>
        </w:rPr>
      </w:pPr>
      <w:r>
        <w:rPr>
          <w:rFonts w:ascii="Times New Roman" w:cs="Times New Roman" w:eastAsia="Times New Roman" w:hAnsi="Times New Roman"/>
          <w:sz w:val="20"/>
          <w:szCs w:val="20"/>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163"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litigation risk, including securities litigation risk.</w:t>
      </w:r>
    </w:p>
    <w:p>
      <w:pPr>
        <w:spacing w:after="0" w:line="219"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20"/>
          <w:szCs w:val="20"/>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71"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208" w:lineRule="exact"/>
        <w:rPr>
          <w:sz w:val="20"/>
          <w:szCs w:val="20"/>
          <w:color w:val="auto"/>
        </w:rPr>
      </w:pPr>
    </w:p>
    <w:p>
      <w:pPr>
        <w:ind w:left="1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credit agreement that governs the 2023 Revolving Credit Facility imposes certain operating and financial restrictions on us and our restricted subsidiaries, which may prevent us from capitalizing on business opportunities, and we may incur debt in the future that may include similar or additional restrictions.</w:t>
      </w:r>
    </w:p>
    <w:p>
      <w:pPr>
        <w:spacing w:after="0" w:line="156" w:lineRule="exact"/>
        <w:rPr>
          <w:sz w:val="20"/>
          <w:szCs w:val="20"/>
          <w:color w:val="auto"/>
        </w:rPr>
      </w:pPr>
    </w:p>
    <w:p>
      <w:pPr>
        <w:jc w:val="both"/>
        <w:ind w:left="10" w:right="20"/>
        <w:spacing w:after="0" w:line="271" w:lineRule="auto"/>
        <w:rPr>
          <w:sz w:val="20"/>
          <w:szCs w:val="20"/>
          <w:color w:val="auto"/>
        </w:rPr>
      </w:pPr>
      <w:r>
        <w:rPr>
          <w:rFonts w:ascii="Times New Roman" w:cs="Times New Roman" w:eastAsia="Times New Roman" w:hAnsi="Times New Roman"/>
          <w:sz w:val="19"/>
          <w:szCs w:val="19"/>
          <w:color w:val="auto"/>
        </w:rPr>
        <w:t>We are party to the 2023 Revolving Credit Facility, a $500.0 million senior unsecured revolving credit facility with a syndicate of banks. The credit agreement that governs the 2023 Revolving Credit Facility imposes certain operating and financial restrictions. These restrictions, which are subject to a number of qualifications and exceptions, could, among other things, limit the ability of</w:t>
      </w:r>
    </w:p>
    <w:p>
      <w:pPr>
        <w:ind w:left="10" w:right="220" w:hanging="10"/>
        <w:spacing w:after="0" w:line="260" w:lineRule="auto"/>
        <w:tabs>
          <w:tab w:leader="none" w:pos="24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TWM LLC to merge or consolidate with other entities, (ii) the subsidiaries of TWM LLC to incur or guarantee indebtedness and (iii) TWM LLC and its subsidiaries to create or incur liens.</w:t>
      </w:r>
    </w:p>
    <w:p>
      <w:pPr>
        <w:spacing w:after="0" w:line="162" w:lineRule="exact"/>
        <w:rPr>
          <w:sz w:val="20"/>
          <w:szCs w:val="20"/>
          <w:color w:val="auto"/>
        </w:rPr>
      </w:pPr>
    </w:p>
    <w:p>
      <w:pPr>
        <w:ind w:left="10" w:right="340"/>
        <w:spacing w:after="0" w:line="266" w:lineRule="auto"/>
        <w:rPr>
          <w:sz w:val="20"/>
          <w:szCs w:val="20"/>
          <w:color w:val="auto"/>
        </w:rPr>
      </w:pPr>
      <w:r>
        <w:rPr>
          <w:rFonts w:ascii="Times New Roman" w:cs="Times New Roman" w:eastAsia="Times New Roman" w:hAnsi="Times New Roman"/>
          <w:sz w:val="20"/>
          <w:szCs w:val="20"/>
          <w:color w:val="auto"/>
        </w:rPr>
        <w:t>In addition, the credit agreement that governs our 2023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55"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These covenants could affect our ability to finance our future operations or capital needs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In addition, complying with these covenants may also cause us to take actions that make it more difficult for us to successfully execute our business strategies and compete against companies that are not subject to such restrictions.</w:t>
      </w:r>
    </w:p>
    <w:p>
      <w:pPr>
        <w:sectPr>
          <w:pgSz w:w="12060" w:h="15660" w:orient="portrait"/>
          <w:cols w:equalWidth="0" w:num="1">
            <w:col w:w="10410"/>
          </w:cols>
          <w:pgMar w:left="81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auto"/>
        </w:rPr>
        <w:t>55</w:t>
      </w:r>
    </w:p>
    <w:p>
      <w:pPr>
        <w:sectPr>
          <w:pgSz w:w="12060" w:h="15660" w:orient="portrait"/>
          <w:cols w:equalWidth="0" w:num="1">
            <w:col w:w="10410"/>
          </w:cols>
          <w:pgMar w:left="810" w:top="748" w:right="840" w:bottom="0" w:gutter="0" w:footer="0" w:header="0"/>
          <w:type w:val="continuous"/>
        </w:sectPr>
      </w:pPr>
    </w:p>
    <w:bookmarkStart w:id="65" w:name="page66"/>
    <w:bookmarkEnd w:id="65"/>
    <w:p>
      <w:pPr>
        <w:ind w:right="60"/>
        <w:spacing w:after="0" w:line="255" w:lineRule="auto"/>
        <w:rPr>
          <w:sz w:val="20"/>
          <w:szCs w:val="20"/>
          <w:color w:val="auto"/>
        </w:rPr>
      </w:pPr>
      <w:r>
        <w:rPr>
          <w:rFonts w:ascii="Times New Roman" w:cs="Times New Roman" w:eastAsia="Times New Roman" w:hAnsi="Times New Roman"/>
          <w:sz w:val="20"/>
          <w:szCs w:val="20"/>
          <w:color w:val="auto"/>
        </w:rPr>
        <w:t>Our failure to comply with the covenants and other terms of the 2023 Revolving Credit Facility and/or the terms of any future indebtedness could result in an event of default. If any such event of default occurs and is not waived, the lenders under the 2023 Revolving Credit Facility could elect to declare all amounts outstanding and accrued and unpaid interest, if any, under the 2023 Revolving Credit Facility to be immediately due and payable. The lenders would also have the right in these circumstances to terminate any commitments they have to provide further credit extensions. If we are forced to refinance any borrowings under the 2023 Revolving Credit Facility on less favorable terms or if we cannot refinance these borrowings, our financial condition and results of operations could be materially adversely affected.</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In addition, although the credit agreement that governs the 2023 Revolving Credit Facility contains restrictions on the incurrence of certain indebtedness, these restrictions are subject to a number of qualifications and exceptions, and we and our subsidiaries may be able to incur substantial indebtedness in the future. The terms of any future indebtedness we may incur could include more restrictive covenants.</w:t>
      </w:r>
    </w:p>
    <w:p>
      <w:pPr>
        <w:spacing w:after="0" w:line="15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borrowings under the 2023 Revolving Credit Facility will subject us to interest rate risk, which could cause our debt service obligations to increase significantly.</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Any borrowings under the 2023 Revolving Credit Facility will be at variable rates of interest and expose us to interest rate risk. If interest rates rise, our debt service obligations on any borrowings under the 2023 Revolving Credit Facility will increase even though the amount borrowed may remain the same, and our net income and cash flows will correspondingly decrease. Assuming that the $500.0 million 2023 Revolving Credit Facility was fully drawn, each 0.125% change in interest rates would result in an approximate change of $0.6 million in annual interest expense on the borrowings under the 2023 Revolving Credit Facility.</w:t>
      </w:r>
    </w:p>
    <w:p>
      <w:pPr>
        <w:spacing w:after="0" w:line="1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Borrowings under the 2023 Revolving Credit Facility may bear interest at a rate per annum that, at our election, is based upon SOFR. Since the initial publication of SOFR, daily changes in the rate have, on occasion, been more volatile than daily changes in comparable benchmark or market rates, and SOFR over time may bear little or no relation to the historical actual or historical indicative data.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Refinitiv controls us and its interests may conflict with ours or yours in the future.</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Following the consummation of the LSEG Transaction, LSEG is the controlling shareholder of Refinitiv and Refinitiv continues to be the controlling shareholder of Tradeweb. As of December 31, 2024, Refinitiv controls approximately 89.9% of the combined voting power of our common stock as a result of its ownership of our Class B common stock and Class D common stock, each share of which is entitled to 10 votes on all matters submitted to a vote of our stockholders and its ownership of our Class C common stock, each share of which is entitled to 1 vote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LSEG, including 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060" w:h="15660" w:orient="portrait"/>
          <w:cols w:equalWidth="0" w:num="1">
            <w:col w:w="10420"/>
          </w:cols>
          <w:pgMar w:left="820" w:top="748" w:right="820" w:bottom="0" w:gutter="0" w:footer="0" w:header="0"/>
          <w:type w:val="continuous"/>
        </w:sectPr>
      </w:pPr>
    </w:p>
    <w:bookmarkStart w:id="66" w:name="page67"/>
    <w:bookmarkEnd w:id="66"/>
    <w:p>
      <w:pPr>
        <w:jc w:val="both"/>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20"/>
          <w:szCs w:val="20"/>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3" w:lineRule="exact"/>
        <w:rPr>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majority of our board of directors consist of independent directors;</w:t>
      </w:r>
    </w:p>
    <w:p>
      <w:pPr>
        <w:spacing w:after="0" w:line="30" w:lineRule="exact"/>
        <w:rPr>
          <w:rFonts w:ascii="Times New Roman" w:cs="Times New Roman" w:eastAsia="Times New Roman" w:hAnsi="Times New Roman"/>
          <w:sz w:val="20"/>
          <w:szCs w:val="20"/>
          <w:color w:val="auto"/>
        </w:rPr>
      </w:pPr>
    </w:p>
    <w:p>
      <w:pPr>
        <w:ind w:left="720" w:right="360" w:hanging="370"/>
        <w:spacing w:after="0" w:line="25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 nominations be made, or recommended to the full board of directors, by its independent directors or by a nominations committee that is composed entirely of independent directors; and</w:t>
      </w: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we have a compensation committee that is composed entirely of independent directors.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may in the future rely on any or all of the exemptions listed above. If we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if we utilize the exemptions, you would not have the same protections afforded to stockholders of companies that are subject to all of the corporate governance requirements of Nasdaq.</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and Delaware law might discourage or delay acquisition attempts for us that you might consider favorable.</w:t>
      </w:r>
    </w:p>
    <w:p>
      <w:pPr>
        <w:spacing w:after="0" w:line="13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5" w:lineRule="exact"/>
        <w:rPr>
          <w:sz w:val="20"/>
          <w:szCs w:val="20"/>
          <w:color w:val="auto"/>
        </w:rPr>
      </w:pPr>
    </w:p>
    <w:p>
      <w:pPr>
        <w:ind w:left="720" w:right="460" w:hanging="370"/>
        <w:spacing w:after="0" w:line="26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 multi-class common stock structure with a 10 vote per share feature of our Class B common stock and Class D common stock;</w:t>
      </w:r>
    </w:p>
    <w:p>
      <w:pPr>
        <w:spacing w:after="0" w:line="1"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spacing w:after="0" w:line="1"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20"/>
          <w:szCs w:val="20"/>
          <w:color w:val="auto"/>
        </w:rPr>
      </w:pPr>
    </w:p>
    <w:p>
      <w:pPr>
        <w:ind w:left="720" w:right="380" w:hanging="370"/>
        <w:spacing w:after="0" w:line="26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elections to our board or for proposing matters that can be acted upon by stockholders at stockholder meetings.</w:t>
      </w:r>
    </w:p>
    <w:p>
      <w:pPr>
        <w:spacing w:after="0" w:line="16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3" w:lineRule="exact"/>
        <w:rPr>
          <w:sz w:val="20"/>
          <w:szCs w:val="20"/>
          <w:color w:val="auto"/>
        </w:rPr>
      </w:pPr>
    </w:p>
    <w:p>
      <w:pPr>
        <w:ind w:left="720" w:right="220" w:hanging="370"/>
        <w:spacing w:after="0" w:line="260"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time, our board of directors approved either the business combination or the transaction which resulted in the stockholder becoming an interested stockholder;</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 w:lineRule="exact"/>
        <w:rPr>
          <w:rFonts w:ascii="Times New Roman" w:cs="Times New Roman" w:eastAsia="Times New Roman" w:hAnsi="Times New Roman"/>
          <w:sz w:val="20"/>
          <w:szCs w:val="20"/>
          <w:color w:val="auto"/>
        </w:rPr>
      </w:pPr>
    </w:p>
    <w:p>
      <w:pPr>
        <w:ind w:left="720" w:right="100" w:hanging="370"/>
        <w:spacing w:after="0" w:line="260"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ectPr>
          <w:pgSz w:w="12060" w:h="15660" w:orient="portrait"/>
          <w:cols w:equalWidth="0" w:num="1">
            <w:col w:w="10420"/>
          </w:cols>
          <w:pgMar w:left="820" w:top="739" w:right="820" w:bottom="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060" w:h="15660" w:orient="portrait"/>
          <w:cols w:equalWidth="0" w:num="1">
            <w:col w:w="10420"/>
          </w:cols>
          <w:pgMar w:left="820" w:top="739" w:right="820" w:bottom="0" w:gutter="0" w:footer="0" w:header="0"/>
          <w:type w:val="continuous"/>
        </w:sectPr>
      </w:pPr>
    </w:p>
    <w:bookmarkStart w:id="67" w:name="page68"/>
    <w:bookmarkEnd w:id="67"/>
    <w:p>
      <w:pPr>
        <w:ind w:right="60"/>
        <w:spacing w:after="0" w:line="256" w:lineRule="auto"/>
        <w:rPr>
          <w:sz w:val="20"/>
          <w:szCs w:val="20"/>
          <w:color w:val="auto"/>
        </w:rPr>
      </w:pPr>
      <w:r>
        <w:rPr>
          <w:rFonts w:ascii="Times New Roman" w:cs="Times New Roman" w:eastAsia="Times New Roman" w:hAnsi="Times New Roman"/>
          <w:sz w:val="20"/>
          <w:szCs w:val="20"/>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59"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2023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060" w:h="15660" w:orient="portrait"/>
          <w:cols w:equalWidth="0" w:num="1">
            <w:col w:w="10420"/>
          </w:cols>
          <w:pgMar w:left="820" w:top="748" w:right="820" w:bottom="0" w:gutter="0" w:footer="0" w:header="0"/>
          <w:type w:val="continuous"/>
        </w:sectPr>
      </w:pPr>
    </w:p>
    <w:bookmarkStart w:id="68" w:name="page69"/>
    <w:bookmarkEnd w:id="68"/>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161"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the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Continuing LLC Owners could be substantial.</w:t>
      </w:r>
    </w:p>
    <w:p>
      <w:pPr>
        <w:spacing w:after="0" w:line="16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auto"/>
        </w:rPr>
        <w:t>For example, as of December 31, 2024, we recorded a liability of $372.8 million related to our projected obligations under the Tax Receivable Agreement with respect to LLC Interests that were purchased by Tradeweb Markets Inc. using the net proceeds from the IPO and the October 2019 and the April 2020 follow-on offerings and LLC Interests that were subsequently exchanged by Continuing LLC Owners. Payments under the Tax Receivable Agreement are not conditioned on any Continuing LLC</w:t>
      </w:r>
    </w:p>
    <w:p>
      <w:pPr>
        <w:sectPr>
          <w:pgSz w:w="12060" w:h="15660" w:orient="portrait"/>
          <w:cols w:equalWidth="0" w:num="1">
            <w:col w:w="10420"/>
          </w:cols>
          <w:pgMar w:left="820" w:top="739" w:right="820" w:bottom="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060" w:h="15660" w:orient="portrait"/>
          <w:cols w:equalWidth="0" w:num="1">
            <w:col w:w="10420"/>
          </w:cols>
          <w:pgMar w:left="820" w:top="739" w:right="820" w:bottom="0" w:gutter="0" w:footer="0" w:header="0"/>
          <w:type w:val="continuous"/>
        </w:sectPr>
      </w:pPr>
    </w:p>
    <w:bookmarkStart w:id="69" w:name="page70"/>
    <w:bookmarkEnd w:id="69"/>
    <w:p>
      <w:pPr>
        <w:ind w:right="80"/>
        <w:spacing w:after="0" w:line="260" w:lineRule="auto"/>
        <w:rPr>
          <w:sz w:val="20"/>
          <w:szCs w:val="20"/>
          <w:color w:val="auto"/>
        </w:rPr>
      </w:pPr>
      <w:r>
        <w:rPr>
          <w:rFonts w:ascii="Times New Roman" w:cs="Times New Roman" w:eastAsia="Times New Roman" w:hAnsi="Times New Roman"/>
          <w:sz w:val="20"/>
          <w:szCs w:val="20"/>
          <w:color w:val="auto"/>
        </w:rPr>
        <w:t>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4"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5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a Continuing LLC Owner of 50% of the tax benefits,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1" w:lineRule="exact"/>
        <w:rPr>
          <w:sz w:val="20"/>
          <w:szCs w:val="20"/>
          <w:color w:val="auto"/>
        </w:rPr>
      </w:pPr>
    </w:p>
    <w:p>
      <w:pPr>
        <w:ind w:right="44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not be reimbursed for any payments made to the Continuing LLC Owners under the Tax Receivable Agreement in the event that any tax benefits are disallowed.</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060" w:h="15660" w:orient="portrait"/>
          <w:cols w:equalWidth="0" w:num="1">
            <w:col w:w="10420"/>
          </w:cols>
          <w:pgMar w:left="820" w:top="748" w:right="820" w:bottom="0" w:gutter="0" w:footer="0" w:header="0"/>
          <w:type w:val="continuous"/>
        </w:sectPr>
      </w:pPr>
    </w:p>
    <w:bookmarkStart w:id="70" w:name="page71"/>
    <w:bookmarkEnd w:id="70"/>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Refinitiv and Continuing LLC Owners may require us to issue additional shares of our Class A common stock.</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of January 31, 2025, we have an aggregate of 883,836,037 shares of Class A common stock authorized but unissued, including approximately 120,006,730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investment, or the perception that such sales or distributions could occur, may result in dilution to holders of shares of Class A common stock and cause the market price of our Class A common stock to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be highly volatile.</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64" w:lineRule="exact"/>
        <w:rPr>
          <w:sz w:val="20"/>
          <w:szCs w:val="20"/>
          <w:color w:val="auto"/>
        </w:rPr>
      </w:pPr>
    </w:p>
    <w:p>
      <w:pPr>
        <w:ind w:left="720" w:right="260" w:hanging="370"/>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trends in global economic conditions or activity levels in our industry, including the strength and direction of the U.S. and global economy and banking industry;</w:t>
      </w:r>
    </w:p>
    <w:p>
      <w:pPr>
        <w:spacing w:after="0" w:line="1" w:lineRule="exact"/>
        <w:rPr>
          <w:rFonts w:ascii="Times New Roman" w:cs="Times New Roman" w:eastAsia="Times New Roman" w:hAnsi="Times New Roman"/>
          <w:sz w:val="20"/>
          <w:szCs w:val="20"/>
          <w:color w:val="auto"/>
        </w:rPr>
      </w:pPr>
    </w:p>
    <w:p>
      <w:pPr>
        <w:ind w:left="720" w:right="600" w:hanging="370"/>
        <w:spacing w:after="0" w:line="25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relationship with our clients or in client needs or expectations or trends in the markets in which we operate;</w:t>
      </w:r>
    </w:p>
    <w:p>
      <w:pPr>
        <w:ind w:left="720" w:right="520" w:hanging="370"/>
        <w:spacing w:after="0" w:line="25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concerning or by our competitors or concerning our industry or the markets in which we operate in general;</w:t>
      </w:r>
    </w:p>
    <w:p>
      <w:pPr>
        <w:ind w:left="720" w:hanging="37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investigations or regulatory scrutiny of our operations or lawsuits filed against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and integrate acquisitions;</w:t>
      </w:r>
    </w:p>
    <w:p>
      <w:pPr>
        <w:spacing w:after="0" w:line="10" w:lineRule="exact"/>
        <w:rPr>
          <w:rFonts w:ascii="Times New Roman" w:cs="Times New Roman" w:eastAsia="Times New Roman" w:hAnsi="Times New Roman"/>
          <w:sz w:val="20"/>
          <w:szCs w:val="20"/>
          <w:color w:val="auto"/>
        </w:rPr>
      </w:pPr>
    </w:p>
    <w:p>
      <w:pPr>
        <w:ind w:left="720" w:right="240" w:hanging="370"/>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 or failure to meet guidance given by us or any change in guidance given by us or in our guidance practices;</w:t>
      </w:r>
    </w:p>
    <w:p>
      <w:pPr>
        <w:sectPr>
          <w:pgSz w:w="12060" w:h="15660" w:orient="portrait"/>
          <w:cols w:equalWidth="0" w:num="1">
            <w:col w:w="10420"/>
          </w:cols>
          <w:pgMar w:left="820" w:top="739" w:right="820" w:bottom="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060" w:h="15660" w:orient="portrait"/>
          <w:cols w:equalWidth="0" w:num="1">
            <w:col w:w="10420"/>
          </w:cols>
          <w:pgMar w:left="820" w:top="739" w:right="820" w:bottom="0" w:gutter="0" w:footer="0" w:header="0"/>
          <w:type w:val="continuous"/>
        </w:sectPr>
      </w:pPr>
    </w:p>
    <w:bookmarkStart w:id="71" w:name="page72"/>
    <w:bookmarkEnd w:id="71"/>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Class A common stock;</w:t>
      </w:r>
    </w:p>
    <w:p>
      <w:pPr>
        <w:spacing w:after="0" w:line="3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the Company or changes in financial estimates by the analysts who cover us, our competitors or our industry in general;</w:t>
      </w:r>
    </w:p>
    <w:p>
      <w:pPr>
        <w:ind w:left="720" w:right="340" w:hanging="37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legal and regulatory factors unrelated to our performance, including as a result of the new U.S. administration and Congress;</w:t>
      </w: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of our management or key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Class A common stock by us, our executive officers, directors or our stockholders in the future;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us, our competitors and our industry;</w:t>
      </w:r>
    </w:p>
    <w:p>
      <w:pPr>
        <w:spacing w:after="0" w:line="10"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consequences related to our multi-class capital structure, such as stock index providers excluding companies with multi-class capital structures from certain indices; and</w:t>
      </w: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fluctuations in the U.S. equity markets generally.</w:t>
      </w:r>
    </w:p>
    <w:p>
      <w:pPr>
        <w:spacing w:after="0" w:line="190" w:lineRule="exact"/>
        <w:rPr>
          <w:sz w:val="20"/>
          <w:szCs w:val="20"/>
          <w:color w:val="auto"/>
        </w:rPr>
      </w:pPr>
    </w:p>
    <w:p>
      <w:pPr>
        <w:jc w:val="both"/>
        <w:ind w:right="80"/>
        <w:spacing w:after="0" w:line="309" w:lineRule="auto"/>
        <w:rPr>
          <w:sz w:val="20"/>
          <w:szCs w:val="20"/>
          <w:color w:val="auto"/>
        </w:rPr>
      </w:pPr>
      <w:r>
        <w:rPr>
          <w:rFonts w:ascii="Times New Roman" w:cs="Times New Roman" w:eastAsia="Times New Roman" w:hAnsi="Times New Roman"/>
          <w:sz w:val="19"/>
          <w:szCs w:val="19"/>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Sales, or the potential for sales, of a substantial number of shares of our Class A common stock in the public market could cause our stock price to drop significantly.</w:t>
      </w:r>
    </w:p>
    <w:p>
      <w:pPr>
        <w:spacing w:after="0" w:line="1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January 31, 2025, we have 116,163,963 outstanding shares of Class A common stock and 120,006,730 shares of Class A common stock that are authorized but unissued that would be issuable upon redemption or exchange of LLC Interests held by Continuing LLC Owners or exchange of shares of our Class B common stock.</w:t>
      </w:r>
    </w:p>
    <w:p>
      <w:pPr>
        <w:spacing w:after="0" w:line="1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shares of Class A common stock issued or issuable upon exercise of options that have currently vested and vesting of outstanding equity awards (as described more fully in Note 13 - Stock-Based Compensation Plains to our audited consolidated financial statements included elsewhere in this Annual Report on Form 10-K)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7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3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6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intend to continue to pay regular dividends on our Class A common stock and Class B common stock, but our ability to do so may be limited.</w:t>
      </w:r>
    </w:p>
    <w:p>
      <w:pPr>
        <w:spacing w:after="0" w:line="13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0"/>
          <w:szCs w:val="20"/>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060" w:h="15660" w:orient="portrait"/>
          <w:cols w:equalWidth="0" w:num="1">
            <w:col w:w="10420"/>
          </w:cols>
          <w:pgMar w:left="820" w:top="748" w:right="820" w:bottom="0" w:gutter="0" w:footer="0" w:header="0"/>
          <w:type w:val="continuous"/>
        </w:sectPr>
      </w:pPr>
    </w:p>
    <w:bookmarkStart w:id="72" w:name="page73"/>
    <w:bookmarkEnd w:id="72"/>
    <w:p>
      <w:pPr>
        <w:ind w:right="60"/>
        <w:spacing w:after="0" w:line="253" w:lineRule="auto"/>
        <w:rPr>
          <w:sz w:val="20"/>
          <w:szCs w:val="20"/>
          <w:color w:val="auto"/>
        </w:rPr>
      </w:pPr>
      <w:r>
        <w:rPr>
          <w:rFonts w:ascii="Times New Roman" w:cs="Times New Roman" w:eastAsia="Times New Roman" w:hAnsi="Times New Roman"/>
          <w:sz w:val="20"/>
          <w:szCs w:val="20"/>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timing and amount of any share repurchases are subject to a number of uncertainties.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December 5, 2022, our board of directors approved a share repurchase program with an indefinite term under which the Company may purchase up to $300 million of its Class A common stock (the “2022 Share Repurchase Program”). As of December 31, 2024, $179.9 million remained available for purchase under the 2022 Share Repurchase Program. Pursuant to the 2022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 10b-18 or Rule 10b5-1 plans. The 2022 Share Repurchase Program will be conducted in compliance with applicable legal requirements and shall be subject to market conditions and other factors. The 2022 Share Repurchase Program has no termination date, may be suspended or discontinued at any time and does not obligate the company to acquire any amount of Class A common stock, and our board of directors may not authorize any increases to or extensions of the 2022 Share Repurchase Program or any new repurchase program in the future.</w:t>
      </w:r>
    </w:p>
    <w:p>
      <w:pPr>
        <w:spacing w:after="0" w:line="17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The manner, timing and amount of any purchase will be based on an evaluation of market conditions, stock price and other factors. For example, the IRA imposes a 1% excise tax on the repurchase of stock by publicly traded U.S. corporations. The imposition of the excise tax on repurchases of our shares will increase the cost to us of making repurchases and may cause management to reduce the number of shares repurchased pursuant to the program. Additional considerations that could cause management to limit, suspend or delay future stock repurchases include unfavorable market conditions, the trading price of our Class A common stock, the nature and magnitude of other investment opportunities available to us from time to time and the allocation of available cash.</w:t>
      </w:r>
    </w:p>
    <w:p>
      <w:pPr>
        <w:spacing w:after="0" w:line="1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repurchases of shares of our Class A common stock pursuant to the 2022 Share Repurchase Program could affect our stock price and increase its volatility. For example, the existence of the 2022 Share Repurchase Program could cause our stock price to be higher than it would be in the absence of such a program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program’s effectiveness. Additionally, our share repurchase program could diminish our cash reserves, which may impact our ability to finance or pursue our business strategies.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060" w:h="15660" w:orient="portrait"/>
          <w:cols w:equalWidth="0" w:num="1">
            <w:col w:w="10420"/>
          </w:cols>
          <w:pgMar w:left="820" w:top="748" w:right="820" w:bottom="0" w:gutter="0" w:footer="0" w:header="0"/>
          <w:type w:val="continuous"/>
        </w:sectPr>
      </w:pPr>
    </w:p>
    <w:bookmarkStart w:id="73" w:name="page74"/>
    <w:bookmarkEnd w:id="73"/>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As a leader in building and operating electronic marketplaces, we face a broad set of cybersecurity risks stemming from managing complex technology systems, handling sensitive data, and the digital nature of our business. Managing cybersecurity risk is critically important to our business. We have comprehensive cybersecurity risk management and governance systems in place across our global operations designed to support successful operation of our systems.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1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We operate in an environment where cybersecurity risk is dynamic and evolving. We are committed to appropriately managing and minimizing the impact of cybersecurity risk on the achievement of our business objectives. We view cybersecurity risk management as a fundamental business process essential to our overall success. As such, we have integrated our cybersecurity program into our comprehensive Risk Framework, which is in place to support the management and oversight of risk across our organization. The Risk Framework establishes a consistent approach for identifying, assessing, measuring, mitigating, and reporting on material risks, including cybersecurity risks. The Risk Framework is composed of process components such as risk governance, risk identification and assessment, risk measurement, risk response and remediation and risk analysis and reporting.</w:t>
      </w:r>
    </w:p>
    <w:p>
      <w:pPr>
        <w:spacing w:after="0" w:line="15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The general objectives for our cybersecurity program are to protect our information systems from cyber threats and to protect the confidentiality, integrity and availability of systems and information used, owned, or managed by Tradeweb and our customers. This involves a comprehensive and ongoing effort to protect against, detect, and respond to cybersecurity threats and vulnerabilities. Our cybersecurity program includes a number of components, such as:</w:t>
      </w:r>
    </w:p>
    <w:p>
      <w:pPr>
        <w:spacing w:after="0" w:line="163" w:lineRule="exact"/>
        <w:rPr>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regular risk assessments to identify potential vulnerabilities and threats;</w:t>
      </w:r>
    </w:p>
    <w:p>
      <w:pPr>
        <w:spacing w:after="0" w:line="30"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strong cybersecurity frameworks by adopting policies, standards and guidelines derived from a combination of ISO/IEC 27001 principles, the National Institute of Standards and Technology Cybersecurity Framework and industry best practices;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strict access control policies as appropriate;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strong encryption protocols;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advanced threat detection systems;</w:t>
      </w:r>
    </w:p>
    <w:p>
      <w:pPr>
        <w:sectPr>
          <w:pgSz w:w="12060" w:h="15660" w:orient="portrait"/>
          <w:cols w:equalWidth="0" w:num="1">
            <w:col w:w="10420"/>
          </w:cols>
          <w:pgMar w:left="820" w:top="739" w:right="82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060" w:h="15660" w:orient="portrait"/>
          <w:cols w:equalWidth="0" w:num="1">
            <w:col w:w="10420"/>
          </w:cols>
          <w:pgMar w:left="820" w:top="739" w:right="820" w:bottom="0" w:gutter="0" w:footer="0" w:header="0"/>
          <w:type w:val="continuous"/>
        </w:sectPr>
      </w:pPr>
    </w:p>
    <w:bookmarkStart w:id="74" w:name="page75"/>
    <w:bookmarkEnd w:id="74"/>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regular security audits and penetration testing;</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thorough security assessments of third-party vendors and service providers on an ongoing basis;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continuous monitoring of our and third-party systems.</w:t>
      </w:r>
    </w:p>
    <w:p>
      <w:pPr>
        <w:spacing w:after="0" w:line="1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As part of our cybersecurity program, we have robust incident response and business continuity plans designed to provide a framework for quick and effective remediation of cyber issues, which are tested periodically throughout the year. Additionally, we have worked to create a culture of security by providing regular cybersecurity training to employees to raise awareness about various cyber threats like phishing, social engineering, and insider threats. We provide additional targeted training to individuals responsible for managing our information systems. We also maintain cyber insurance coverage intended to mitigate certain costs associated with certain cybersecurity events.</w:t>
      </w:r>
    </w:p>
    <w:p>
      <w:pPr>
        <w:spacing w:after="0" w:line="16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In addition, each year, we undergo System and Organization Controls (“SOC”) 1 and SOC 2 audit reviews performed by an independent third-party firm to test our information technology systems internal controls. We also regularly engage additional assessors, auditors and service providers in connection with the implementation, assessment, enhancement and evaluation of our cybersecurity program, including our risk management processes.</w:t>
      </w:r>
    </w:p>
    <w:p>
      <w:pPr>
        <w:spacing w:after="0" w:line="16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have not been a victim of a cyber attack or other cybersecurity incident that has had a material impact on us, our business strategy, results of operations or financial condition; however, we have from time to time experienced non-significant cybersecurity events, including attempted denial of service attacks, malware infections, phishing, subversion of internal security controls and other information technology events that are typical for an electronic financial services company of our size. An actual, threatened or perceived cyber attack or breach of our security could materially affect us, including our business strategy, results of operations and financial condition in many ways, including through the loss of clients or client confidence, expenditure of significant costs to repair system, network or infrastructure damages as well as to protect against future cyber attacks, security breaches or harm and potential litigation or other claims or actions, including from regulatory agencies. These risks extend to the third parties we rely on to provide certain services, including technology services, to us. Please see Part I, Item 1A. —“Risk Factors—Risks Relating to the Operation and Performance of Our Business—We rely on third parties to perform certain key functions, and their failure to perform those functions could result in the interruption of our operations and systems and could result in significant costs and reputational damage to us.” For additional information regarding risks related to cybersecurity threats, see also Part I, Item 1A. – “Risk Factors — Risks Relating to Cybersecurity and Intellectual Property Actual or perceived security vulnerabilities in our systems, networks and infrastructure, breaches of security controls, unauthorized access to confidential or personal information or cyber attacks could harm our business, reputation and results of operations” and “— Systems failures, interruptions, delays in service, catastrophic events and resulting interruptions in the availability of our platforms or solutions could materially harm our business and reputation.”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our Board of Directors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Board of Directors of Tradeweb Markets Inc. exercises direct oversight of the strategic risks to the Company. The Audit and Risk Committee of the Board reviews guidelines and policies governing the process by which senior management assesses and manages our exposure to risk, including our major financial and operational risk exposures including those derived from cybersecurity risk, and the steps management takes to monitor and control such exposures. Our Board and our Audit and Risk Committee each receive periodic reports from our Chief Information Security Officer, Chief Risk Officer and Chief Administrative Officer to assess key cybersecurity risks for the Company and the measures implemented to mitigate them, as well as updates regarding changes to our cybersecurity risk profile or newly identified significant risks. In addition, the Audit and Risk Committee reports to the Board on these matters at each regularly scheduled Board meeting. The Board and Audit and Risk Committee provide feedback and recommendations accordingly.</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2060" w:h="15660" w:orient="portrait"/>
          <w:cols w:equalWidth="0" w:num="1">
            <w:col w:w="10400"/>
          </w:cols>
          <w:pgMar w:left="820" w:top="748" w:right="8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2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We operate on a “three lines of defense” risk governance model, with partnership and communication across the three lines. The first line of defense is comprised of the business and technology managers, the second line of defense is comprised of the Compliance, Risk and Information Security teams and the third line of defense is comprised of the Internal Audit function. The second and third lines of defense focus on providing the first line of defense with advisory and assurance functions for informed and actionable risk-based decisions. The Enterprise Risk Committee (the “ERC”) is chaired by our Chief Risk Officer and includes our Chief Technology Officer, General Counsel, Chief Administrative Officer, Global Head of Enterprise Risk, Chief Information Security Officer, Head of Global Compliance, Global Head of Human Resources, Head of Internal Audit and various global heads of business lines and corporate functions. The ERC is responsible for the governance and oversight of our Risk Framework, which includes cybersecurity risks. Its responsibilities include, supervising risk mitigation strategies and their implementation, overseeing compliance and regulatory aspects, managing crises, approving risk tolerance, reviewing and approving material policy changes and evaluating the effectiveness of the organization’s risk management practices. The ERC regularly obtains reports from the Chief Information Security Officer who maintains the primary responsibility for assessing and managing the cybersecurity risks, to evaluate the principal cybersecurity risks for the Company and review strategies in place to mitigate them. The ERC meets quarterly and reports to senior management, including the Chief Executive Officer and Chief Financial Officer. Senior management provides oversight and support in aligning cyber risk management with the Company’s strategic decisions, fostering a culture of risk awareness across the organization and allocating adequate resources to support the initiatives.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Chief Information Security Officer leads a highly qualified cybersecurity team in assessing, managing and reducing material risks from cybersecurity threats to protect critical operations and delivery of service. Our Chief Information Security Officer has over 25 years of industry experience, with more than a decade of CISO experience at various financial institutions. Many members of the cybersecurity team hold Certified Information Systems Security Professional and Certified Information Systems Auditor certifications. In addition, our Global Head of Enterprise Risk has more than a decade of experience managing enterprise risk programs and maintains multiple information security certifications. We also belong to several professional and recognized industry organizations related to cybersecurity, including FS-ISAC, FCA Cyber Coordination Group and SIFMA in order to stay up-to-date on industry-wide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Our corporate headquarters is located in New York, New York. As of December 31, 2024, our principal offices consisted of the following properties: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8"/>
                <w:szCs w:val="18"/>
                <w:color w:val="auto"/>
              </w:rPr>
            </w:pPr>
          </w:p>
        </w:tc>
        <w:tc>
          <w:tcPr>
            <w:tcW w:w="16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60" w:type="dxa"/>
            <w:vAlign w:val="bottom"/>
          </w:tcPr>
          <w:p>
            <w:pPr>
              <w:spacing w:after="0"/>
              <w:rPr>
                <w:sz w:val="18"/>
                <w:szCs w:val="18"/>
                <w:color w:val="auto"/>
              </w:rPr>
            </w:pPr>
          </w:p>
        </w:tc>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Lease Expiration Date</w:t>
            </w:r>
          </w:p>
        </w:tc>
        <w:tc>
          <w:tcPr>
            <w:tcW w:w="6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262"/>
        </w:trPr>
        <w:tc>
          <w:tcPr>
            <w:tcW w:w="5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York, New York</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41,062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9/30/2025</w:t>
            </w:r>
          </w:p>
        </w:tc>
        <w:tc>
          <w:tcPr>
            <w:tcW w:w="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85"/>
        </w:trPr>
        <w:tc>
          <w:tcPr>
            <w:tcW w:w="5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Jersey City, New Jersey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65,242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12/31/2027</w:t>
            </w: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85"/>
        </w:trPr>
        <w:tc>
          <w:tcPr>
            <w:tcW w:w="5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London, United Kingdom</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16,259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3/1/2030</w:t>
            </w: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568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3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In June 2024, we signed a lease for our headquarters in New York that is expected to commence in mid-2025 and has an expected initial lease term of approximately 16 years.</w:t>
      </w:r>
    </w:p>
    <w:p>
      <w:pPr>
        <w:spacing w:after="0" w:line="141"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9"/>
          <w:szCs w:val="19"/>
          <w:color w:val="auto"/>
        </w:rPr>
        <w:t>We also rent offices in Boston, Massachusetts, Garden City, New York, Somerset, New Jersey, Miami, Florida, Chicago, Illinois, Golden, Colorado, Walnut Creek, California, Amsterdam, Netherlands, Paris, France, Milan, Italy, Shanghai, China, Hong Kong, China, Singapore, Tokyo, Japan, Sydney, Australia, Dubai, United Arab Emirates, Mumbai, India and Sao Paolo, Brazil.</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Our infrastructure operates out of third-party data centers in Secaucus, New Jersey, Weehawken, New Jersey, Piscataway, New Jersey, Chicago, Illinois, Alpharetta, Georgia and Aurora, Colorado and, outside the United States, in Hounslow, United Kingdom, Slough, United Kingdom, Saitama, Japan, Tokyo, Japan and Sydney, Australia.</w:t>
      </w:r>
    </w:p>
    <w:p>
      <w:pPr>
        <w:spacing w:after="0" w:line="15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auto"/>
        </w:rPr>
        <w:t>We believe that our facilities are in good operating condition and adequately meet our current needs, and that additional or alternative space to support future use and expansion will be available on reasonable commercial terms.</w:t>
      </w:r>
    </w:p>
    <w:p>
      <w:pPr>
        <w:sectPr>
          <w:pgSz w:w="12060" w:h="15660" w:orient="portrait"/>
          <w:cols w:equalWidth="0" w:num="1">
            <w:col w:w="10440"/>
          </w:cols>
          <w:pgMar w:left="820" w:top="73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060" w:h="15660" w:orient="portrait"/>
          <w:cols w:equalWidth="0" w:num="1">
            <w:col w:w="10440"/>
          </w:cols>
          <w:pgMar w:left="820" w:top="739" w:right="8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Treasuries Matter</w:t>
      </w:r>
    </w:p>
    <w:p>
      <w:pPr>
        <w:spacing w:after="0" w:line="21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Times New Roman" w:cs="Times New Roman" w:eastAsia="Times New Roman" w:hAnsi="Times New Roman"/>
          <w:sz w:val="19"/>
          <w:szCs w:val="19"/>
          <w:b w:val="1"/>
          <w:bCs w:val="1"/>
          <w:i w:val="1"/>
          <w:iCs w:val="1"/>
          <w:color w:val="auto"/>
        </w:rPr>
        <w:t>In re Treasuries Securities Auction Antitrust Litigation</w:t>
      </w:r>
      <w:r>
        <w:rPr>
          <w:rFonts w:ascii="Times New Roman" w:cs="Times New Roman" w:eastAsia="Times New Roman" w:hAnsi="Times New Roman"/>
          <w:sz w:val="19"/>
          <w:szCs w:val="19"/>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Defendants filed motions to dismiss in February 2018, including a separate motion to dismiss filed by the Tradeweb Parties. The cases were dismissed in March 2021, with the Court granting the Plaintiffs leave to further amend the complaint by no later than May 14, 2021. The Plaintiffs filed an amended complaint on or about May 14, 2021, and the Company served its motion to dismiss the amended compliant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Oral argument in the appeal was held on October 3, 2023, and by order and opinion issued on February 1, 2024, the Second Circuit affirmed the District Court’s order dismissing all claims against all defendants, including the claims against the Company. All deadlines for any further avenues of appeal have expired and we consider the matter closed.</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2060" w:h="15660" w:orient="portrait"/>
          <w:cols w:equalWidth="0" w:num="1">
            <w:col w:w="10400"/>
          </w:cols>
          <w:pgMar w:left="820" w:top="741" w:right="8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 Matter</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20"/>
          <w:szCs w:val="20"/>
          <w:b w:val="1"/>
          <w:bCs w:val="1"/>
          <w:i w:val="1"/>
          <w:iCs w:val="1"/>
          <w:color w:val="auto"/>
        </w:rPr>
        <w:t>Public School Teachers’ Pension and Retirement Fund of Chicago v. Bank of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Case No. 15-cv-09219 (S.D.N.Y.). Additional plaintiffs, including Tera Group Inc. and Javelin Capital Markets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LLC, filed lawsuits and, ultimately, the cases were consolidated under the caption </w:t>
      </w:r>
      <w:r>
        <w:rPr>
          <w:rFonts w:ascii="Times New Roman" w:cs="Times New Roman" w:eastAsia="Times New Roman" w:hAnsi="Times New Roman"/>
          <w:sz w:val="20"/>
          <w:szCs w:val="20"/>
          <w:b w:val="1"/>
          <w:bCs w:val="1"/>
          <w:i w:val="1"/>
          <w:iCs w:val="1"/>
          <w:color w:val="auto"/>
        </w:rPr>
        <w:t>In re Interest Rate Swaps Antitrust Litigation</w:t>
      </w:r>
      <w:r>
        <w:rPr>
          <w:rFonts w:ascii="Times New Roman" w:cs="Times New Roman" w:eastAsia="Times New Roman" w:hAnsi="Times New Roman"/>
          <w:sz w:val="20"/>
          <w:szCs w:val="20"/>
          <w:color w:val="auto"/>
        </w:rPr>
        <w:t>, No. 1:16-md-2704.</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ectPr>
          <w:pgSz w:w="12060" w:h="15660" w:orient="portrait"/>
          <w:cols w:equalWidth="0" w:num="1">
            <w:col w:w="10400"/>
          </w:cols>
          <w:pgMar w:left="820" w:top="739" w:right="84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1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Our Class A common stock trades on the Nasdaq Global Select Market under the ticker symbol “TW.” There is no established public trading market for our Class B common stock, Class C common stock or Class D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As of December 31, 2024, there are five holders of record of our Class A common stock, one holder of record of our Class B common stock, one holder of record of our Class C common stock and 12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five holders of record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$0.12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During 2024, Tradeweb Markets Inc. paid quarterly cash dividends of $0.10 per share, in an aggregate amount of $85.2 million, to the holders of Class A common stock and Class B common stock.</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060" w:h="15660" w:orient="portrait"/>
          <w:cols w:equalWidth="0" w:num="1">
            <w:col w:w="10420"/>
          </w:cols>
          <w:pgMar w:left="820" w:top="741" w:right="820" w:bottom="0" w:gutter="0" w:footer="0" w:header="0"/>
          <w:type w:val="continuous"/>
        </w:sectPr>
      </w:pPr>
    </w:p>
    <w:bookmarkStart w:id="79" w:name="page80"/>
    <w:bookmarkEnd w:id="79"/>
    <w:p>
      <w:pPr>
        <w:ind w:left="1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7"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See Part III, Item 12 of this Annual Report for information about securities authorized for issuance under our equity compensation plans.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the three months ended December 31, 2024, we repurchased the following shares of Class A common stock:</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Shares That</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177"/>
        </w:trPr>
        <w:tc>
          <w:tcPr>
            <w:tcW w:w="5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5"/>
                <w:szCs w:val="15"/>
                <w:color w:val="auto"/>
              </w:rPr>
            </w:pPr>
          </w:p>
        </w:tc>
        <w:tc>
          <w:tcPr>
            <w:tcW w:w="12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6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Plans or</w:t>
            </w:r>
          </w:p>
        </w:tc>
        <w:tc>
          <w:tcPr>
            <w:tcW w:w="60" w:type="dxa"/>
            <w:vAlign w:val="bottom"/>
          </w:tcPr>
          <w:p>
            <w:pPr>
              <w:spacing w:after="0"/>
              <w:rPr>
                <w:sz w:val="15"/>
                <w:szCs w:val="15"/>
                <w:color w:val="auto"/>
              </w:rPr>
            </w:pPr>
          </w:p>
        </w:tc>
        <w:tc>
          <w:tcPr>
            <w:tcW w:w="126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Under the Plans</w:t>
            </w:r>
          </w:p>
        </w:tc>
      </w:tr>
      <w:tr>
        <w:trPr>
          <w:trHeight w:val="232"/>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6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Programs </w:t>
            </w:r>
            <w:r>
              <w:rPr>
                <w:rFonts w:ascii="Times New Roman" w:cs="Times New Roman" w:eastAsia="Times New Roman" w:hAnsi="Times New Roman"/>
                <w:sz w:val="20"/>
                <w:szCs w:val="20"/>
                <w:b w:val="1"/>
                <w:bCs w:val="1"/>
                <w:color w:val="auto"/>
                <w:w w:val="96"/>
                <w:vertAlign w:val="superscript"/>
              </w:rPr>
              <w:t>(1)</w:t>
            </w:r>
          </w:p>
        </w:tc>
        <w:tc>
          <w:tcPr>
            <w:tcW w:w="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or Programs </w:t>
            </w:r>
            <w:r>
              <w:rPr>
                <w:rFonts w:ascii="Times New Roman" w:cs="Times New Roman" w:eastAsia="Times New Roman" w:hAnsi="Times New Roman"/>
                <w:sz w:val="20"/>
                <w:szCs w:val="20"/>
                <w:b w:val="1"/>
                <w:bCs w:val="1"/>
                <w:color w:val="auto"/>
                <w:w w:val="96"/>
                <w:vertAlign w:val="superscript"/>
              </w:rPr>
              <w:t>(1)</w:t>
            </w:r>
          </w:p>
        </w:tc>
      </w:tr>
      <w:tr>
        <w:trPr>
          <w:trHeight w:val="274"/>
        </w:trPr>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1, 2024 – October 31, 2024</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214,790</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 2024 – November 30,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128,840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197,848</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2024 – December 31, 2024</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135,280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132.69</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179,898</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264,120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264,120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200" w:lineRule="exact"/>
        <w:rPr>
          <w:sz w:val="20"/>
          <w:szCs w:val="20"/>
          <w:color w:val="auto"/>
        </w:rPr>
      </w:pPr>
    </w:p>
    <w:p>
      <w:pPr>
        <w:ind w:left="370" w:hanging="370"/>
        <w:spacing w:after="0"/>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5, 2022, we announced that our board of directors authorized the 2022 Share Repurchase Program, after completing in October 2022, the</w:t>
      </w:r>
    </w:p>
    <w:p>
      <w:pPr>
        <w:spacing w:after="0" w:line="24" w:lineRule="exact"/>
        <w:rPr>
          <w:rFonts w:ascii="Times New Roman" w:cs="Times New Roman" w:eastAsia="Times New Roman" w:hAnsi="Times New Roman"/>
          <w:sz w:val="16"/>
          <w:szCs w:val="16"/>
          <w:color w:val="auto"/>
        </w:rPr>
      </w:pPr>
    </w:p>
    <w:p>
      <w:pPr>
        <w:ind w:left="37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million of total repurchases of the Company’s Class A common stock authorized under the Company’s previous program in February 2021.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75" w:lineRule="exact"/>
        <w:rPr>
          <w:rFonts w:ascii="Times New Roman" w:cs="Times New Roman" w:eastAsia="Times New Roman" w:hAnsi="Times New Roman"/>
          <w:sz w:val="16"/>
          <w:szCs w:val="16"/>
          <w:color w:val="auto"/>
        </w:rPr>
      </w:pPr>
    </w:p>
    <w:p>
      <w:pPr>
        <w:ind w:left="370" w:right="14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35"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2024, the Company withheld 11,622 shares of Class A common stock in connection with such exercises and vesting of stock awards.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70</w:t>
      </w:r>
    </w:p>
    <w:p>
      <w:pPr>
        <w:sectPr>
          <w:pgSz w:w="12060" w:h="15660" w:orient="portrait"/>
          <w:cols w:equalWidth="0" w:num="1">
            <w:col w:w="10450"/>
          </w:cols>
          <w:pgMar w:left="810" w:top="741" w:right="80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following graph shows a comparison of the cumulative total return for (i) our Class A common stock, (ii) the S&amp;P 500 Index and (iii) the Dow Jones U.S. Financials Index, in each case for the past five years. The figures in this graph assume an initial investment of $100 in our Class A common stock and in each index on December 31, 2019, and that all dividends were reinvested. Historical stock price performance should not be relied upon as an indication of future stock price performance</w:t>
      </w:r>
      <w:r>
        <w:rPr>
          <w:rFonts w:ascii="Times New Roman" w:cs="Times New Roman" w:eastAsia="Times New Roman" w:hAnsi="Times New Roman"/>
          <w:sz w:val="20"/>
          <w:szCs w:val="20"/>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140335</wp:posOffset>
            </wp:positionV>
            <wp:extent cx="6629400" cy="3799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extLst>
                    </a:blip>
                    <a:srcRect/>
                    <a:stretch>
                      <a:fillRect/>
                    </a:stretch>
                  </pic:blipFill>
                  <pic:spPr bwMode="auto">
                    <a:xfrm>
                      <a:off x="0" y="0"/>
                      <a:ext cx="662940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060" w:h="15660" w:orient="portrait"/>
          <w:cols w:equalWidth="0" w:num="1">
            <w:col w:w="10340"/>
          </w:cols>
          <w:pgMar w:left="820" w:top="74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71</w:t>
      </w:r>
    </w:p>
    <w:p>
      <w:pPr>
        <w:sectPr>
          <w:pgSz w:w="12060" w:h="15660" w:orient="portrait"/>
          <w:cols w:equalWidth="0" w:num="1">
            <w:col w:w="10340"/>
          </w:cols>
          <w:pgMar w:left="820" w:top="741" w:right="900" w:bottom="0" w:gutter="0" w:footer="0" w:header="0"/>
          <w:type w:val="continuous"/>
        </w:sectPr>
      </w:pPr>
    </w:p>
    <w:bookmarkStart w:id="81" w:name="page82"/>
    <w:bookmarkEnd w:id="81"/>
    <w:p>
      <w:pPr>
        <w:ind w:right="64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includes a comparison of our results of operations, cash flows and liquidity and capital resources for the years ended December 31, 2024 and 2023, respectively. A comparison of our results of operations, cash flows and liquidity and capital resources for the years ended December 31, 2023 and December 31, 2022 may be found in Part II, Item 7. – “Management’s Discussion and Analysis of Financial Condition and Results of Operations,” of our Annual Report on Form 10-K for the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Our institutional client sector serves institutional investors in over 85 countries around the globe and across over 30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6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 client sector through our acquisition of ICD on August 1, 2024.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6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060" w:h="15660" w:orient="portrait"/>
          <w:cols w:equalWidth="0" w:num="1">
            <w:col w:w="10420"/>
          </w:cols>
          <w:pgMar w:left="820" w:top="741" w:right="820" w:bottom="0" w:gutter="0" w:footer="0" w:header="0"/>
          <w:type w:val="continuous"/>
        </w:sectPr>
      </w:pPr>
    </w:p>
    <w:bookmarkStart w:id="82" w:name="page83"/>
    <w:bookmarkEnd w:id="82"/>
    <w:p>
      <w:pPr>
        <w:ind w:right="420"/>
        <w:spacing w:after="0" w:line="281" w:lineRule="auto"/>
        <w:rPr>
          <w:sz w:val="20"/>
          <w:szCs w:val="20"/>
          <w:color w:val="auto"/>
        </w:rPr>
      </w:pPr>
      <w:r>
        <w:rPr>
          <w:rFonts w:ascii="Times New Roman" w:cs="Times New Roman" w:eastAsia="Times New Roman" w:hAnsi="Times New Roman"/>
          <w:sz w:val="20"/>
          <w:szCs w:val="20"/>
          <w:color w:val="auto"/>
        </w:rPr>
        <w:t>including through the use of data and analytics, we believe the demand for our platforms and electronic trading solutions will continue to grow.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and Other Factors Impacting Our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03"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ICD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1, 2024, we completed our acquisition of ICD.</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connection with the acquisition closing, Tradeweb Markets Inc. (the “Corporation”) issued and sold 41,705 shares of Class A common stock, with a grant date fair value of $4.7 million, to an equityholder of the ICD seller, who was also an employee of ICD and is currently an employee of the Company, which shares of Class A common stock were issued and sold as restricted stock (“RSAs”). The RSAs issued are subject to a two-year vesting period and forfeiture terms, pursuant to the Tradeweb Markets Inc. 2019 Omnibus Equity Incentive Plan. Of the $4.7 million in RSAs issued, $3.3 million was allocated to consideration transferred for the business combination, relating to the pre-combination service period completed before the acquisition date, and $1.3 million will be amortized into non-cash stock-based compensation expense over the two-year service period required subsequent to the acquisition date, with such special stock-based compensation amortization expense excluded from our non-GAAP financial measures of Adjusted EBITDA and Adjusted Net Income when it is recorded as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paid at closing, net of cash acquired and net of the proceeds from the sale of the RSAs, totaled $773.8 million, of which</w:t>
      </w:r>
    </w:p>
    <w:p>
      <w:pPr>
        <w:spacing w:after="0" w:line="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$770.9 million was determined to be consideration transferred for the business combination, $1.4 million was expensed during the year ended December 31, 2024 and $1.4 million was recorded as a prepaid asset, to be expensed over a two-year period. Both of these purchase price amounts that were or will be expensed are considered merger and acquisition transaction and integration costs and will be excluded from our non-GAAP financial measures of Adjusted EBITDA and Adjusted Net Income when recorded as expense.</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connection with the ICD Acquisition, we also issued to certain key ICD employees, 92,672 restricted stock units (the “ICD RSU Awards”), with a total grant date fair value of $10.3 million, that will vest one-third each year over a three-year period. Management determined that approximately $5.2 million of the ICD RSU Awards represents market based ordinary course compensation expense for these individuals, with the remaining $5.2 million representing a special award to help ensure retention of these key ICD employees during the three-year period subsequent to the acquisition and allow sufficient time for the integration of ICD’s operations into Tradeweb. The stock-based compensation expense relating to the portion of the ICD RSU Awards determined to be a special award will also be excluded from our non-GAAP financial measures of Adjusted EBITDA and Adjusted Net Income when it is recorded as expense. See “Non-GAAP Financial Measures” below for further details on ICD Acquisition related non-GAAP adjustments.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ICD is an institutional investment technology provider for corporate treasury organizations trading short-term investments. ICD’s flagship products include ICD Portal and ICD Portfolio Analytics. Our ICD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w:t>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As part of Tradeweb, our goal is to provide a comprehensive solution for corporate treasurers and asset managers worldwide to manage short-term liquidity needs, including future plans to provide ICD clients with the ability to manage short-term liquidity needs and FX risk, as well as optimize yield and duration via our existing suite of products and partnerships. ICD clients will retain the ability to fully integrate their workflows with leading third-party treasury management and accounting systems and ICD’s portfolio analytics solution. In addition to plans to cross-sell our products to ICD’s clients, we also plan to leverage our international presence with the aim to accelerate growth and expansion, including by offering money market funds to our existing network of clients globally.</w:t>
      </w:r>
    </w:p>
    <w:p>
      <w:pPr>
        <w:spacing w:after="0" w:line="17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From the date of the ICD Acquisition through December 31, 2024, ICD revenues of $43.2 million and operating income of $2.1 million, including $18.4 million of depreciation and amortization from acquired assets, were included in our consolidated statements of income for the year ended December 31, 2024. See Note 4 – Acquisitions to the consolidated financial statements included elsewhere in this Annual Report on Form 10-K for additional details of this acquisition.</w:t>
      </w:r>
    </w:p>
    <w:p>
      <w:pPr>
        <w:sectPr>
          <w:pgSz w:w="12060" w:h="15660" w:orient="portrait"/>
          <w:cols w:equalWidth="0" w:num="1">
            <w:col w:w="10420"/>
          </w:cols>
          <w:pgMar w:left="820" w:top="748" w:right="820" w:bottom="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2060" w:h="15660" w:orient="portrait"/>
          <w:cols w:equalWidth="0" w:num="1">
            <w:col w:w="10420"/>
          </w:cols>
          <w:pgMar w:left="820" w:top="748" w:right="82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r8fin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19, 2024, we completed our acquisition of r8fin (the “r8fin Acquisition”) in exchange for total consideration of</w:t>
      </w:r>
    </w:p>
    <w:p>
      <w:pPr>
        <w:spacing w:after="0" w:line="3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$125.9 million, consisting of $89.2 million in cash paid at closing (net of cash acquired) and the issuance of 374,601 shares of Class A common stock of the Corporation valued as of the acquisition date at $36.7 million.</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creating a valuable and broad-based approach to trading U.S. Treasuries and related futures trading. The r8fin Acquisition is not material to our consolidated financial statements and did not have a significant impact to our results of operations for the year ended December 31, 2024. See Note 4 – Acquisitions to the consolidated financial statements included elsewhere in this Annual Report on Form 10-K for additional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Organizational Changes</w:t>
      </w: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On June 20, 2024, we announced organizational changes to optimize operations for continued growth. As part of those organizational changes, Amy Clack joined the Company in August 2024 as Chief Administrative Officer and a member of the Executive Committee, overseeing operations, business integration, risk and corporate services. In addition, Thomas Pluta, our former President, left the Company and the board of directors, effective September 30, 2024. Effective in January 2025, we also named Enrico Bruni and Troy Dixon to the newly created roles of Co-Head of Global Markets. Mr. Dixon stepped down from serving on our board of directors, effective December 31, 2024, in anticipation of his new role as a member of our Executive Committee.</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2024, we incurred $2.9 million in incremental compensation expense related to a cash severance payment to be paid to Mr. Pluta in accordance with the Company’s Executive Severance Policy with respect to Mr. Pluta’s departure in September 2024, all recorded during the three months ended June 30, 2024. As of June 17, 2024, there was also approximately $4.4 million in total unamortized stock-based compensation associated with equity awards previously granted to Mr. Pluta that were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 that was excluded from our non-GAAP financial measures of Adjusted EBITDA and Adjusted Net Income when it was recorded as expense during the year ended December 31, 2024. See “Non-GAAP Financial Measures” below for further details.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Environment</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2025 include, among other things, evolving monetary policies of central banks, economic, political and social conditions, legislative, regulatory or government policy changes, including the recent change in U.S. administration and Congress, which may lead to material changes to prior laws, rules and regulations, guidance and enforcement stances and concerns with respect to the banking industry, including as a result of any bank failures.</w:t>
      </w:r>
    </w:p>
    <w:p>
      <w:pPr>
        <w:spacing w:after="0" w:line="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9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ectPr>
          <w:pgSz w:w="12060" w:h="15660" w:orient="portrait"/>
          <w:cols w:equalWidth="0" w:num="1">
            <w:col w:w="10380"/>
          </w:cols>
          <w:pgMar w:left="820" w:top="74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74</w:t>
      </w:r>
    </w:p>
    <w:p>
      <w:pPr>
        <w:sectPr>
          <w:pgSz w:w="12060" w:h="15660" w:orient="portrait"/>
          <w:cols w:equalWidth="0" w:num="1">
            <w:col w:w="10380"/>
          </w:cols>
          <w:pgMar w:left="820" w:top="744" w:right="8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Environment</w:t>
      </w:r>
    </w:p>
    <w:p>
      <w:pPr>
        <w:spacing w:after="0" w:line="13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including the recent change in U.S. administration and Congress, which may lead to material changes to prior laws, rules and regulations, guidance and enforcement stances.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Environment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pursue strategic acquisitions and alliances and (vii)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Cybersecurity Environment</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See Part I, Item 1C. – “Cybersecurity – Governance” for further detail regarding our cybersecurity risk management, strategy and governance structure.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Environment</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2024, 2023 and 2022.</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060" w:h="15660" w:orient="portrait"/>
          <w:cols w:equalWidth="0" w:num="1">
            <w:col w:w="10420"/>
          </w:cols>
          <w:pgMar w:left="820" w:top="739" w:right="82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Taxation</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On August 16, 2022, former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years ended December 31, 2024 and 2023. The Company is subject to the current 15% CAMT. However, it is not expected to have a material impact on the Company’s effective tax rate. The IRA also has not had an impact to our non-GAAP adjusted effective tax rate used for purposes of calculating our non-GAAP measure of Adjusted Net Income.</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 is derived primarily from transaction fees, commissions, subscription fees and market data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Fees and Commissions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060" w:h="15660" w:orient="portrait"/>
          <w:cols w:equalWidth="0" w:num="1">
            <w:col w:w="10420"/>
          </w:cols>
          <w:pgMar w:left="820" w:top="741" w:right="8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Subscription Fees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15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Compensation and Benefits</w:t>
      </w:r>
    </w:p>
    <w:p>
      <w:pPr>
        <w:spacing w:after="0" w:line="2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1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Communications</w:t>
      </w:r>
    </w:p>
    <w:p>
      <w:pPr>
        <w:spacing w:after="0" w:line="2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Fees</w:t>
      </w:r>
    </w:p>
    <w:p>
      <w:pPr>
        <w:spacing w:after="0" w:line="214"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Occupancy</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tax receivable agreement liability adjustment reflects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ectPr>
          <w:pgSz w:w="12060" w:h="15660" w:orient="portrait"/>
          <w:cols w:equalWidth="0" w:num="1">
            <w:col w:w="10420"/>
          </w:cols>
          <w:pgMar w:left="820" w:top="7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060" w:h="15660" w:orient="portrait"/>
          <w:cols w:equalWidth="0" w:num="1">
            <w:col w:w="10420"/>
          </w:cols>
          <w:pgMar w:left="820" w:top="744" w:right="82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Interest income consists primarily of interest earned from our cash deposited with large commercial banks and money market funds, as well as interest earned from our investments in available-for-sale debt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(Loss), Net</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Non-Controlling Interests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December 31, 2024, we owned 90.2% of TWM LLC and Continuing LLC Owners owned the remaining 9.8% of TWM LLC.</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060" w:h="15660" w:orient="portrait"/>
          <w:cols w:equalWidth="0" w:num="1">
            <w:col w:w="10420"/>
          </w:cols>
          <w:pgMar w:left="820" w:top="739" w:right="820" w:bottom="0" w:gutter="0" w:footer="0" w:header="0"/>
          <w:type w:val="continuous"/>
        </w:sectPr>
      </w:pPr>
    </w:p>
    <w:bookmarkStart w:id="88" w:name="page89"/>
    <w:bookmarkEnd w:id="88"/>
    <w:p>
      <w:pPr>
        <w:ind w:left="1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 the Years Ended December 31, 2024 and December 31, 2023</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sets forth a summary of our statements of income for the years ended December 31, 2024 and 2023:</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1,047,921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832,950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214,971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25.8 %</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678,028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505,269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 adjustment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(181.2)%</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109.0 %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(91.5)%</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754,402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547,980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(128,477)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43.6 %</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569,963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419,503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68,456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54,637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-2202815</wp:posOffset>
            </wp:positionV>
            <wp:extent cx="66548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-1840865</wp:posOffset>
            </wp:positionV>
            <wp:extent cx="6654800" cy="1847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extLst>
                    </a:blip>
                    <a:srcRect/>
                    <a:stretch>
                      <a:fillRect/>
                    </a:stretch>
                  </pic:blipFill>
                  <pic:spPr bwMode="auto">
                    <a:xfrm>
                      <a:off x="0" y="0"/>
                      <a:ext cx="6654800" cy="1847850"/>
                    </a:xfrm>
                    <a:prstGeom prst="rect">
                      <a:avLst/>
                    </a:prstGeom>
                    <a:noFill/>
                  </pic:spPr>
                </pic:pic>
              </a:graphicData>
            </a:graphic>
          </wp:anchor>
        </w:drawing>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Our revenues for the years ended December 31, 2024 and 2023, and the resulting dollar and percentage changes, were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2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2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3"/>
        </w:trPr>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2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4"/>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8"/>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fees and</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commissions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1,078,344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32.0 %</w:t>
            </w:r>
          </w:p>
        </w:tc>
      </w:tr>
      <w:tr>
        <w:trPr>
          <w:trHeight w:val="289"/>
        </w:trPr>
        <w:tc>
          <w:tcPr>
            <w:tcW w:w="26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Subscription fees </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288,804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11,567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17.6 %</w:t>
            </w:r>
          </w:p>
        </w:tc>
      </w:tr>
      <w:tr>
        <w:trPr>
          <w:trHeight w:val="24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387,730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3"/>
        </w:trPr>
        <w:tc>
          <w:tcPr>
            <w:tcW w:w="41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Components of total revenue growth:</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3"/>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Constant currency change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impact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5"/>
        </w:trPr>
        <w:tc>
          <w:tcPr>
            <w:tcW w:w="2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revenue growth</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0"/>
        </w:trPr>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-1993265</wp:posOffset>
            </wp:positionV>
            <wp:extent cx="6654800" cy="2000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extLst>
                    </a:blip>
                    <a:srcRect/>
                    <a:stretch>
                      <a:fillRect/>
                    </a:stretch>
                  </pic:blipFill>
                  <pic:spPr bwMode="auto">
                    <a:xfrm>
                      <a:off x="0" y="0"/>
                      <a:ext cx="6654800" cy="2000250"/>
                    </a:xfrm>
                    <a:prstGeom prst="rect">
                      <a:avLst/>
                    </a:prstGeom>
                    <a:noFill/>
                  </pic:spPr>
                </pic:pic>
              </a:graphicData>
            </a:graphic>
          </wp:anchor>
        </w:drawing>
      </w:r>
    </w:p>
    <w:p>
      <w:pPr>
        <w:spacing w:after="0" w:line="100" w:lineRule="exact"/>
        <w:rPr>
          <w:sz w:val="20"/>
          <w:szCs w:val="20"/>
          <w:color w:val="auto"/>
        </w:rPr>
      </w:pPr>
    </w:p>
    <w:p>
      <w:pPr>
        <w:ind w:left="370" w:hanging="370"/>
        <w:spacing w:after="0"/>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fees for the years ended December 31, 2024 and 2023 include $82.1 million and $64.3 million, respectively, of LSEG market data fees.</w:t>
      </w:r>
    </w:p>
    <w:p>
      <w:pPr>
        <w:spacing w:after="0" w:line="24" w:lineRule="exact"/>
        <w:rPr>
          <w:rFonts w:ascii="Times New Roman" w:cs="Times New Roman" w:eastAsia="Times New Roman" w:hAnsi="Times New Roman"/>
          <w:sz w:val="16"/>
          <w:szCs w:val="16"/>
          <w:color w:val="auto"/>
        </w:rPr>
      </w:pPr>
    </w:p>
    <w:p>
      <w:pPr>
        <w:ind w:left="370" w:right="140" w:hanging="370"/>
        <w:spacing w:after="0" w:line="253" w:lineRule="auto"/>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79</w:t>
      </w:r>
    </w:p>
    <w:p>
      <w:pPr>
        <w:sectPr>
          <w:pgSz w:w="12060" w:h="15660" w:orient="portrait"/>
          <w:cols w:equalWidth="0" w:num="1">
            <w:col w:w="10450"/>
          </w:cols>
          <w:pgMar w:left="810" w:top="741" w:right="800" w:bottom="0" w:gutter="0" w:footer="0" w:header="0"/>
          <w:type w:val="continuous"/>
        </w:sectPr>
      </w:pPr>
    </w:p>
    <w:bookmarkStart w:id="89" w:name="page90"/>
    <w:bookmarkEnd w:id="89"/>
    <w:p>
      <w:pPr>
        <w:ind w:right="180"/>
        <w:spacing w:after="0" w:line="254" w:lineRule="auto"/>
        <w:rPr>
          <w:sz w:val="20"/>
          <w:szCs w:val="20"/>
          <w:color w:val="auto"/>
        </w:rPr>
      </w:pPr>
      <w:r>
        <w:rPr>
          <w:rFonts w:ascii="Times New Roman" w:cs="Times New Roman" w:eastAsia="Times New Roman" w:hAnsi="Times New Roman"/>
          <w:sz w:val="20"/>
          <w:szCs w:val="20"/>
          <w:color w:val="auto"/>
        </w:rPr>
        <w:t>Our strong results for the year ended December 31, 2024 reflected significant organic growth and solid contributions from our recent acquisitions of ICD, r8fin and Yieldbroker. We remained focused on and grew market share while also benefiting from rates market volatility around central bank moves and broad-based volume growth, which underscored our sustained momentum across asset classes. The primary driver of the $387.7 million increase in revenue was related to a $345.2 million increase in transaction fees and commissions to $1.4 billion for the year ended December 31, 2024 from $1.1 billion for the year ended December 31, 2023, primarily due to higher revenues for rates derivatives products, U.S. and European corporate bonds, U.S., European and other government bonds, repurchase agreements and mortgages, as well as the basis point commissions earned on the ADB of client money market fund investments made through the ICD Portal for the five months in 2024 subsequent to the ICD acquisition closing.</w:t>
      </w:r>
    </w:p>
    <w:p>
      <w:pPr>
        <w:spacing w:after="0" w:line="169"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color w:val="auto"/>
        </w:rPr>
        <w:t>Our total revenue by asset class for the years ended December 31, 2024 and 2023,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904,938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695,434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367,394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82.9 %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94,074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24,547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23,012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654800" cy="206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654800" cy="206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-43815</wp:posOffset>
            </wp:positionV>
            <wp:extent cx="247332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spacing w:after="0" w:line="18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Our variable and fixed revenues by asset class for the years ended December 31, 2024 and 2023,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21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2180" w:type="dxa"/>
            <w:vAlign w:val="bottom"/>
          </w:tcPr>
          <w:p>
            <w:pPr>
              <w:spacing w:after="0"/>
              <w:rPr>
                <w:sz w:val="19"/>
                <w:szCs w:val="19"/>
                <w:color w:val="auto"/>
              </w:rPr>
            </w:pPr>
          </w:p>
        </w:tc>
        <w:tc>
          <w:tcPr>
            <w:tcW w:w="2000" w:type="dxa"/>
            <w:vAlign w:val="bottom"/>
            <w:gridSpan w:val="3"/>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8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2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w w:val="94"/>
              </w:rPr>
              <w:t>Fixed</w:t>
            </w: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Fixed</w:t>
            </w:r>
          </w:p>
        </w:tc>
      </w:tr>
      <w:tr>
        <w:trPr>
          <w:trHeight w:val="274"/>
        </w:trPr>
        <w:tc>
          <w:tcPr>
            <w:tcW w:w="2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8"/>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$ 660,438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$ 244,500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$ 462,132</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$ 233,302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$ 198,306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4.8 %</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423,708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338,981</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28,413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84,727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24.4 %</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86,003</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9,292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45,830</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17,180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117,563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93,806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25.3 %</w:t>
            </w:r>
          </w:p>
        </w:tc>
      </w:tr>
      <w:tr>
        <w:trPr>
          <w:trHeight w:val="288"/>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23,566</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23,012</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r>
      <w:tr>
        <w:trPr>
          <w:trHeight w:val="24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$1,278,764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$ 447,185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$ 933,214</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$ 405,005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$ 345,550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654800" cy="1485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key drivers of the change in total revenue by asset class are summarized as follows:</w:t>
      </w:r>
    </w:p>
    <w:p>
      <w:pPr>
        <w:spacing w:after="0" w:line="21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xml:space="preserve"> Revenues from our rates asset class increased by $209.5 million or 30.1% to $904.9 million for the year ended December 31, 2024 compared to $695.4 million for the year ended December 31, 2023 primarily due to higher variable transaction fees and commissions on higher trading volumes for rates derivatives products, U.S., European and other government bonds and mortgages.</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Revenues from our credit asset class increased by $91.6 million or 24.9% to $459.0 million for the year ended December 31, 2024 compared to $367.4 million for the year ended December 31, 2023 primarily due to higher variable transaction fees and commissions on higher trading volumes for U.S. and European corporate bonds and credit derivatives products, as well as an increase in fixed subscription fees.</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060" w:h="15660" w:orient="portrait"/>
          <w:cols w:equalWidth="0" w:num="1">
            <w:col w:w="10440"/>
          </w:cols>
          <w:pgMar w:left="820" w:top="748" w:right="800" w:bottom="0" w:gutter="0" w:footer="0" w:header="0"/>
          <w:type w:val="continuous"/>
        </w:sectPr>
      </w:pPr>
    </w:p>
    <w:bookmarkStart w:id="90" w:name="page91"/>
    <w:bookmarkEnd w:id="90"/>
    <w:p>
      <w:pPr>
        <w:ind w:right="40"/>
        <w:spacing w:after="0" w:line="266" w:lineRule="auto"/>
        <w:rPr>
          <w:sz w:val="20"/>
          <w:szCs w:val="20"/>
          <w:color w:val="auto"/>
        </w:rPr>
      </w:pPr>
      <w:r>
        <w:rPr>
          <w:rFonts w:ascii="Times New Roman" w:cs="Times New Roman" w:eastAsia="Times New Roman" w:hAnsi="Times New Roman"/>
          <w:sz w:val="20"/>
          <w:szCs w:val="20"/>
          <w:u w:val="single" w:color="auto"/>
          <w:color w:val="auto"/>
        </w:rPr>
        <w:t>Equities.</w:t>
      </w:r>
      <w:r>
        <w:rPr>
          <w:rFonts w:ascii="Times New Roman" w:cs="Times New Roman" w:eastAsia="Times New Roman" w:hAnsi="Times New Roman"/>
          <w:sz w:val="20"/>
          <w:szCs w:val="20"/>
          <w:color w:val="auto"/>
        </w:rPr>
        <w:t xml:space="preserve"> Revenues from our equities asset class increased by $8.9 million or 9.3% to $104.2 million for the year ended December 31, 2024 compared to $95.3 million for the year ended December 31, 2023 primarily due to higher variable transaction fees and commissions on higher trading volumes for European ETFs and equity derivatives products.</w:t>
      </w:r>
    </w:p>
    <w:p>
      <w:pPr>
        <w:spacing w:after="0" w:line="1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Money Markets.</w:t>
      </w:r>
      <w:r>
        <w:rPr>
          <w:rFonts w:ascii="Times New Roman" w:cs="Times New Roman" w:eastAsia="Times New Roman" w:hAnsi="Times New Roman"/>
          <w:sz w:val="20"/>
          <w:szCs w:val="20"/>
          <w:color w:val="auto"/>
        </w:rPr>
        <w:t xml:space="preserve"> Revenues from our money markets asset class increased by $52.2 million or 82.9% to $115.2 million for the year ended December 31, 2024 compared to $63.0 million for the year ended December 31, 2023 primarily due to the August 1, 2024 acquisition of ICD and the associated basis point commissions earned on the ADB of client money market fund investments made through the ICD Portal, as well as higher variable transaction fees and commissions on higher trading volumes for repurchase agreements.</w:t>
      </w:r>
    </w:p>
    <w:p>
      <w:pPr>
        <w:spacing w:after="0" w:line="1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asset class increased by $23.9 million or 25.5% to $118.0 million for the year ended December 31, 2024 compared to $94.1 million for the year ended December 31, 2023. The increase was derived primarily from increased LSEG market data fees from our market data agreement that was amended effective as of November 1, 2023, as well as an increase in proprietary third party market data revenue.</w:t>
      </w:r>
    </w:p>
    <w:p>
      <w:pPr>
        <w:spacing w:after="0" w:line="16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Revenues from our other asset class increased by $1.5 million or 6.7% to $24.5 million for the year ended December 31, 2024 compared to $23.0 million for the year ended December 31, 2023.</w:t>
      </w:r>
    </w:p>
    <w:p>
      <w:pPr>
        <w:spacing w:after="0" w:line="14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We generate revenue from a diverse portfolio of client sectors. Our total revenue by client sector for the years ended December 31, 2024 and 2023,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Institutional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1,035,775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Wholesale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Corporates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43,234</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118,020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94,074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654800" cy="20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3">
                      <a:extLst>
                        <a:ext uri="{28A0092B-C50C-407E-A947-70E740481C1C}"/>
                      </a:extLst>
                    </a:blip>
                    <a:srcRect/>
                    <a:stretch>
                      <a:fillRect/>
                    </a:stretch>
                  </pic:blipFill>
                  <pic:spPr bwMode="auto">
                    <a:xfrm>
                      <a:off x="0" y="0"/>
                      <a:ext cx="6654800" cy="231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96"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9"/>
          <w:szCs w:val="19"/>
          <w:u w:val="single" w:color="auto"/>
          <w:color w:val="auto"/>
        </w:rPr>
        <w:t>Institutional.</w:t>
      </w:r>
      <w:r>
        <w:rPr>
          <w:rFonts w:ascii="Times New Roman" w:cs="Times New Roman" w:eastAsia="Times New Roman" w:hAnsi="Times New Roman"/>
          <w:sz w:val="19"/>
          <w:szCs w:val="19"/>
          <w:color w:val="auto"/>
        </w:rPr>
        <w:t xml:space="preserve"> Revenues from our institutional client sector increased by $238.7 million or 30.0% to $1.0 billion for the year ended December 31, 2024 from $797.0 million for the year ended December 31, 2023. The increase was derived primarily from higher revenues for rates derivatives products, U.S. and European corporate bonds and U.S., European and other government bonds.</w:t>
      </w:r>
    </w:p>
    <w:p>
      <w:pPr>
        <w:spacing w:after="0" w:line="13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u w:val="single" w:color="auto"/>
          <w:color w:val="auto"/>
        </w:rPr>
        <w:t>Wholesale.</w:t>
      </w:r>
      <w:r>
        <w:rPr>
          <w:rFonts w:ascii="Times New Roman" w:cs="Times New Roman" w:eastAsia="Times New Roman" w:hAnsi="Times New Roman"/>
          <w:sz w:val="20"/>
          <w:szCs w:val="20"/>
          <w:color w:val="auto"/>
        </w:rPr>
        <w:t xml:space="preserve"> Revenues from our wholesale client sector increased by $73.1 million or 23.4% to $385.7 million for the year ended December 31, 2024 from $312.6 million for the year ended December 31, 2023. The increase was derived primarily from higher revenues for U.S. government bonds, including positive contributions from r8fin, as well as higher revenues for U.S. and European corporate bonds, rates derivatives products and repurchase agreements.</w:t>
      </w:r>
    </w:p>
    <w:p>
      <w:pPr>
        <w:spacing w:after="0" w:line="16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20"/>
          <w:szCs w:val="20"/>
          <w:u w:val="single" w:color="auto"/>
          <w:color w:val="auto"/>
        </w:rPr>
        <w:t>Retail.</w:t>
      </w:r>
      <w:r>
        <w:rPr>
          <w:rFonts w:ascii="Times New Roman" w:cs="Times New Roman" w:eastAsia="Times New Roman" w:hAnsi="Times New Roman"/>
          <w:sz w:val="20"/>
          <w:szCs w:val="20"/>
          <w:color w:val="auto"/>
        </w:rPr>
        <w:t xml:space="preserve"> Revenues from our retail client sector increased by $8.7 million or 6.5% to $143.2 million for the year ended December 31, 2024 from $134.5 million for the year ended December 31, 2023. The increase was derived primarily from higher revenues for U.S. corporate bonds, municipals and structured products.</w:t>
      </w:r>
    </w:p>
    <w:p>
      <w:pPr>
        <w:spacing w:after="0" w:line="1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u w:val="single" w:color="auto"/>
          <w:color w:val="auto"/>
        </w:rPr>
        <w:t>Corporates.</w:t>
      </w:r>
      <w:r>
        <w:rPr>
          <w:rFonts w:ascii="Times New Roman" w:cs="Times New Roman" w:eastAsia="Times New Roman" w:hAnsi="Times New Roman"/>
          <w:sz w:val="20"/>
          <w:szCs w:val="20"/>
          <w:color w:val="auto"/>
        </w:rPr>
        <w:t xml:space="preserve"> Revenues from our corporates client sector were $43.2 million for the year ended December 31, 2024.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ADB of client money market fund investments made through the ICD Portal for the five months subsequent to the acquisition closing. See “—Trends and Other Factors Impacting Our Performance—Acquisitions,” above for further details about this acquisition.</w:t>
      </w:r>
    </w:p>
    <w:p>
      <w:pPr>
        <w:spacing w:after="0" w:line="16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client sector increased by $23.9 million or 25.5% to $118.0 million for the year ended December 31, 2024 from $94.1 million for the year ended December 31, 2023. The increase was derived primarily from increased LSEG market data fees from our market data agreement that was amended effective as of November 1, 2023, as well as an increase in proprietary third party market data revenue.</w:t>
      </w:r>
    </w:p>
    <w:p>
      <w:pPr>
        <w:sectPr>
          <w:pgSz w:w="12060" w:h="15660" w:orient="portrait"/>
          <w:cols w:equalWidth="0" w:num="1">
            <w:col w:w="10440"/>
          </w:cols>
          <w:pgMar w:left="820" w:top="748" w:right="80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060" w:h="15660" w:orient="portrait"/>
          <w:cols w:equalWidth="0" w:num="1">
            <w:col w:w="10440"/>
          </w:cols>
          <w:pgMar w:left="820" w:top="748" w:right="800" w:bottom="0" w:gutter="0" w:footer="0" w:header="0"/>
          <w:type w:val="continuous"/>
        </w:sectPr>
      </w:pPr>
    </w:p>
    <w:bookmarkStart w:id="91" w:name="page92"/>
    <w:bookmarkEnd w:id="91"/>
    <w:p>
      <w:pPr>
        <w:ind w:right="140"/>
        <w:spacing w:after="0" w:line="281" w:lineRule="auto"/>
        <w:rPr>
          <w:sz w:val="20"/>
          <w:szCs w:val="20"/>
          <w:color w:val="auto"/>
        </w:rPr>
      </w:pPr>
      <w:r>
        <w:rPr>
          <w:rFonts w:ascii="Times New Roman" w:cs="Times New Roman" w:eastAsia="Times New Roman" w:hAnsi="Times New Roman"/>
          <w:sz w:val="20"/>
          <w:szCs w:val="20"/>
          <w:color w:val="auto"/>
        </w:rPr>
        <w:t>Our revenues and client base are also diversified by geography. Our total revenue by geography (based on client location) for the years ended December 31, 2024 and 2023,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1,060,697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850,338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210,359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487,881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36.4 %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-43815</wp:posOffset>
            </wp:positionV>
            <wp:extent cx="247332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6">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Revenues from U.S. clients increased by $210.4 million or 24.7% to $1.1 billion for the year ended December 31, 2024 from $850.3 million for the year ended December 31, 2023 primarily due to higher revenues for U.S. corporate bonds, U.S. government bonds, rates derivatives products, market data and money markets, including contributions from ICD.</w:t>
      </w:r>
    </w:p>
    <w:p>
      <w:pPr>
        <w:spacing w:after="0" w:line="155"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u w:val="single" w:color="auto"/>
          <w:color w:val="auto"/>
        </w:rPr>
        <w:t>International.</w:t>
      </w:r>
      <w:r>
        <w:rPr>
          <w:rFonts w:ascii="Times New Roman" w:cs="Times New Roman" w:eastAsia="Times New Roman" w:hAnsi="Times New Roman"/>
          <w:sz w:val="20"/>
          <w:szCs w:val="20"/>
          <w:color w:val="auto"/>
        </w:rPr>
        <w:t xml:space="preserve"> Revenues from International clients increased by $177.4 million or 36.4% to $665.3 million for the year ended December 31, 2024 from $487.9 million for the year ended December 31, 2023 primarily due to higher revenues for rates derivatives products, European and other government bonds, European corporate bonds, market data and money markets, including contributions from ICD.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expenses for the years ended December 31, 2024 and 2023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6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592,690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460,305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219,999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41.9 %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Occupancy</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20,215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1,047,921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832,950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25.8 %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654800" cy="206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206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0">
                      <a:extLst>
                        <a:ext uri="{28A0092B-C50C-407E-A947-70E740481C1C}"/>
                      </a:extLst>
                    </a:blip>
                    <a:srcRect/>
                    <a:stretch>
                      <a:fillRect/>
                    </a:stretch>
                  </pic:blipFill>
                  <pic:spPr bwMode="auto">
                    <a:xfrm>
                      <a:off x="0" y="0"/>
                      <a:ext cx="6654800" cy="231775"/>
                    </a:xfrm>
                    <a:prstGeom prst="rect">
                      <a:avLst/>
                    </a:prstGeom>
                    <a:noFill/>
                  </pic:spPr>
                </pic:pic>
              </a:graphicData>
            </a:graphic>
          </wp:anchor>
        </w:drawing>
      </w:r>
    </w:p>
    <w:p>
      <w:pPr>
        <w:spacing w:after="0" w:line="18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u w:val="single" w:color="auto"/>
          <w:color w:val="auto"/>
        </w:rPr>
        <w:t>Employee Compensation and Benefits.</w:t>
      </w:r>
      <w:r>
        <w:rPr>
          <w:rFonts w:ascii="Times New Roman" w:cs="Times New Roman" w:eastAsia="Times New Roman" w:hAnsi="Times New Roman"/>
          <w:sz w:val="20"/>
          <w:szCs w:val="20"/>
          <w:color w:val="auto"/>
        </w:rPr>
        <w:t xml:space="preserve"> Expenses related to employee compensation and benefits increased by $132.4 million or 28.8% to $592.7 million for the year ended December 31, 2024 from $460.3 million for the year ended December 31, 2023. The increase was primarily due to an increase in incentive compensation expense tied to our financial performance, as well as an increase in headcount and related salaries, bonuses and benefits to support our continued growth.</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u w:val="single" w:color="auto"/>
          <w:color w:val="auto"/>
        </w:rPr>
        <w:t>Depreciation and Amortization.</w:t>
      </w:r>
      <w:r>
        <w:rPr>
          <w:rFonts w:ascii="Times New Roman" w:cs="Times New Roman" w:eastAsia="Times New Roman" w:hAnsi="Times New Roman"/>
          <w:sz w:val="20"/>
          <w:szCs w:val="20"/>
          <w:color w:val="auto"/>
        </w:rPr>
        <w:t xml:space="preserve"> Expenses related to depreciation and amortization increased by $34.6 million or 18.7% to $220.0 million for the year ended December 31, 2024 from $185.4 million for the year ended December 31, 2023. The increase was primarily due to increases in amortization of assets acquired in connection with the ICD, r8fin and Yieldbroker acquisitions on August 1, 2024, January 19, 2024 and August 31, 2023, respectively.</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u w:val="single" w:color="auto"/>
          <w:color w:val="auto"/>
        </w:rPr>
        <w:t>Technology and Communications.</w:t>
      </w:r>
      <w:r>
        <w:rPr>
          <w:rFonts w:ascii="Times New Roman" w:cs="Times New Roman" w:eastAsia="Times New Roman" w:hAnsi="Times New Roman"/>
          <w:sz w:val="20"/>
          <w:szCs w:val="20"/>
          <w:color w:val="auto"/>
        </w:rPr>
        <w:t xml:space="preserve"> Expenses related to technology and communications increased by $21.1 million or 27.2% to $98.6 million for the year ended December 31, 2024 from $77.5 million for the year ended December 31, 2023. The increase was primarily due to investment in our data strategy and infrastructure and increased clearance and data fees driven primarily by higher trading volumes period-over-period.</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060" w:h="15660" w:orient="portrait"/>
          <w:cols w:equalWidth="0" w:num="1">
            <w:col w:w="10440"/>
          </w:cols>
          <w:pgMar w:left="820" w:top="748" w:right="800" w:bottom="0" w:gutter="0" w:footer="0" w:header="0"/>
          <w:type w:val="continuous"/>
        </w:sectPr>
      </w:pPr>
    </w:p>
    <w:bookmarkStart w:id="92" w:name="page93"/>
    <w:bookmarkEnd w:id="92"/>
    <w:p>
      <w:pPr>
        <w:ind w:right="200"/>
        <w:spacing w:after="0" w:line="270" w:lineRule="auto"/>
        <w:rPr>
          <w:sz w:val="20"/>
          <w:szCs w:val="20"/>
          <w:color w:val="auto"/>
        </w:rPr>
      </w:pPr>
      <w:r>
        <w:rPr>
          <w:rFonts w:ascii="Times New Roman" w:cs="Times New Roman" w:eastAsia="Times New Roman" w:hAnsi="Times New Roman"/>
          <w:sz w:val="19"/>
          <w:szCs w:val="19"/>
          <w:u w:val="single" w:color="auto"/>
          <w:color w:val="auto"/>
        </w:rPr>
        <w:t>General and Administrative.</w:t>
      </w:r>
      <w:r>
        <w:rPr>
          <w:rFonts w:ascii="Times New Roman" w:cs="Times New Roman" w:eastAsia="Times New Roman" w:hAnsi="Times New Roman"/>
          <w:sz w:val="19"/>
          <w:szCs w:val="19"/>
          <w:color w:val="auto"/>
        </w:rPr>
        <w:t xml:space="preserve"> Expenses related to general and administrative costs increased by $4.8 million or 9.4% to $56.3 million for the year ended December 31, 2024 from $51.5 million for the year ended December 31, 2023. The increase was primarily due to increases in travel, marketing and recruiting costs to support our continued growth. These increases were offset by an $11.3 million increase in foreign exchange gains during the year ended December 31, 2024 compared to the year ended December 31, 2023. Realized and unrealized foreign currency gains totaled $10.4 million during the year ended December 31, 2024 as compared to $0.8 million in losses during the year ended December 31, 2023. The change was primarily driven by the change in fair value of our foreign currency forward contracts used in connection with our foreign currency risk management program, partially offset by an increase in foreign currency re-measurement losses on transactions in nonfunctional currencies.</w:t>
      </w:r>
    </w:p>
    <w:p>
      <w:pPr>
        <w:spacing w:after="0" w:line="1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u w:val="single" w:color="auto"/>
          <w:color w:val="auto"/>
        </w:rPr>
        <w:t>Professional Fees.</w:t>
      </w:r>
      <w:r>
        <w:rPr>
          <w:rFonts w:ascii="Times New Roman" w:cs="Times New Roman" w:eastAsia="Times New Roman" w:hAnsi="Times New Roman"/>
          <w:sz w:val="20"/>
          <w:szCs w:val="20"/>
          <w:color w:val="auto"/>
        </w:rPr>
        <w:t xml:space="preserve"> Expenses related to professional fees increased by $17.8 million or 41.9% to $60.1 million for the year ended December 31, 2024 from $42.4 million for the year ended December 31, 2023. The increase was primarily due to an increase in professional fees related to acquisitions.</w:t>
      </w:r>
    </w:p>
    <w:p>
      <w:pPr>
        <w:spacing w:after="0" w:line="15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0"/>
          <w:szCs w:val="20"/>
          <w:u w:val="single" w:color="auto"/>
          <w:color w:val="auto"/>
        </w:rPr>
        <w:t>Occupancy.</w:t>
      </w:r>
      <w:r>
        <w:rPr>
          <w:rFonts w:ascii="Times New Roman" w:cs="Times New Roman" w:eastAsia="Times New Roman" w:hAnsi="Times New Roman"/>
          <w:sz w:val="20"/>
          <w:szCs w:val="20"/>
          <w:color w:val="auto"/>
        </w:rPr>
        <w:t xml:space="preserve"> Expenses related to occupancy costs increased by $4.3 million or 26.9% to $20.2 million for the year ended December 31, 2024 as compared to $15.9 million for the year ended December 31, 2023. The increase was primarily due to higher data center and office rent expense associated with our global expansion.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tax receivable agreement liability adjustment was $7.7 million of income for the year ended December 31, 2024 compared to $9.5 million of expense for the year ended December 31, 2023, due to changes in the tax receivable agreement liability recorded in our consolidated statements of financial condition primarily as a result of changes to tax legislation and tax rates in various jurisdictions, which impacted our estimated future tax savings.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4"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9"/>
          <w:szCs w:val="19"/>
          <w:color w:val="auto"/>
        </w:rPr>
        <w:t>Interest income increased by $6.6 million to $74.0 million for the year ended December 31, 2024 from $67.4 million for the year ended December 31, 2023 primarily due to increases in interest rates and our average invested cash balance period over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14"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9"/>
          <w:szCs w:val="19"/>
          <w:color w:val="auto"/>
        </w:rPr>
        <w:t>Interest expense increased by $2.2 million to $4.3 million for the year ended December 31, 2024 from $2.0 million for the year ended December 31, 2023 primarily due to interest expense incurred on payments due under the Tax Receivable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(Loss), Net</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Other loss decreased by $12.0 million to a $1.1 million loss for the year ended December 31, 2024 from a $13.1 million loss for the year ended December 31, 2023. During the year ended December 31, 2024, we recognized a $1.3 million loss due to the impairment of a minority equity investment, which was partially offset by a $0.2 million unrealized gain relating to the increase in fair value of our Canton Coin holdings during the year ended December 31, 2024. During the year ended December 31, 2023, we recognized a $11.1 million loss due to the impairment of a minority equity investment and a $1.3 million loss in connection with unwinding the out-of-the-money foreign currency call option entered into in order to partially mitigate the foreign currency exposure on the payment of the purchase price for the Yieldbroker Acquisition. During the year ended December 31, 2023, we also recognized a $0.7 million loss due to a net reduction in the tax indemnification receivables from Refinitiv relating to the settlement of the tax matter for less than the previously estimated amount.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auto"/>
        </w:rPr>
        <w:t>Income tax expense increased by $56.0 million or 43.6% to $184.4 million for the year ended December 31, 2024 from $128.5 million for the year ended December 31, 2023. The provision for income taxes includes U.S. federal, state, local, and foreign taxes. The effective tax rate for the year ended December 31, 2024 was approximately 24.4%, compared with 23.4% for the year ended December 31, 2023. The effective tax rate for the years ended December 31, 2024 and 2023 differed from the U.S. federal statutory rate of 21.0% primarily due to state and local taxes net of the benefit related to the effect of non-controlling interests.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While inflation may impact our revenues and operating expenses, we believe the effects of inflation, if any, on our results of operations and financial condition have not been significant during the years ended December 31, 2024 and 2023. However, there can be no assurance that our results of operations and financial condition will not be materially impacted by inflation in the future. See “— Trends and Other Factors Impacting Our Performance — Economic Environment” above.</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060" w:h="15660" w:orient="portrait"/>
          <w:cols w:equalWidth="0" w:num="1">
            <w:col w:w="10420"/>
          </w:cols>
          <w:pgMar w:left="820" w:top="748" w:right="82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1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20"/>
          <w:szCs w:val="20"/>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and their sufficiency to fund our operating and investing activities.</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Historically, we have generated significant cash flows from operations and have funded our business operations through cash on hand and cash flows from operations.</w:t>
      </w:r>
    </w:p>
    <w:p>
      <w:pPr>
        <w:spacing w:after="0" w:line="14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20"/>
          <w:szCs w:val="20"/>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55"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As of December 31, 2024 and 2023, we had cash and cash equivalents of approximately $1.3 billion and $1.7 billion, respectively. All cash and cash equivalents were held in accounts with financial institutions or money market funds such that the funds are immediately available or in fixed term deposits or investments with a maximum maturity of three months. See Part II, Item 7A. – “Quantitative and Qualitative Disclosures About Market Risk – Credit Risk” elsewhere in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Influencing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$0.12 per share. As discussed below, our ability to pay these quarterly cash dividends on our Class A common stock and Class B common stock will depend on distributions to us from TWM LLC.</w:t>
      </w:r>
    </w:p>
    <w:p>
      <w:pPr>
        <w:spacing w:after="0" w:line="1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7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w:t>
      </w:r>
    </w:p>
    <w:p>
      <w:pPr>
        <w:sectPr>
          <w:pgSz w:w="12060" w:h="15660" w:orient="portrait"/>
          <w:cols w:equalWidth="0" w:num="1">
            <w:col w:w="10420"/>
          </w:cols>
          <w:pgMar w:left="820" w:top="741" w:right="820"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060" w:h="15660" w:orient="portrait"/>
          <w:cols w:equalWidth="0" w:num="1">
            <w:col w:w="10420"/>
          </w:cols>
          <w:pgMar w:left="820" w:top="741" w:right="820" w:bottom="0" w:gutter="0" w:footer="0" w:header="0"/>
          <w:type w:val="continuous"/>
        </w:sectPr>
      </w:pPr>
    </w:p>
    <w:bookmarkStart w:id="94" w:name="page95"/>
    <w:bookmarkEnd w:id="94"/>
    <w:p>
      <w:pPr>
        <w:ind w:right="80"/>
        <w:spacing w:after="0" w:line="258" w:lineRule="auto"/>
        <w:rPr>
          <w:sz w:val="20"/>
          <w:szCs w:val="20"/>
          <w:color w:val="auto"/>
        </w:rPr>
      </w:pPr>
      <w:r>
        <w:rPr>
          <w:rFonts w:ascii="Times New Roman" w:cs="Times New Roman" w:eastAsia="Times New Roman" w:hAnsi="Times New Roman"/>
          <w:sz w:val="20"/>
          <w:szCs w:val="20"/>
          <w:color w:val="auto"/>
        </w:rPr>
        <w:t>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Dividends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On February 6, 2025, the board of directors of Tradeweb Markets Inc. declared a cash dividend of $0.12 per share of Class A common stock and Class B common stock for the first quarter of 2025. This dividend will be payable on March 17, 2025 to stockholders of record as of March 3, 2025. The February 2025 dividend declaration of $0.12 represents a 20.0% per share increase from our 2024 quarterly dividend of $0.10. During 2024, Tradeweb Markets Inc. paid quarterly cash dividends of $0.10 per share to holders of Class A common stock and Class B common stock in an aggregate amount totaling $85.2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Distributions</w:t>
      </w:r>
    </w:p>
    <w:p>
      <w:pPr>
        <w:spacing w:after="0" w:line="21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On February 6, 2025, Tradeweb Markets Inc., as the sole manager, approved a distribution by TWM LLC to its equityholders, including Tradeweb Markets Inc., in an aggregate amount of $75.8 million, as adjusted by required state and local tax withholdings that will be determined prior to the record date of March 3, 2025, payable on March 13, 2025.</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During 2024, TWM LLC made quarterly cash distributions to its equityholders in an aggregate amount of $283.9 million, including distributions to Tradeweb Markets Inc. of $256.2 million and distributions to non-controlling interests of $27.8 million. The proceeds of the cash distributions were used by Tradeweb Markets Inc. to fund dividend payments, taxes and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Share Repurchase Program</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On December 5, 2022, the board of directors authorized the 2022 Share Repurchase Program, after completing in October 2022, the $150.0 million of total repurchases of the Company’s Class A common stock authorized under its previous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year ended December 31, 2024, the Company acquired a total of 478,915 shares of Class A common stock, at an average price of $125.07, for purchases totaling $59.9 million, pursuant to the 2022 Share Repurchase Program. As of December 31, 2024, a total of $179.9 million remained available for repurchase pursuant to the 2022 Share Repurchase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Share Repurchases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In addition to the share repurchase programs discussed above, we may also withhold shares to cover the payroll tax withholding obligations upon the exercise of stock options and vesting of PRSUs, RSUs and performance-based restricted stock units that vest based on market conditions (“PSUs”).</w:t>
      </w:r>
    </w:p>
    <w:p>
      <w:pPr>
        <w:spacing w:after="0" w:line="15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the Company withheld 485,745 shares of common stock from employee stock option, PRSU and RSU awards, at an average price per share of $98.72 and an aggregate value of $48.0 million based on the price of the Class A common stock on the date the relevant withholding occurred.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060" w:h="15660" w:orient="portrait"/>
          <w:cols w:equalWidth="0" w:num="1">
            <w:col w:w="10420"/>
          </w:cols>
          <w:pgMar w:left="820" w:top="748" w:right="82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2024, total amounts due to Continuing LLC Owners under the Tax Receivable Agreement were $372.8 million, substantially all due to be paid over 15 years following the purchase of LLC Interests from Continuing LLC Owners or redemption or exchanges by Continuing LLC Owners of LLC Interests.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The Company is subject to CAMT, which has impacted the estimated period in which the payments will be made, as reflected in the payment schedule below. As of December 31, 2024, we had the following obligations expected to be paid pursuant to the Tax Receivable Agreement. We may choose, at our discretion, to make estimated payments ahead of contractual due dates in an effort to reduce interest expense payable on the current liability and as a result, timing of actual payments may differ from the schedule below.</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More than 5</w:t>
            </w:r>
          </w:p>
        </w:tc>
      </w:tr>
      <w:tr>
        <w:trPr>
          <w:trHeight w:val="217"/>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Less than 1 year</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1 to 3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3 to 5 years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274"/>
        </w:trPr>
        <w:tc>
          <w:tcPr>
            <w:tcW w:w="3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2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372,839</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94,596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175,017</w:t>
            </w:r>
          </w:p>
        </w:tc>
      </w:tr>
      <w:tr>
        <w:trPr>
          <w:trHeight w:val="20"/>
        </w:trPr>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19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we had no outstanding indebtedness.</w:t>
      </w:r>
    </w:p>
    <w:p>
      <w:pPr>
        <w:spacing w:after="0" w:line="21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On November 21, 2023, TWM LLC entered into the 2023 Revolving Credit Facility with a syndicate of banks, which replaced its secured credit facility entered into on April 8, 2019. The 2023 Revolving Credit Facility provides borrowing capacity to be used to fund ongoing working capital needs, letters of credit and for general corporate purposes, including potential future acquisitions and expansions.</w:t>
      </w:r>
    </w:p>
    <w:p>
      <w:pPr>
        <w:spacing w:after="0" w:line="1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The 2023 Revolving Credit Facility permits borrowings of up to $500.0 million by TWM LLC. Subject to the satisfaction of certain conditions, we will be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6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As of December 31, 2024, there were $0.5 million in letters of credit issued under the 2023 Revolving Credit Facility and no borrowings outstanding. As of December 31, 2024, we had availability of $499.5 million.</w:t>
      </w:r>
    </w:p>
    <w:p>
      <w:pPr>
        <w:spacing w:after="0" w:line="14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Borrowings under the 2023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w:t>
      </w:r>
    </w:p>
    <w:p>
      <w:pPr>
        <w:sectPr>
          <w:pgSz w:w="12060" w:h="15660" w:orient="portrait"/>
          <w:cols w:equalWidth="0" w:num="1">
            <w:col w:w="10440"/>
          </w:cols>
          <w:pgMar w:left="820" w:top="744" w:right="800" w:bottom="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060" w:h="15660" w:orient="portrait"/>
          <w:cols w:equalWidth="0" w:num="1">
            <w:col w:w="10440"/>
          </w:cols>
          <w:pgMar w:left="820" w:top="744" w:right="800" w:bottom="0" w:gutter="0" w:footer="0" w:header="0"/>
          <w:type w:val="continuous"/>
        </w:sectPr>
      </w:pPr>
    </w:p>
    <w:bookmarkStart w:id="96" w:name="page97"/>
    <w:bookmarkEnd w:id="96"/>
    <w:p>
      <w:pPr>
        <w:ind w:right="240"/>
        <w:spacing w:after="0" w:line="266" w:lineRule="auto"/>
        <w:rPr>
          <w:sz w:val="20"/>
          <w:szCs w:val="20"/>
          <w:color w:val="auto"/>
        </w:rPr>
      </w:pPr>
      <w:r>
        <w:rPr>
          <w:rFonts w:ascii="Times New Roman" w:cs="Times New Roman" w:eastAsia="Times New Roman" w:hAnsi="Times New Roman"/>
          <w:sz w:val="20"/>
          <w:szCs w:val="20"/>
          <w:color w:val="auto"/>
        </w:rPr>
        <w:t>margin based on the Company’s consolidated net leverage ratio ranging from 1.25% to 1.75%. The agreement that governs the 2023 Revolving Credit Facility also includes a commitment fee of 0.25% for available but unborrowed amounts. We are also required to pay customary letter of credit fees and agency fees.</w:t>
      </w:r>
    </w:p>
    <w:p>
      <w:pPr>
        <w:spacing w:after="0" w:line="15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have the option to voluntarily repay outstanding loans at any time without premium or penalty other than customary “breakage” costs with respect to Term SOFR, SONIA and EURIBOR loans. There will be no scheduled amortization under the 2023 Revolving Credit Facility. The principal amount outstanding will be due and payable in full at maturity.</w:t>
      </w:r>
    </w:p>
    <w:p>
      <w:pPr>
        <w:spacing w:after="0" w:line="15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2023 Revolving Credit Facility is unsecured and as of December 31, 2024, obligations under the 2023 Revolving Credit Facility are not guaranteed by any of the Company’s subsidiaries.</w:t>
      </w:r>
    </w:p>
    <w:p>
      <w:pPr>
        <w:spacing w:after="0" w:line="14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2023 Revolving Credit Facility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w:t>
      </w:r>
    </w:p>
    <w:p>
      <w:pPr>
        <w:spacing w:after="0" w:line="1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The credit agreement that governs the 2023 Revolving Credit Facility also contains certain affirmative covenants and events of default customary for facilities of this type, including relating to a change of control. If an event of default occurs, the lenders under the 2023 Revolving Credit Facility will be entitled to take various actions, including the acceleration of amounts due under the 2023 Revolving Credit Facility.</w:t>
      </w:r>
    </w:p>
    <w:p>
      <w:pPr>
        <w:spacing w:after="0" w:line="163" w:lineRule="exact"/>
        <w:rPr>
          <w:sz w:val="20"/>
          <w:szCs w:val="20"/>
          <w:color w:val="auto"/>
        </w:rPr>
      </w:pPr>
    </w:p>
    <w:p>
      <w:pPr>
        <w:ind w:right="760"/>
        <w:spacing w:after="0" w:line="459" w:lineRule="auto"/>
        <w:rPr>
          <w:sz w:val="20"/>
          <w:szCs w:val="20"/>
          <w:color w:val="auto"/>
        </w:rPr>
      </w:pPr>
      <w:r>
        <w:rPr>
          <w:rFonts w:ascii="Times New Roman" w:cs="Times New Roman" w:eastAsia="Times New Roman" w:hAnsi="Times New Roman"/>
          <w:sz w:val="20"/>
          <w:szCs w:val="20"/>
          <w:color w:val="auto"/>
        </w:rPr>
        <w:t xml:space="preserve">As of December 31, 2024, we were in compliance with all the covenants set forth in the 2023 Revolving Credit Facility. </w:t>
      </w:r>
      <w:r>
        <w:rPr>
          <w:rFonts w:ascii="Times New Roman" w:cs="Times New Roman" w:eastAsia="Times New Roman" w:hAnsi="Times New Roman"/>
          <w:sz w:val="20"/>
          <w:szCs w:val="20"/>
          <w:b w:val="1"/>
          <w:bCs w:val="1"/>
          <w:i w:val="1"/>
          <w:iCs w:val="1"/>
          <w:color w:val="auto"/>
        </w:rPr>
        <w:t>Operating Lease Obligations</w:t>
      </w: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lease for our new headquarters in New York City that is expected to commence in mid-2025 and has an expected initial lease term of approximately 16 years. In August 2024, the existing lease for our current New York City headquarters was extended through September 2025.</w:t>
      </w:r>
    </w:p>
    <w:p>
      <w:pPr>
        <w:spacing w:after="0" w:line="1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As of December 31, 2024, our operating lease liabilities totaled $35.7 million, with payments pursuant to these obligations due within the next 12 months and thereafter totaling $13.4 million and $25.7 million, respectively. In addition, we are obligated on long-term future minimum lease payments of $159.2 million for a lease signed but not yet commenced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2025 to be between $99 million and $109 million, compared to expenditures of $88.9 million and $61.8 million in fiscal years 2024 and 2023, respectively, with the midpoint of our 2025 capital expenditure guidance up 17% versus fiscal year 2024 primarily due to anticipated capitalized spend associated with our global headquarters relocation. Excluding the 2024 and 2025 one-time spend, the mid-point growth is projected to be approximately 3% higher year over year.</w:t>
      </w:r>
    </w:p>
    <w:p>
      <w:pPr>
        <w:sectPr>
          <w:pgSz w:w="12060" w:h="15660" w:orient="portrait"/>
          <w:cols w:equalWidth="0" w:num="1">
            <w:col w:w="10360"/>
          </w:cols>
          <w:pgMar w:left="820" w:top="74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87</w:t>
      </w:r>
    </w:p>
    <w:p>
      <w:pPr>
        <w:sectPr>
          <w:pgSz w:w="12060" w:h="15660" w:orient="portrait"/>
          <w:cols w:equalWidth="0" w:num="1">
            <w:col w:w="10360"/>
          </w:cols>
          <w:pgMar w:left="820" w:top="748" w:right="8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Other Cash and Liquidity Requirements</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FCA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2024 and 2023, each of our regulated subsidiaries had maintained sufficient net capital or financial resources to at least satisfy their minimum requirements, which in aggregate were $83.0 million and $76.7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Prior to November 2023, we had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December 31, 2024, we recorded a $67.8 million receivable and payable from/to brokers and dealers and clearing organizations related to failed settlement transactions. All of the failed settlement transactions outstanding as of December 31, 2024 were fully settled during January 2025. See below for further details regarding the changes to working capital as a result of these failed settlement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ectPr>
          <w:pgSz w:w="12060" w:h="15660" w:orient="portrait"/>
          <w:cols w:equalWidth="0" w:num="1">
            <w:col w:w="10400"/>
          </w:cols>
          <w:pgMar w:left="820" w:top="7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ectPr>
          <w:pgSz w:w="12060" w:h="15660" w:orient="portrait"/>
          <w:cols w:equalWidth="0" w:num="1">
            <w:col w:w="10400"/>
          </w:cols>
          <w:pgMar w:left="820" w:top="744" w:right="84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Our working capital as of December 31, 2024 and 2023 was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7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1,340,302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1,706,468</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from brokers and dealers and clearing organizations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381,178</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36,806</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168,407</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and due from affiliates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192</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1,694,171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2,294,051</w:t>
            </w:r>
          </w:p>
        </w:tc>
      </w:tr>
      <w:tr>
        <w:trPr>
          <w:trHeight w:val="26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Securities sold under agreements to repurchase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21,612</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to brokers and dealers and clearing organizations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351,864</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164,329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25,746</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and due to affiliates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1,327</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6"/>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56,878</w:t>
            </w:r>
          </w:p>
        </w:tc>
      </w:tr>
      <w:tr>
        <w:trPr>
          <w:trHeight w:val="285"/>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11,347</w:t>
            </w:r>
          </w:p>
        </w:tc>
      </w:tr>
      <w:tr>
        <w:trPr>
          <w:trHeight w:val="288"/>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26,804</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432,902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659,907</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working capital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1,261,269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1,634,144</w:t>
            </w:r>
          </w:p>
        </w:tc>
      </w:tr>
      <w:tr>
        <w:trPr>
          <w:trHeight w:val="20"/>
        </w:trPr>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654800" cy="3295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2">
                      <a:extLst>
                        <a:ext uri="{28A0092B-C50C-407E-A947-70E740481C1C}"/>
                      </a:extLst>
                    </a:blip>
                    <a:srcRect/>
                    <a:stretch>
                      <a:fillRect/>
                    </a:stretch>
                  </pic:blipFill>
                  <pic:spPr bwMode="auto">
                    <a:xfrm>
                      <a:off x="0" y="0"/>
                      <a:ext cx="6654800" cy="32956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Assets</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Current assets decreased to $1.7 billion as of December 31, 2024 from $2.3 billion as of December 31, 2023 primarily due to a decrease in cash and cash equivalents as a result of the cash paid for the ICD Acquisition and a decrease in receivables from brokers and dealers and clearing organizations resulting from a decrease in unsettled wholesale platform transactions and a lower value of fails to deliver, all of which settled in January 2025. This decrease was partially offset by an increase in accounts receivable resulting from an increase in revenues and timing of collections. See “—Cash Flows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below for further discussion of the change in cash and cash equivalents.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Liabilities</w:t>
      </w: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Current liabilities decreased to $432.9 million as of December 31, 2024 from $659.9 million as of December 31, 2023 primarily due to a decrease in payable to brokers and dealers and clearing organizations resulting from a decrease in unsettled wholesale platform transactions and a lower value of fails to receive, all of which settled in January 2025.</w:t>
      </w:r>
    </w:p>
    <w:p>
      <w:pPr>
        <w:spacing w:after="0" w:line="1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See “—Other Cash and Liquidity Requirements” above for a discussion on how capital requirements can impact our working capital.</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060" w:h="15660" w:orient="portrait"/>
          <w:cols w:equalWidth="0" w:num="1">
            <w:col w:w="10440"/>
          </w:cols>
          <w:pgMar w:left="820" w:top="748" w:right="80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cash flows for the years ended December 31, 2024, 2023 and 2022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0" w:type="dxa"/>
            <w:vAlign w:val="bottom"/>
            <w:gridSpan w:val="6"/>
          </w:tcPr>
          <w:p>
            <w:pPr>
              <w:jc w:val="center"/>
              <w:ind w:left="546"/>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6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632,822</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(969,190)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(60,096)</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(276,703)</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cash equivalents and restricted cash</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(10,842)</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(366,166)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285,181</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942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1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2024 was $897.7 million, an increase of $151.7 million as compared to the year ended December 31, 2023, primarily driven by an increase in net income and other net changes in working capital, partially offset by an increase in cash paid for income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Investing activities consist primarily of software development costs, investments in technology hardware, purchases of equipment and other tangible assets, business acquisitions and investments.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used in investing activities was $969.2 million for the year ended December 31, 2024, which consisted of $860.1 million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total net cash paid for the acquisitions of ICD and r8fin (net of cash acquired), $47.9 million of capitalized software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development costs, $41.0 million of purchases of furniture, equipment, purchased software and leasehold improvements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 million of cash paid for investments. Net cash used in investing activities was $132.8 million for the year ended December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2023, which consisted of $69.7 million of total net cash paid for the Yieldbroker acquisition (net of cash acquired), $43.2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of capitalized software development costs, $18.5 million of purchases of furniture, equipment, purchased software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leasehold improvements and $1.3 million of cash paid for a foreign currency call option, net of sales proceeds.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used in financing activities for the year ended December 31, 2024 was $290.3 million, and was primarily driven by</w:t>
      </w:r>
    </w:p>
    <w:p>
      <w:pPr>
        <w:spacing w:after="0" w:line="3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$85.2 million in cash dividends to our Class A and Class B common stockholders, $77.0 million in payments made under our Tax Receivable Agreement, $59.1 million in share repurchases pursuant to our 2022 Share Repurchase Program, $41.3 million in payroll tax payments for options, PRSUs and RSUs, net of proceeds from stock-based compensation option exercises and $27.8 million in distributions to non-controlling interest holders. Net cash used in financing activities for the year ended December 31, 2023 was $168.2 million, and was primarily driven by $75.9 million in cash dividends to our Class A and Class B common stockholders, $36.1 million in payroll tax payments for options, PRSUs and RSUs, net of proceeds from stock-based compensation option exercises, $35.2 million in share repurchases pursuant to our 2022 Share Repurchase Program and $12.4 million in distributions to non-controlling interest 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ectPr>
          <w:pgSz w:w="12060" w:h="15660" w:orient="portrait"/>
          <w:cols w:equalWidth="0" w:num="1">
            <w:col w:w="10440"/>
          </w:cols>
          <w:pgMar w:left="820" w:top="73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060" w:h="15660" w:orient="portrait"/>
          <w:cols w:equalWidth="0" w:num="1">
            <w:col w:w="10440"/>
          </w:cols>
          <w:pgMar w:left="820" w:top="739" w:right="800" w:bottom="0" w:gutter="0" w:footer="0" w:header="0"/>
          <w:type w:val="continuous"/>
        </w:sectPr>
      </w:pPr>
    </w:p>
    <w:bookmarkStart w:id="100" w:name="page101"/>
    <w:bookmarkEnd w:id="100"/>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5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6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our cash flow from operating activities to Free Cash Flow for the years ended December 31, 2024, 2023 and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20" w:type="dxa"/>
            <w:vAlign w:val="bottom"/>
            <w:gridSpan w:val="6"/>
          </w:tcPr>
          <w:p>
            <w:pPr>
              <w:jc w:val="center"/>
              <w:ind w:left="527"/>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632,822</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Capitalization of software development costs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(36,882)</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Purchases of furniture, equipment and leasehold improvements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(40,960)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(18,529)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(23,214)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Free Cash Flow</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808,872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684,325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572,726</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762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4">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7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Adjusted EBIT margin, Adjusted Net Income and Adjusted Diluted EPS</w:t>
      </w:r>
    </w:p>
    <w:p>
      <w:pPr>
        <w:spacing w:after="0" w:line="13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and Adjusted EBIT margin</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5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The accelerated stock-based compensation expense associated with our former CFO, retired CEO</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060" w:h="15660" w:orient="portrait"/>
          <w:cols w:equalWidth="0" w:num="1">
            <w:col w:w="10440"/>
          </w:cols>
          <w:pgMar w:left="820" w:top="748" w:right="800" w:bottom="0" w:gutter="0" w:footer="0" w:header="0"/>
          <w:type w:val="continuous"/>
        </w:sectPr>
      </w:pPr>
    </w:p>
    <w:bookmarkStart w:id="101" w:name="page102"/>
    <w:bookmarkEnd w:id="101"/>
    <w:p>
      <w:pPr>
        <w:ind w:right="40"/>
        <w:spacing w:after="0" w:line="252" w:lineRule="auto"/>
        <w:rPr>
          <w:sz w:val="20"/>
          <w:szCs w:val="20"/>
          <w:color w:val="auto"/>
        </w:rPr>
      </w:pPr>
      <w:r>
        <w:rPr>
          <w:rFonts w:ascii="Times New Roman" w:cs="Times New Roman" w:eastAsia="Times New Roman" w:hAnsi="Times New Roman"/>
          <w:sz w:val="20"/>
          <w:szCs w:val="20"/>
          <w:color w:val="auto"/>
        </w:rPr>
        <w:t>and former President was fully amortized on January 4, 2022, December 31, 2022 and September 30, 2024, respectively.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Diluted EPS</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7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w:t>
      </w:r>
    </w:p>
    <w:p>
      <w:pPr>
        <w:sectPr>
          <w:pgSz w:w="12060" w:h="15660" w:orient="portrait"/>
          <w:cols w:equalWidth="0" w:num="1">
            <w:col w:w="10420"/>
          </w:cols>
          <w:pgMar w:left="820" w:top="748" w:right="820" w:bottom="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060" w:h="15660" w:orient="portrait"/>
          <w:cols w:equalWidth="0" w:num="1">
            <w:col w:w="10420"/>
          </w:cols>
          <w:pgMar w:left="820" w:top="748" w:right="820" w:bottom="0" w:gutter="0" w:footer="0" w:header="0"/>
          <w:type w:val="continuous"/>
        </w:sectPr>
      </w:pPr>
    </w:p>
    <w:bookmarkStart w:id="102" w:name="page103"/>
    <w:bookmarkEnd w:id="102"/>
    <w:p>
      <w:pPr>
        <w:ind w:left="10" w:right="100"/>
        <w:spacing w:after="0" w:line="266" w:lineRule="auto"/>
        <w:rPr>
          <w:sz w:val="20"/>
          <w:szCs w:val="20"/>
          <w:color w:val="auto"/>
        </w:rPr>
      </w:pPr>
      <w:r>
        <w:rPr>
          <w:rFonts w:ascii="Times New Roman" w:cs="Times New Roman" w:eastAsia="Times New Roman" w:hAnsi="Times New Roman"/>
          <w:sz w:val="20"/>
          <w:szCs w:val="20"/>
          <w:color w:val="auto"/>
        </w:rPr>
        <w:t>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55"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net income and net income margin to Adjusted EBITDA, Adjusted EBITDA margin, Adjusted EBIT and Adjusted EBIT margin for the years ended December 31, 2024, 2023 and 2022:</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4"/>
        </w:trPr>
        <w:tc>
          <w:tcPr>
            <w:tcW w:w="6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569,963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419,503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359,613</w:t>
            </w:r>
          </w:p>
        </w:tc>
        <w:tc>
          <w:tcPr>
            <w:tcW w:w="0" w:type="dxa"/>
            <w:vAlign w:val="bottom"/>
          </w:tcPr>
          <w:p>
            <w:pPr>
              <w:spacing w:after="0"/>
              <w:rPr>
                <w:sz w:val="1"/>
                <w:szCs w:val="1"/>
                <w:color w:val="auto"/>
              </w:rPr>
            </w:pPr>
          </w:p>
        </w:tc>
      </w:tr>
      <w:tr>
        <w:trPr>
          <w:trHeight w:val="31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22,823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8,042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1,069</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(74,037)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(67,397)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(13,712)</w:t>
            </w:r>
          </w:p>
        </w:tc>
        <w:tc>
          <w:tcPr>
            <w:tcW w:w="0" w:type="dxa"/>
            <w:vAlign w:val="bottom"/>
          </w:tcPr>
          <w:p>
            <w:pPr>
              <w:spacing w:after="0"/>
              <w:rPr>
                <w:sz w:val="1"/>
                <w:szCs w:val="1"/>
                <w:color w:val="auto"/>
              </w:rPr>
            </w:pP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4,279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2,047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1,805</w:t>
            </w:r>
          </w:p>
        </w:tc>
        <w:tc>
          <w:tcPr>
            <w:tcW w:w="0" w:type="dxa"/>
            <w:vAlign w:val="bottom"/>
          </w:tcPr>
          <w:p>
            <w:pPr>
              <w:spacing w:after="0"/>
              <w:rPr>
                <w:sz w:val="1"/>
                <w:szCs w:val="1"/>
                <w:color w:val="auto"/>
              </w:rPr>
            </w:pP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219,999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185,350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178,879</w:t>
            </w:r>
          </w:p>
        </w:tc>
        <w:tc>
          <w:tcPr>
            <w:tcW w:w="0" w:type="dxa"/>
            <w:vAlign w:val="bottom"/>
          </w:tcPr>
          <w:p>
            <w:pPr>
              <w:spacing w:after="0"/>
              <w:rPr>
                <w:sz w:val="1"/>
                <w:szCs w:val="1"/>
                <w:color w:val="auto"/>
              </w:rPr>
            </w:pPr>
          </w:p>
        </w:tc>
      </w:tr>
      <w:tr>
        <w:trPr>
          <w:trHeight w:val="31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6,096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2,947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20,409</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184,439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128,477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77,520</w:t>
            </w:r>
          </w:p>
        </w:tc>
        <w:tc>
          <w:tcPr>
            <w:tcW w:w="0" w:type="dxa"/>
            <w:vAlign w:val="bottom"/>
          </w:tcPr>
          <w:p>
            <w:pPr>
              <w:spacing w:after="0"/>
              <w:rPr>
                <w:sz w:val="1"/>
                <w:szCs w:val="1"/>
                <w:color w:val="auto"/>
              </w:rPr>
            </w:pPr>
          </w:p>
        </w:tc>
      </w:tr>
      <w:tr>
        <w:trPr>
          <w:trHeight w:val="291"/>
        </w:trPr>
        <w:tc>
          <w:tcPr>
            <w:tcW w:w="654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4,409</w:t>
            </w:r>
          </w:p>
        </w:tc>
        <w:tc>
          <w:tcPr>
            <w:tcW w:w="0" w:type="dxa"/>
            <w:vAlign w:val="bottom"/>
          </w:tcPr>
          <w:p>
            <w:pPr>
              <w:spacing w:after="0"/>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9,517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(13,653)</w:t>
            </w:r>
          </w:p>
        </w:tc>
        <w:tc>
          <w:tcPr>
            <w:tcW w:w="0" w:type="dxa"/>
            <w:vAlign w:val="bottom"/>
          </w:tcPr>
          <w:p>
            <w:pPr>
              <w:spacing w:after="0"/>
              <w:rPr>
                <w:sz w:val="1"/>
                <w:szCs w:val="1"/>
                <w:color w:val="auto"/>
              </w:rPr>
            </w:pPr>
          </w:p>
        </w:tc>
      </w:tr>
      <w:tr>
        <w:trPr>
          <w:trHeight w:val="26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1,114</w:t>
            </w:r>
          </w:p>
        </w:tc>
        <w:tc>
          <w:tcPr>
            <w:tcW w:w="1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13,122</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920,620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701,561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617,339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Less: Depreciation and amortization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(219,999)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(185,350)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(178,879)</w:t>
            </w:r>
          </w:p>
        </w:tc>
        <w:tc>
          <w:tcPr>
            <w:tcW w:w="0" w:type="dxa"/>
            <w:vAlign w:val="bottom"/>
          </w:tcPr>
          <w:p>
            <w:pPr>
              <w:spacing w:after="0"/>
              <w:rPr>
                <w:sz w:val="1"/>
                <w:szCs w:val="1"/>
                <w:color w:val="auto"/>
              </w:rPr>
            </w:pPr>
          </w:p>
        </w:tc>
      </w:tr>
      <w:tr>
        <w:trPr>
          <w:trHeight w:val="282"/>
        </w:trPr>
        <w:tc>
          <w:tcPr>
            <w:tcW w:w="654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Add: D&amp;A related to acquisitions and the Refinitiv Transaction </w:t>
            </w:r>
            <w:r>
              <w:rPr>
                <w:rFonts w:ascii="Times New Roman" w:cs="Times New Roman" w:eastAsia="Times New Roman" w:hAnsi="Times New Roman"/>
                <w:sz w:val="26"/>
                <w:szCs w:val="26"/>
                <w:color w:val="auto"/>
                <w:vertAlign w:val="superscript"/>
              </w:rPr>
              <w:t>(5)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156,489</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127,731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126,659</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857,110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643,942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565,119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-2564765</wp:posOffset>
            </wp:positionV>
            <wp:extent cx="6654800" cy="3101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5">
                      <a:extLst>
                        <a:ext uri="{28A0092B-C50C-407E-A947-70E740481C1C}"/>
                      </a:extLst>
                    </a:blip>
                    <a:srcRect/>
                    <a:stretch>
                      <a:fillRect/>
                    </a:stretch>
                  </pic:blipFill>
                  <pic:spPr bwMode="auto">
                    <a:xfrm>
                      <a:off x="0" y="0"/>
                      <a:ext cx="6654800" cy="3101975"/>
                    </a:xfrm>
                    <a:prstGeom prst="rect">
                      <a:avLst/>
                    </a:prstGeom>
                    <a:noFill/>
                  </pic:spPr>
                </pic:pic>
              </a:graphicData>
            </a:graphic>
          </wp:anchor>
        </w:drawing>
      </w:r>
    </w:p>
    <w:tbl>
      <w:tblPr>
        <w:tblLayout w:type="fixed"/>
        <w:tblInd w:w="50" w:type="dxa"/>
        <w:tblCellMar>
          <w:top w:w="0" w:type="dxa"/>
          <w:left w:w="0" w:type="dxa"/>
          <w:bottom w:w="0" w:type="dxa"/>
          <w:right w:w="0" w:type="dxa"/>
        </w:tblCellMar>
      </w:tblP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Net income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33.0 %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31.3 %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30.3 %</w:t>
            </w:r>
          </w:p>
        </w:tc>
      </w:tr>
      <w:tr>
        <w:trPr>
          <w:trHeight w:val="26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53.3 %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52.4 %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51.9 %</w:t>
            </w:r>
          </w:p>
        </w:tc>
      </w:tr>
      <w:tr>
        <w:trPr>
          <w:trHeight w:val="285"/>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49.7 %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48.1 %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47.5 %</w:t>
            </w:r>
          </w:p>
        </w:tc>
      </w:tr>
    </w:tbl>
    <w:p>
      <w:pPr>
        <w:spacing w:after="0" w:line="163" w:lineRule="exact"/>
        <w:rPr>
          <w:sz w:val="20"/>
          <w:szCs w:val="20"/>
          <w:color w:val="auto"/>
        </w:rPr>
      </w:pPr>
    </w:p>
    <w:p>
      <w:pPr>
        <w:ind w:left="370" w:right="20" w:hanging="370"/>
        <w:spacing w:after="0" w:line="257"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ind w:left="370" w:right="120" w:hanging="370"/>
        <w:spacing w:after="0" w:line="250"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During the years ended December 31, 2024 and 2022, this adjustment also includes $2.7 million and $15.0 million, respectively, of non-cash accelerated stock-based compensation expense and related payroll taxes associated with our former President and our retired CEO. During the year ended December 31, 2024, this adjustment also includes $1.0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6"/>
          <w:szCs w:val="16"/>
          <w:color w:val="auto"/>
        </w:rPr>
      </w:pPr>
    </w:p>
    <w:p>
      <w:pPr>
        <w:ind w:left="370" w:right="660" w:hanging="370"/>
        <w:spacing w:after="0" w:line="250"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70" w:right="60" w:hanging="370"/>
        <w:spacing w:after="0" w:line="250"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spacing w:after="0" w:line="1" w:lineRule="exact"/>
        <w:rPr>
          <w:rFonts w:ascii="Times New Roman" w:cs="Times New Roman" w:eastAsia="Times New Roman" w:hAnsi="Times New Roman"/>
          <w:sz w:val="16"/>
          <w:szCs w:val="16"/>
          <w:color w:val="auto"/>
        </w:rPr>
      </w:pPr>
    </w:p>
    <w:p>
      <w:pPr>
        <w:jc w:val="both"/>
        <w:ind w:left="370" w:right="60" w:hanging="370"/>
        <w:spacing w:after="0" w:line="255" w:lineRule="auto"/>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93</w:t>
      </w:r>
    </w:p>
    <w:p>
      <w:pPr>
        <w:sectPr>
          <w:pgSz w:w="12060" w:h="15660" w:orient="portrait"/>
          <w:cols w:equalWidth="0" w:num="1">
            <w:col w:w="10450"/>
          </w:cols>
          <w:pgMar w:left="810" w:top="748" w:right="800" w:bottom="0" w:gutter="0" w:footer="0" w:header="0"/>
          <w:type w:val="continuous"/>
        </w:sectPr>
      </w:pPr>
    </w:p>
    <w:bookmarkStart w:id="103" w:name="page104"/>
    <w:bookmarkEnd w:id="103"/>
    <w:tbl>
      <w:tblPr>
        <w:tblLayout w:type="fixed"/>
        <w:tblInd w:w="5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gridSpan w:val="3"/>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Basis Point</w:t>
            </w:r>
          </w:p>
        </w:tc>
        <w:tc>
          <w:tcPr>
            <w:tcW w:w="6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240" w:type="dxa"/>
            <w:vAlign w:val="bottom"/>
            <w:vMerge w:val="restart"/>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vMerge w:val="restart"/>
          </w:tcPr>
          <w:p>
            <w:pPr>
              <w:spacing w:after="0"/>
              <w:rPr>
                <w:sz w:val="13"/>
                <w:szCs w:val="13"/>
                <w:color w:val="auto"/>
              </w:rPr>
            </w:pPr>
          </w:p>
        </w:tc>
        <w:tc>
          <w:tcPr>
            <w:tcW w:w="124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Currency Basis</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Point Change </w:t>
            </w:r>
            <w:r>
              <w:rPr>
                <w:rFonts w:ascii="Times New Roman" w:cs="Times New Roman" w:eastAsia="Times New Roman" w:hAnsi="Times New Roman"/>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32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52.4 %</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 bps</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 bps</w:t>
            </w:r>
          </w:p>
        </w:tc>
        <w:tc>
          <w:tcPr>
            <w:tcW w:w="0" w:type="dxa"/>
            <w:vAlign w:val="bottom"/>
          </w:tcPr>
          <w:p>
            <w:pPr>
              <w:spacing w:after="0"/>
              <w:rPr>
                <w:sz w:val="1"/>
                <w:szCs w:val="1"/>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48.1 %</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 bps</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143" w:lineRule="exact"/>
        <w:rPr>
          <w:sz w:val="20"/>
          <w:szCs w:val="20"/>
          <w:color w:val="auto"/>
        </w:rPr>
      </w:pPr>
    </w:p>
    <w:p>
      <w:pPr>
        <w:ind w:left="370" w:right="60" w:hanging="370"/>
        <w:spacing w:after="0" w:line="255" w:lineRule="auto"/>
        <w:tabs>
          <w:tab w:leader="none" w:pos="3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64" w:lineRule="exact"/>
        <w:rPr>
          <w:sz w:val="20"/>
          <w:szCs w:val="20"/>
          <w:color w:val="auto"/>
        </w:rPr>
      </w:pPr>
    </w:p>
    <w:p>
      <w:pPr>
        <w:ind w:left="10" w:right="700"/>
        <w:spacing w:after="0" w:line="309" w:lineRule="auto"/>
        <w:rPr>
          <w:sz w:val="20"/>
          <w:szCs w:val="20"/>
          <w:color w:val="auto"/>
        </w:rPr>
      </w:pPr>
      <w:r>
        <w:rPr>
          <w:rFonts w:ascii="Times New Roman" w:cs="Times New Roman" w:eastAsia="Times New Roman" w:hAnsi="Times New Roman"/>
          <w:sz w:val="19"/>
          <w:szCs w:val="19"/>
          <w:color w:val="auto"/>
        </w:rPr>
        <w:t>The table set forth below presents a reconciliation of net income attributable to Tradeweb Markets Inc. and net income, as applicable, to Adjusted Net Income and Adjusted Diluted EPS for the years ended December 31, 2024, 2023 and 2022:</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4"/>
        </w:trPr>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60" w:type="dxa"/>
            <w:vAlign w:val="bottom"/>
            <w:gridSpan w:val="7"/>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0" w:type="dxa"/>
            <w:vAlign w:val="bottom"/>
          </w:tcPr>
          <w:p>
            <w:pPr>
              <w:spacing w:after="0"/>
              <w:rPr>
                <w:sz w:val="1"/>
                <w:szCs w:val="1"/>
                <w:color w:val="auto"/>
              </w:rPr>
            </w:pPr>
          </w:p>
        </w:tc>
      </w:tr>
      <w:tr>
        <w:trPr>
          <w:trHeight w:val="27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diluted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40" w:type="dxa"/>
            <w:vAlign w:val="bottom"/>
            <w:vMerge w:val="continue"/>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6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60" w:type="dxa"/>
            <w:vAlign w:val="bottom"/>
          </w:tcPr>
          <w:p>
            <w:pPr>
              <w:spacing w:after="0"/>
              <w:rPr>
                <w:sz w:val="21"/>
                <w:szCs w:val="21"/>
                <w:color w:val="auto"/>
              </w:rPr>
            </w:pPr>
          </w:p>
        </w:tc>
        <w:tc>
          <w:tcPr>
            <w:tcW w:w="3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309,338</w:t>
            </w:r>
          </w:p>
        </w:tc>
        <w:tc>
          <w:tcPr>
            <w:tcW w:w="0" w:type="dxa"/>
            <w:vAlign w:val="bottom"/>
          </w:tcPr>
          <w:p>
            <w:pPr>
              <w:spacing w:after="0"/>
              <w:rPr>
                <w:sz w:val="1"/>
                <w:szCs w:val="1"/>
                <w:color w:val="auto"/>
              </w:rPr>
            </w:pPr>
          </w:p>
        </w:tc>
      </w:tr>
      <w:tr>
        <w:trPr>
          <w:trHeight w:val="282"/>
        </w:trPr>
        <w:tc>
          <w:tcPr>
            <w:tcW w:w="654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Net income attributable to non-controlling interests </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54,637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50,275</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569,963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419,503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359,613</w:t>
            </w:r>
          </w:p>
        </w:tc>
        <w:tc>
          <w:tcPr>
            <w:tcW w:w="0" w:type="dxa"/>
            <w:vAlign w:val="bottom"/>
          </w:tcPr>
          <w:p>
            <w:pPr>
              <w:spacing w:after="0"/>
              <w:rPr>
                <w:sz w:val="1"/>
                <w:szCs w:val="1"/>
                <w:color w:val="auto"/>
              </w:rPr>
            </w:pP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77,520</w:t>
            </w:r>
          </w:p>
        </w:tc>
        <w:tc>
          <w:tcPr>
            <w:tcW w:w="0" w:type="dxa"/>
            <w:vAlign w:val="bottom"/>
          </w:tcPr>
          <w:p>
            <w:pPr>
              <w:spacing w:after="0"/>
              <w:rPr>
                <w:sz w:val="1"/>
                <w:szCs w:val="1"/>
                <w:color w:val="auto"/>
              </w:rPr>
            </w:pPr>
          </w:p>
        </w:tc>
      </w:tr>
      <w:tr>
        <w:trPr>
          <w:trHeight w:val="291"/>
        </w:trPr>
        <w:tc>
          <w:tcPr>
            <w:tcW w:w="654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1,069</w:t>
            </w:r>
          </w:p>
        </w:tc>
        <w:tc>
          <w:tcPr>
            <w:tcW w:w="0" w:type="dxa"/>
            <w:vAlign w:val="bottom"/>
          </w:tcPr>
          <w:p>
            <w:pPr>
              <w:spacing w:after="0"/>
              <w:rPr>
                <w:sz w:val="1"/>
                <w:szCs w:val="1"/>
                <w:color w:val="auto"/>
              </w:rPr>
            </w:pPr>
          </w:p>
        </w:tc>
      </w:tr>
      <w:tr>
        <w:trPr>
          <w:trHeight w:val="285"/>
        </w:trPr>
        <w:tc>
          <w:tcPr>
            <w:tcW w:w="654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D&amp;A related to acquisitions and the Refinitiv Transaction </w:t>
            </w:r>
            <w:r>
              <w:rPr>
                <w:rFonts w:ascii="Times New Roman" w:cs="Times New Roman" w:eastAsia="Times New Roman" w:hAnsi="Times New Roman"/>
                <w:sz w:val="26"/>
                <w:szCs w:val="26"/>
                <w:color w:val="auto"/>
                <w:vertAlign w:val="superscript"/>
              </w:rPr>
              <w:t>(3)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126,659</w:t>
            </w:r>
          </w:p>
        </w:tc>
        <w:tc>
          <w:tcPr>
            <w:tcW w:w="0" w:type="dxa"/>
            <w:vAlign w:val="bottom"/>
          </w:tcPr>
          <w:p>
            <w:pPr>
              <w:spacing w:after="0"/>
              <w:rPr>
                <w:sz w:val="1"/>
                <w:szCs w:val="1"/>
                <w:color w:val="auto"/>
              </w:rPr>
            </w:pPr>
          </w:p>
        </w:tc>
      </w:tr>
      <w:tr>
        <w:trPr>
          <w:trHeight w:val="264"/>
        </w:trPr>
        <w:tc>
          <w:tcPr>
            <w:tcW w:w="654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20,409</w:t>
            </w:r>
          </w:p>
        </w:tc>
        <w:tc>
          <w:tcPr>
            <w:tcW w:w="0" w:type="dxa"/>
            <w:vAlign w:val="bottom"/>
          </w:tcPr>
          <w:p>
            <w:pPr>
              <w:spacing w:after="0"/>
              <w:rPr>
                <w:sz w:val="1"/>
                <w:szCs w:val="1"/>
                <w:color w:val="auto"/>
              </w:rPr>
            </w:pPr>
          </w:p>
        </w:tc>
      </w:tr>
      <w:tr>
        <w:trPr>
          <w:trHeight w:val="30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(5)</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4,409</w:t>
            </w:r>
          </w:p>
        </w:tc>
        <w:tc>
          <w:tcPr>
            <w:tcW w:w="0" w:type="dxa"/>
            <w:vAlign w:val="bottom"/>
          </w:tcPr>
          <w:p>
            <w:pPr>
              <w:spacing w:after="0"/>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(6)</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(13,653)</w:t>
            </w:r>
          </w:p>
        </w:tc>
        <w:tc>
          <w:tcPr>
            <w:tcW w:w="0" w:type="dxa"/>
            <w:vAlign w:val="bottom"/>
          </w:tcPr>
          <w:p>
            <w:pPr>
              <w:spacing w:after="0"/>
              <w:rPr>
                <w:sz w:val="1"/>
                <w:szCs w:val="1"/>
                <w:color w:val="auto"/>
              </w:rPr>
            </w:pPr>
          </w:p>
        </w:tc>
      </w:tr>
      <w:tr>
        <w:trPr>
          <w:trHeight w:val="26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before income taxes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926,868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709,292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577,026</w:t>
            </w:r>
          </w:p>
        </w:tc>
        <w:tc>
          <w:tcPr>
            <w:tcW w:w="0" w:type="dxa"/>
            <w:vAlign w:val="bottom"/>
          </w:tcPr>
          <w:p>
            <w:pPr>
              <w:spacing w:after="0"/>
              <w:rPr>
                <w:sz w:val="1"/>
                <w:szCs w:val="1"/>
                <w:color w:val="auto"/>
              </w:rPr>
            </w:pPr>
          </w:p>
        </w:tc>
      </w:tr>
      <w:tr>
        <w:trPr>
          <w:trHeight w:val="288"/>
        </w:trPr>
        <w:tc>
          <w:tcPr>
            <w:tcW w:w="65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Adjusted income taxes </w:t>
            </w:r>
            <w:r>
              <w:rPr>
                <w:rFonts w:ascii="Times New Roman" w:cs="Times New Roman" w:eastAsia="Times New Roman" w:hAnsi="Times New Roman"/>
                <w:sz w:val="26"/>
                <w:szCs w:val="26"/>
                <w:color w:val="auto"/>
                <w:vertAlign w:val="superscript"/>
              </w:rPr>
              <w:t>(7)</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(231,717)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(173,777)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(126,946)</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695,151</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535,515</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450,080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265" w:lineRule="exact"/>
              <w:rPr>
                <w:sz w:val="20"/>
                <w:szCs w:val="20"/>
                <w:color w:val="auto"/>
              </w:rPr>
            </w:pPr>
            <w:r>
              <w:rPr>
                <w:rFonts w:ascii="Times New Roman" w:cs="Times New Roman" w:eastAsia="Times New Roman" w:hAnsi="Times New Roman"/>
                <w:sz w:val="20"/>
                <w:szCs w:val="20"/>
                <w:color w:val="auto"/>
              </w:rPr>
              <w:t xml:space="preserve">Adjusted Diluted EPS </w:t>
            </w:r>
            <w:r>
              <w:rPr>
                <w:rFonts w:ascii="Times New Roman" w:cs="Times New Roman" w:eastAsia="Times New Roman" w:hAnsi="Times New Roman"/>
                <w:sz w:val="26"/>
                <w:szCs w:val="26"/>
                <w:color w:val="auto"/>
                <w:vertAlign w:val="superscript"/>
              </w:rPr>
              <w:t>(8)</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4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654800" cy="2752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7">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spacing w:after="0" w:line="100" w:lineRule="exact"/>
        <w:rPr>
          <w:sz w:val="20"/>
          <w:szCs w:val="20"/>
          <w:color w:val="auto"/>
        </w:rPr>
      </w:pPr>
    </w:p>
    <w:p>
      <w:pPr>
        <w:ind w:left="370" w:right="140" w:hanging="370"/>
        <w:spacing w:after="0" w:line="261"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reallocation of net income attributable to non-controlling interests from the assumed exchange of all outstanding LLC Interests held by non-controlling interests for shares of Class A or Class B common stock.</w:t>
      </w:r>
    </w:p>
    <w:p>
      <w:pPr>
        <w:ind w:left="370" w:right="2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jc w:val="both"/>
        <w:ind w:left="370" w:right="6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6"/>
          <w:szCs w:val="16"/>
          <w:color w:val="auto"/>
        </w:rPr>
      </w:pPr>
    </w:p>
    <w:p>
      <w:pPr>
        <w:ind w:left="370" w:right="12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During the years ended December 31, 2024 and 2022, this adjustment also includes $2.7 million and $15.0 million, respectively, of non-cash accelerated stock-based compensation expense and related payroll taxes associated with our former President and our retired CEO. During the year ended December 31, 2024, this adjustment also includes $1.0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6"/>
          <w:szCs w:val="16"/>
          <w:color w:val="auto"/>
        </w:rPr>
      </w:pPr>
    </w:p>
    <w:p>
      <w:pPr>
        <w:ind w:left="370" w:right="66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70" w:right="6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spacing w:after="0" w:line="1" w:lineRule="exact"/>
        <w:rPr>
          <w:rFonts w:ascii="Times New Roman" w:cs="Times New Roman" w:eastAsia="Times New Roman" w:hAnsi="Times New Roman"/>
          <w:sz w:val="16"/>
          <w:szCs w:val="16"/>
          <w:color w:val="auto"/>
        </w:rPr>
      </w:pPr>
    </w:p>
    <w:p>
      <w:pPr>
        <w:ind w:left="370" w:right="60" w:hanging="370"/>
        <w:spacing w:after="0" w:line="25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corporate income taxes at an assumed effective tax rate of 25.0%, 24.5% and 22.0%, applied to Adjusted Net Income before income taxes for the years ended December 31, 2024, 2023 and 2022, respectively.</w:t>
      </w:r>
    </w:p>
    <w:p>
      <w:pPr>
        <w:ind w:left="370" w:right="480" w:hanging="370"/>
        <w:spacing w:after="0" w:line="260" w:lineRule="auto"/>
        <w:tabs>
          <w:tab w:leader="none" w:pos="37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summary of the calculation of Adjusted Diluted EPS, see “Reconciliation of Diluted Weighted Average Shares Outstanding to Adjusted Diluted Weighted Average Shares Outstanding and Adjusted Diluted EPS” below.</w:t>
      </w:r>
    </w:p>
    <w:p>
      <w:pPr>
        <w:sectPr>
          <w:pgSz w:w="12060" w:h="15660" w:orient="portrait"/>
          <w:cols w:equalWidth="0" w:num="1">
            <w:col w:w="10450"/>
          </w:cols>
          <w:pgMar w:left="810" w:top="823" w:right="80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94</w:t>
      </w:r>
    </w:p>
    <w:p>
      <w:pPr>
        <w:sectPr>
          <w:pgSz w:w="12060" w:h="15660" w:orient="portrait"/>
          <w:cols w:equalWidth="0" w:num="1">
            <w:col w:w="10450"/>
          </w:cols>
          <w:pgMar w:left="810" w:top="823" w:right="800" w:bottom="0" w:gutter="0" w:footer="0" w:header="0"/>
          <w:type w:val="continuous"/>
        </w:sectPr>
      </w:pPr>
    </w:p>
    <w:bookmarkStart w:id="104" w:name="page105"/>
    <w:bookmarkEnd w:id="104"/>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Diluted EPS for the years ended December 31, 2024, 2023 and 2022:</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Reconciliation of Diluted Weighted Average Shares Outstanding to Adjusted 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and Adjusted Diluted EPS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42"/>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Diluted weighted average shares of Class A and Class B common stock</w:t>
            </w: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214,924,763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212,668,808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w w:val="97"/>
              </w:rPr>
              <w:t>208,400,040</w:t>
            </w:r>
          </w:p>
        </w:tc>
        <w:tc>
          <w:tcPr>
            <w:tcW w:w="0" w:type="dxa"/>
            <w:vAlign w:val="bottom"/>
          </w:tcPr>
          <w:p>
            <w:pPr>
              <w:spacing w:after="0"/>
              <w:rPr>
                <w:sz w:val="1"/>
                <w:szCs w:val="1"/>
                <w:color w:val="auto"/>
              </w:rPr>
            </w:pPr>
          </w:p>
        </w:tc>
      </w:tr>
      <w:tr>
        <w:trPr>
          <w:trHeight w:val="26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580" w:type="dxa"/>
            <w:vAlign w:val="bottom"/>
            <w:gridSpan w:val="2"/>
          </w:tcPr>
          <w:p>
            <w:pPr>
              <w:ind w:left="40"/>
              <w:spacing w:after="0" w:line="290" w:lineRule="exact"/>
              <w:rPr>
                <w:sz w:val="20"/>
                <w:szCs w:val="20"/>
                <w:color w:val="auto"/>
              </w:rPr>
            </w:pPr>
            <w:r>
              <w:rPr>
                <w:rFonts w:ascii="Times New Roman" w:cs="Times New Roman" w:eastAsia="Times New Roman" w:hAnsi="Times New Roman"/>
                <w:sz w:val="20"/>
                <w:szCs w:val="20"/>
                <w:color w:val="auto"/>
              </w:rPr>
              <w:t xml:space="preserve">Weighted average of other participating securities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193,441</w:t>
            </w:r>
          </w:p>
        </w:tc>
        <w:tc>
          <w:tcPr>
            <w:tcW w:w="0" w:type="dxa"/>
            <w:vAlign w:val="bottom"/>
          </w:tcPr>
          <w:p>
            <w:pPr>
              <w:spacing w:after="0"/>
              <w:rPr>
                <w:sz w:val="1"/>
                <w:szCs w:val="1"/>
                <w:color w:val="auto"/>
              </w:rPr>
            </w:pPr>
          </w:p>
        </w:tc>
      </w:tr>
      <w:tr>
        <w:trPr>
          <w:trHeight w:val="200"/>
        </w:trPr>
        <w:tc>
          <w:tcPr>
            <w:tcW w:w="658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rPr>
              <w:t>Assumed exchange of LLC Interests for shares of Class A or Class B common</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23,076,373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23,902,379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28,830,686</w:t>
            </w:r>
          </w:p>
        </w:tc>
        <w:tc>
          <w:tcPr>
            <w:tcW w:w="0" w:type="dxa"/>
            <w:vAlign w:val="bottom"/>
          </w:tcPr>
          <w:p>
            <w:pPr>
              <w:spacing w:after="0"/>
              <w:rPr>
                <w:sz w:val="1"/>
                <w:szCs w:val="1"/>
                <w:color w:val="auto"/>
              </w:rPr>
            </w:pPr>
          </w:p>
        </w:tc>
      </w:tr>
      <w:tr>
        <w:trPr>
          <w:trHeight w:val="263"/>
        </w:trPr>
        <w:tc>
          <w:tcPr>
            <w:tcW w:w="658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 xml:space="preserve">stock </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diluted weighted average shares outstanding</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238,166,701</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236,841,436</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w w:val="97"/>
              </w:rPr>
              <w:t>237,424,167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Adjusted Net Income (in thousands)</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695,151</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535,515</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450,080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Adjusted Diluted EPS</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-1345565</wp:posOffset>
            </wp:positionV>
            <wp:extent cx="6654800" cy="1352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8">
                      <a:extLst>
                        <a:ext uri="{28A0092B-C50C-407E-A947-70E740481C1C}"/>
                      </a:extLst>
                    </a:blip>
                    <a:srcRect/>
                    <a:stretch>
                      <a:fillRect/>
                    </a:stretch>
                  </pic:blipFill>
                  <pic:spPr bwMode="auto">
                    <a:xfrm>
                      <a:off x="0" y="0"/>
                      <a:ext cx="6654800" cy="1352550"/>
                    </a:xfrm>
                    <a:prstGeom prst="rect">
                      <a:avLst/>
                    </a:prstGeom>
                    <a:noFill/>
                  </pic:spPr>
                </pic:pic>
              </a:graphicData>
            </a:graphic>
          </wp:anchor>
        </w:drawing>
      </w:r>
    </w:p>
    <w:p>
      <w:pPr>
        <w:spacing w:after="0" w:line="100" w:lineRule="exact"/>
        <w:rPr>
          <w:sz w:val="20"/>
          <w:szCs w:val="20"/>
          <w:color w:val="auto"/>
        </w:rPr>
      </w:pPr>
    </w:p>
    <w:p>
      <w:pPr>
        <w:ind w:left="370" w:right="380" w:hanging="370"/>
        <w:spacing w:after="0" w:line="272" w:lineRule="auto"/>
        <w:tabs>
          <w:tab w:leader="none" w:pos="37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spacing w:after="0" w:line="2" w:lineRule="exact"/>
        <w:rPr>
          <w:rFonts w:ascii="Times New Roman" w:cs="Times New Roman" w:eastAsia="Times New Roman" w:hAnsi="Times New Roman"/>
          <w:sz w:val="15"/>
          <w:szCs w:val="15"/>
          <w:color w:val="auto"/>
        </w:rPr>
      </w:pPr>
    </w:p>
    <w:p>
      <w:pPr>
        <w:jc w:val="both"/>
        <w:ind w:left="370" w:right="500" w:hanging="370"/>
        <w:spacing w:after="0" w:line="294" w:lineRule="auto"/>
        <w:tabs>
          <w:tab w:leader="none" w:pos="37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7"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73" w:lineRule="exact"/>
        <w:rPr>
          <w:sz w:val="20"/>
          <w:szCs w:val="20"/>
          <w:color w:val="auto"/>
        </w:rPr>
      </w:pPr>
    </w:p>
    <w:p>
      <w:pPr>
        <w:ind w:left="10" w:right="160"/>
        <w:spacing w:after="0" w:line="270" w:lineRule="auto"/>
        <w:rPr>
          <w:sz w:val="20"/>
          <w:szCs w:val="20"/>
          <w:color w:val="auto"/>
        </w:rPr>
      </w:pPr>
      <w:r>
        <w:rPr>
          <w:rFonts w:ascii="Times New Roman" w:cs="Times New Roman" w:eastAsia="Times New Roman" w:hAnsi="Times New Roman"/>
          <w:sz w:val="19"/>
          <w:szCs w:val="19"/>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9"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The total cost of an acquisition is allocated to the underlying net assets based on their respective estimated fair values. The 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13" w:lineRule="exact"/>
        <w:rPr>
          <w:sz w:val="20"/>
          <w:szCs w:val="20"/>
          <w:color w:val="auto"/>
        </w:rPr>
      </w:pPr>
    </w:p>
    <w:p>
      <w:pPr>
        <w:ind w:left="10" w:right="160"/>
        <w:spacing w:after="0" w:line="255" w:lineRule="auto"/>
        <w:rPr>
          <w:sz w:val="20"/>
          <w:szCs w:val="20"/>
          <w:color w:val="auto"/>
        </w:rPr>
      </w:pPr>
      <w:r>
        <w:rPr>
          <w:rFonts w:ascii="Times New Roman" w:cs="Times New Roman" w:eastAsia="Times New Roman" w:hAnsi="Times New Roman"/>
          <w:sz w:val="20"/>
          <w:szCs w:val="20"/>
          <w:color w:val="auto"/>
        </w:rPr>
        <w:t>The most significant accounting estimates associated with both the ICD and r8fin acquisitions, which closed in August 2024 and January 2024, respectively, were the valuations of the acquired definite-lived intangible customer relationship assets (the “Customer Relationships”), which were valued as of the closing date of each respective acquisition, at a combined total of approximately $396.5 million, and the valuation of the developed technology, which were valued, as of the closing date of each respective acquisition, at a combined total of approximately $188.0 million. The majority of the residual total purchase price, which between the two acquisitions totaled $900.2 million, net of cash acquired, was primarily allocated to goodwill, which was measured at a combined total of approximately $334.6 million as of the closing date of each respective acquisition. We utilized</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95</w:t>
      </w:r>
    </w:p>
    <w:p>
      <w:pPr>
        <w:sectPr>
          <w:pgSz w:w="12060" w:h="15660" w:orient="portrait"/>
          <w:cols w:equalWidth="0" w:num="1">
            <w:col w:w="10450"/>
          </w:cols>
          <w:pgMar w:left="810" w:top="748" w:right="800" w:bottom="0" w:gutter="0" w:footer="0" w:header="0"/>
          <w:type w:val="continuous"/>
        </w:sectPr>
      </w:pPr>
    </w:p>
    <w:bookmarkStart w:id="105" w:name="page106"/>
    <w:bookmarkEnd w:id="105"/>
    <w:p>
      <w:pPr>
        <w:ind w:right="220"/>
        <w:spacing w:after="0" w:line="281" w:lineRule="auto"/>
        <w:rPr>
          <w:sz w:val="20"/>
          <w:szCs w:val="20"/>
          <w:color w:val="auto"/>
        </w:rPr>
      </w:pPr>
      <w:r>
        <w:rPr>
          <w:rFonts w:ascii="Times New Roman" w:cs="Times New Roman" w:eastAsia="Times New Roman" w:hAnsi="Times New Roman"/>
          <w:sz w:val="20"/>
          <w:szCs w:val="20"/>
          <w:color w:val="auto"/>
        </w:rPr>
        <w:t>the assistance of a third-party valuation specialist to determine the fair value of the assets acquired and liabilities assumed at the respective closing date of each acquisition. Management is responsible for these valuations and appraisals.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valuation of the Customer Relationships and the developed technology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6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developed technology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For GAAP purposes, the Customer Relationships will be amortized over a useful life of 15 years for ICD and 13 years for r8fin and the developed technology acquired will be amortized over a useful life of eight years for ICD and seven years for r8fin. Any changes in the discount rate used for valuing the acquired assets or the estimated useful life used for amortization purposes could have a material impact on our consolidated statements of financial condition and consolidated statement of income. Any increases or decreases in the allocation of purchase price to Customer Relationships or the developed technology acquired, which are both amortizable assets, would be offset by a corresponding decrease or increase in goodwill, which is an indefinite-lived asset, not subject to amortization and as a result would impact the asset balances recorded on our consolidated statements of financial condition as well as the amortization expense recorded on our consolidated statements of income over the life of the acquired asset. Any changes in the estimated useful life of the assets would also impact timing of the reduction of the net balance of intangible assets or software development costs, net of accumulated amortization on our consolidated statements of financial condition and the timing of the recognition of amortization expense on our consolidated statements of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1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73"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060" w:h="15660" w:orient="portrait"/>
          <w:cols w:equalWidth="0" w:num="1">
            <w:col w:w="10420"/>
          </w:cols>
          <w:pgMar w:left="820" w:top="748" w:right="820" w:bottom="0" w:gutter="0" w:footer="0" w:header="0"/>
          <w:type w:val="continuous"/>
        </w:sectPr>
      </w:pPr>
    </w:p>
    <w:bookmarkStart w:id="106" w:name="page107"/>
    <w:bookmarkEnd w:id="106"/>
    <w:p>
      <w:pPr>
        <w:ind w:right="140"/>
        <w:spacing w:after="0" w:line="281" w:lineRule="auto"/>
        <w:rPr>
          <w:sz w:val="20"/>
          <w:szCs w:val="20"/>
          <w:color w:val="auto"/>
        </w:rPr>
      </w:pPr>
      <w:r>
        <w:rPr>
          <w:rFonts w:ascii="Times New Roman" w:cs="Times New Roman" w:eastAsia="Times New Roman" w:hAnsi="Times New Roman"/>
          <w:sz w:val="20"/>
          <w:szCs w:val="20"/>
          <w:color w:val="auto"/>
        </w:rPr>
        <w:t>We are required to make significant judgments for the LSEG market data fees. Significant judgments used in accounting for this contract include the following determinations:</w:t>
      </w:r>
    </w:p>
    <w:p>
      <w:pPr>
        <w:spacing w:after="0" w:line="141" w:lineRule="exact"/>
        <w:rPr>
          <w:sz w:val="20"/>
          <w:szCs w:val="20"/>
          <w:color w:val="auto"/>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until the end of the contract term or at a point in time upon delivery of each historical data set.</w:t>
      </w:r>
    </w:p>
    <w:p>
      <w:pPr>
        <w:spacing w:after="0" w:line="141"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6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auto"/>
        </w:rPr>
        <w:t>During each of the years ended December 31, 2024, 2023 and 2022, there were no material changes in the methodology or assumptions used to determine the LSEG market data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5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2024, we granted 86,592 PSUs with a grant date fair value totaling $12.9 million, which will be amortized into expense on a straight-line basis through December 31, 2026. The significant assumptions used in determining the grant date fair value of the award were a maturity of 2.8 years, annualized volatility of 26.63% and a risk-free interest rate of 4.44%. A change in any of the assumptions used to value these awards could materially affect stock-based compensation expense recorded in the current and future periods. During each of the years ended December 31, 2024 and 2023, there were no material changes in the methodology or assumptions used to determine the valuation of our annual PSU grants.</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On March 15, 2024, we granted 201,546 PRSUs at a weighted-average grant-date fair value of $104.66. For these awards,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December 31, 2024, a 10% decrease in the expected final share payouts would decrease the expense for the year ended December 31, 2024 by $1.5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97</w:t>
      </w:r>
    </w:p>
    <w:p>
      <w:pPr>
        <w:sectPr>
          <w:pgSz w:w="12060" w:h="15660" w:orient="portrait"/>
          <w:cols w:equalWidth="0" w:num="1">
            <w:col w:w="10400"/>
          </w:cols>
          <w:pgMar w:left="820" w:top="748" w:right="840" w:bottom="0" w:gutter="0" w:footer="0" w:header="0"/>
          <w:type w:val="continuous"/>
        </w:sectPr>
      </w:pPr>
    </w:p>
    <w:bookmarkStart w:id="107" w:name="page108"/>
    <w:bookmarkEnd w:id="107"/>
    <w:p>
      <w:pPr>
        <w:ind w:right="80"/>
        <w:spacing w:after="0" w:line="281" w:lineRule="auto"/>
        <w:rPr>
          <w:sz w:val="20"/>
          <w:szCs w:val="20"/>
          <w:color w:val="auto"/>
        </w:rPr>
      </w:pPr>
      <w:r>
        <w:rPr>
          <w:rFonts w:ascii="Times New Roman" w:cs="Times New Roman" w:eastAsia="Times New Roman" w:hAnsi="Times New Roman"/>
          <w:sz w:val="20"/>
          <w:szCs w:val="20"/>
          <w:color w:val="auto"/>
        </w:rPr>
        <w:t>among the jurisdictions in which we operate. Any changes in our practices or judgments involved in the measurement of deferred tax assets and liabilities could materially impact our financial condition or results of operations.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2024, we have a $1.7 million valuation allowance on gross deferred tax assets totaling $644.9 million. As of December 31, 2023, we had no valuation allowance on gross deferred tax assets totaling $687.4 million.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1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See Note 2 – Significant Accounting Policies to our audited consolidated financial statements included elsewhere in this Annual Report on Form 10-K for a discussion of recent accounting pronouncements.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and Derivative Risk</w:t>
      </w:r>
    </w:p>
    <w:p>
      <w:pPr>
        <w:spacing w:after="0" w:line="2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have global operations and substantial portions of our revenues, expenses, assets and liabilities are generated and denominated in non-U.S. dollar currencies.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2060" w:h="15660" w:orient="portrait"/>
          <w:cols w:equalWidth="0" w:num="1">
            <w:col w:w="10420"/>
          </w:cols>
          <w:pgMar w:left="820" w:top="748" w:right="820" w:bottom="0" w:gutter="0" w:footer="0" w:header="0"/>
          <w:type w:val="continuous"/>
        </w:sectPr>
      </w:pPr>
    </w:p>
    <w:bookmarkStart w:id="108" w:name="page109"/>
    <w:bookmarkEnd w:id="108"/>
    <w:p>
      <w:pPr>
        <w:ind w:left="10" w:right="40"/>
        <w:spacing w:after="0" w:line="281" w:lineRule="auto"/>
        <w:rPr>
          <w:sz w:val="20"/>
          <w:szCs w:val="20"/>
          <w:color w:val="auto"/>
        </w:rPr>
      </w:pPr>
      <w:r>
        <w:rPr>
          <w:rFonts w:ascii="Times New Roman" w:cs="Times New Roman" w:eastAsia="Times New Roman" w:hAnsi="Times New Roman"/>
          <w:sz w:val="20"/>
          <w:szCs w:val="20"/>
          <w:color w:val="auto"/>
        </w:rPr>
        <w:t>The following table shows the percentage breakdown of our revenue and operating expenses denominated in currencies other than the U.S. dollar for the years ended December 31, 2024, 2023 and 2022:</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8"/>
        </w:trPr>
        <w:tc>
          <w:tcPr>
            <w:tcW w:w="654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 xml:space="preserve">% of revenue denominated in foreign currencies </w:t>
            </w:r>
            <w:r>
              <w:rPr>
                <w:rFonts w:ascii="Times New Roman" w:cs="Times New Roman" w:eastAsia="Times New Roman" w:hAnsi="Times New Roman"/>
                <w:sz w:val="26"/>
                <w:szCs w:val="26"/>
                <w:color w:val="auto"/>
                <w:vertAlign w:val="superscript"/>
              </w:rPr>
              <w:t>(1)</w:t>
            </w:r>
          </w:p>
        </w:tc>
        <w:tc>
          <w:tcPr>
            <w:tcW w:w="1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28%</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28%</w:t>
            </w:r>
          </w:p>
        </w:tc>
      </w:tr>
      <w:tr>
        <w:trPr>
          <w:trHeight w:val="34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 of operating expenses denominated in foreign currencies </w:t>
            </w:r>
            <w:r>
              <w:rPr>
                <w:rFonts w:ascii="Times New Roman" w:cs="Times New Roman" w:eastAsia="Times New Roman" w:hAnsi="Times New Roman"/>
                <w:sz w:val="26"/>
                <w:szCs w:val="26"/>
                <w:color w:val="auto"/>
                <w:vertAlign w:val="superscript"/>
              </w:rPr>
              <w:t>(2)</w:t>
            </w:r>
          </w:p>
        </w:tc>
        <w:tc>
          <w:tcPr>
            <w:tcW w:w="1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16%</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16%</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-405765</wp:posOffset>
            </wp:positionV>
            <wp:extent cx="6654800" cy="387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81" w:lineRule="exact"/>
        <w:rPr>
          <w:sz w:val="20"/>
          <w:szCs w:val="20"/>
          <w:color w:val="auto"/>
        </w:rPr>
      </w:pPr>
    </w:p>
    <w:p>
      <w:pPr>
        <w:ind w:left="370" w:hanging="370"/>
        <w:spacing w:after="0"/>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 foreign currencies is primarily denominated in euros.</w:t>
      </w:r>
    </w:p>
    <w:p>
      <w:pPr>
        <w:spacing w:after="0" w:line="2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 foreign currencies are primarily denominated in British pounds sterling.</w:t>
      </w:r>
    </w:p>
    <w:p>
      <w:pPr>
        <w:spacing w:after="0" w:line="180"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losses from foreign currency remeasurement of transactions in nonfunctional currencies recognized in the consolidated statements of income within general and administrative expense totaled a loss of $4.5 million, $1.6 million and $2.3 million for the years ended December 31, 2024, 2023 and 2022, respectively.</w:t>
      </w:r>
    </w:p>
    <w:p>
      <w:pPr>
        <w:spacing w:after="0" w:line="173"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70"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2024, 2023 and 2022:</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Euros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1.05</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British pound sterling</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auto"/>
        </w:rPr>
        <w:t>The following table shows the change in revenue and operating income caused by fluctuations in foreign currency rates used in translation during the years ended December 31, 2024, 2023 and 2022:</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Impact of Foreign Currency Rate Fluctuations (dollars in thousands)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Increase (decrease) in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Increase (decrease) in operating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1">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99</w:t>
      </w:r>
    </w:p>
    <w:p>
      <w:pPr>
        <w:sectPr>
          <w:pgSz w:w="12060" w:h="15660" w:orient="portrait"/>
          <w:cols w:equalWidth="0" w:num="1">
            <w:col w:w="10450"/>
          </w:cols>
          <w:pgMar w:left="810" w:top="748" w:right="800" w:bottom="0" w:gutter="0" w:footer="0" w:header="0"/>
          <w:type w:val="continuous"/>
        </w:sectPr>
      </w:pPr>
    </w:p>
    <w:bookmarkStart w:id="109" w:name="page110"/>
    <w:bookmarkEnd w:id="109"/>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2024,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2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Hypothetical 10% Change in Value of U.S. Dollar (dollars in thousands)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4"/>
        </w:trPr>
        <w:tc>
          <w:tcPr>
            <w:tcW w:w="6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All currencies</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83"/>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36,400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Euros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33,300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32,100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British pound sterling</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-1270635</wp:posOffset>
            </wp:positionV>
            <wp:extent cx="6654800" cy="206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-908685</wp:posOffset>
            </wp:positionV>
            <wp:extent cx="6654800" cy="206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206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654800" cy="206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-1632585</wp:posOffset>
            </wp:positionV>
            <wp:extent cx="665480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year ended December 31, 2023 totaling $1.3 million relating to this option. We do not use derivative instruments for trading or speculative purposes.</w:t>
      </w:r>
    </w:p>
    <w:p>
      <w:pPr>
        <w:spacing w:after="0" w:line="1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2024 and 2023, the notional amount of our foreign currency forward contracts was $238.2 million and $192.9 million, respectively. Realized and unrealized gains on foreign currency forward contracts totaled a gain of $15.0 million, $0.8 million and $4.9 million for the years ended December 31, 2024, 2023 and 2022, respectively.</w:t>
      </w:r>
    </w:p>
    <w:p>
      <w:pPr>
        <w:spacing w:after="0" w:line="15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December 31, 2024 and 2023, the counterparty on each of the foreign exchange derivative contracts was an affiliate of LSEG.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6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9"/>
          <w:szCs w:val="19"/>
          <w:color w:val="auto"/>
        </w:rPr>
        <w:t>We have credit risk relating to our receivables, which are primarily receivables from financial institutions, including investment managers and brokers and dealers and our investments in available-for-sale debt securities. As of December 31, 2024 and 2023, the allowance for credit losses with regard to these receivables totaled $0.4 million and $0.3 million, respectively.</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100</w:t>
      </w:r>
    </w:p>
    <w:p>
      <w:pPr>
        <w:sectPr>
          <w:pgSz w:w="12060" w:h="15660" w:orient="portrait"/>
          <w:cols w:equalWidth="0" w:num="1">
            <w:col w:w="10440"/>
          </w:cols>
          <w:pgMar w:left="820" w:top="748" w:right="800" w:bottom="0" w:gutter="0" w:footer="0" w:header="0"/>
          <w:type w:val="continuous"/>
        </w:sectPr>
      </w:pPr>
    </w:p>
    <w:bookmarkStart w:id="110" w:name="page111"/>
    <w:bookmarkEnd w:id="110"/>
    <w:p>
      <w:pPr>
        <w:spacing w:after="0" w:line="260" w:lineRule="auto"/>
        <w:rPr>
          <w:sz w:val="20"/>
          <w:szCs w:val="20"/>
          <w:color w:val="auto"/>
        </w:rPr>
      </w:pPr>
      <w:r>
        <w:rPr>
          <w:rFonts w:ascii="Times New Roman" w:cs="Times New Roman" w:eastAsia="Times New Roman" w:hAnsi="Times New Roman"/>
          <w:sz w:val="20"/>
          <w:szCs w:val="20"/>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3"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2022, we also recognized losses totaling $1.0 million, related to the write-off of an investment that was determined to be uncollectible.</w:t>
      </w:r>
    </w:p>
    <w:p>
      <w:pPr>
        <w:sectPr>
          <w:pgSz w:w="12060" w:h="15660" w:orient="portrait"/>
          <w:cols w:equalWidth="0" w:num="1">
            <w:col w:w="10240"/>
          </w:cols>
          <w:pgMar w:left="820" w:top="7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101</w:t>
      </w:r>
    </w:p>
    <w:p>
      <w:pPr>
        <w:sectPr>
          <w:pgSz w:w="12060" w:h="15660" w:orient="portrait"/>
          <w:cols w:equalWidth="0" w:num="1">
            <w:col w:w="10240"/>
          </w:cols>
          <w:pgMar w:left="820" w:top="748" w:right="100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4"/>
        </w:trPr>
        <w:tc>
          <w:tcPr>
            <w:tcW w:w="6420" w:type="dxa"/>
            <w:vAlign w:val="bottom"/>
            <w:gridSpan w:val="8"/>
          </w:tcPr>
          <w:p>
            <w:pPr>
              <w:spacing w:after="0"/>
              <w:rPr>
                <w:sz w:val="20"/>
                <w:szCs w:val="20"/>
                <w:color w:val="auto"/>
              </w:rPr>
            </w:pPr>
            <w:r>
              <w:rPr>
                <w:rFonts w:ascii="Times New Roman" w:cs="Times New Roman" w:eastAsia="Times New Roman" w:hAnsi="Times New Roman"/>
                <w:sz w:val="20"/>
                <w:szCs w:val="20"/>
                <w:color w:val="282828"/>
                <w:w w:val="99"/>
              </w:rPr>
              <w:t>Reports of Independent Registered Public Accounting Firm (PCAOB ID N</w:t>
            </w:r>
            <w:r>
              <w:rPr>
                <w:rFonts w:ascii="Times New Roman" w:cs="Times New Roman" w:eastAsia="Times New Roman" w:hAnsi="Times New Roman"/>
                <w:sz w:val="20"/>
                <w:szCs w:val="20"/>
                <w:color w:val="3F3F3F"/>
                <w:w w:val="99"/>
              </w:rPr>
              <w:t>o.34)</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80"/>
        </w:trPr>
        <w:tc>
          <w:tcPr>
            <w:tcW w:w="6000" w:type="dxa"/>
            <w:vAlign w:val="bottom"/>
            <w:tcBorders>
              <w:top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rPr>
              <w:t>Consolidated Statements of Financial Condition</w:t>
            </w:r>
          </w:p>
        </w:tc>
        <w:tc>
          <w:tcPr>
            <w:tcW w:w="420" w:type="dxa"/>
            <w:vAlign w:val="bottom"/>
            <w:tcBorders>
              <w:top w:val="single" w:sz="8" w:color="3F3F3F"/>
            </w:tcBorders>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80"/>
        </w:trPr>
        <w:tc>
          <w:tcPr>
            <w:tcW w:w="3840" w:type="dxa"/>
            <w:vAlign w:val="bottom"/>
            <w:tcBorders>
              <w:top w:val="single" w:sz="8" w:color="282828"/>
            </w:tcBorders>
            <w:gridSpan w:val="5"/>
          </w:tcPr>
          <w:p>
            <w:pPr>
              <w:spacing w:after="0"/>
              <w:rPr>
                <w:sz w:val="20"/>
                <w:szCs w:val="20"/>
                <w:color w:val="auto"/>
              </w:rPr>
            </w:pPr>
            <w:r>
              <w:rPr>
                <w:rFonts w:ascii="Times New Roman" w:cs="Times New Roman" w:eastAsia="Times New Roman" w:hAnsi="Times New Roman"/>
                <w:sz w:val="20"/>
                <w:szCs w:val="20"/>
                <w:color w:val="282828"/>
              </w:rPr>
              <w:t>Consolidated Statements of Income</w:t>
            </w:r>
          </w:p>
        </w:tc>
        <w:tc>
          <w:tcPr>
            <w:tcW w:w="2580" w:type="dxa"/>
            <w:vAlign w:val="bottom"/>
            <w:gridSpan w:val="3"/>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0"/>
        </w:trPr>
        <w:tc>
          <w:tcPr>
            <w:tcW w:w="2840" w:type="dxa"/>
            <w:vAlign w:val="bottom"/>
            <w:shd w:val="clear" w:color="auto" w:fill="28282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0"/>
        </w:trPr>
        <w:tc>
          <w:tcPr>
            <w:tcW w:w="4160" w:type="dxa"/>
            <w:vAlign w:val="bottom"/>
            <w:tcBorders>
              <w:bottom w:val="single" w:sz="8" w:color="282828"/>
            </w:tcBorders>
            <w:gridSpan w:val="6"/>
          </w:tcPr>
          <w:p>
            <w:pPr>
              <w:spacing w:after="0"/>
              <w:rPr>
                <w:sz w:val="20"/>
                <w:szCs w:val="20"/>
                <w:color w:val="auto"/>
              </w:rPr>
            </w:pPr>
            <w:r>
              <w:rPr>
                <w:rFonts w:ascii="Times New Roman" w:cs="Times New Roman" w:eastAsia="Times New Roman" w:hAnsi="Times New Roman"/>
                <w:sz w:val="20"/>
                <w:szCs w:val="20"/>
                <w:color w:val="282828"/>
                <w:w w:val="99"/>
              </w:rPr>
              <w:t>Consolidated Statements of Comprehensive Income</w:t>
            </w:r>
          </w:p>
        </w:tc>
        <w:tc>
          <w:tcPr>
            <w:tcW w:w="2260" w:type="dxa"/>
            <w:vAlign w:val="bottom"/>
            <w:gridSpan w:val="2"/>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80"/>
        </w:trPr>
        <w:tc>
          <w:tcPr>
            <w:tcW w:w="6420" w:type="dxa"/>
            <w:vAlign w:val="bottom"/>
            <w:gridSpan w:val="8"/>
          </w:tcPr>
          <w:p>
            <w:pPr>
              <w:spacing w:after="0"/>
              <w:rPr>
                <w:sz w:val="20"/>
                <w:szCs w:val="20"/>
                <w:color w:val="auto"/>
              </w:rPr>
            </w:pPr>
            <w:r>
              <w:rPr>
                <w:rFonts w:ascii="Times New Roman" w:cs="Times New Roman" w:eastAsia="Times New Roman" w:hAnsi="Times New Roman"/>
                <w:sz w:val="20"/>
                <w:szCs w:val="20"/>
                <w:color w:val="282828"/>
              </w:rPr>
              <w:t>Consolidated Statements of Changes in Equity</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80"/>
        </w:trPr>
        <w:tc>
          <w:tcPr>
            <w:tcW w:w="3720" w:type="dxa"/>
            <w:vAlign w:val="bottom"/>
            <w:tcBorders>
              <w:top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rPr>
              <w:t>Consolidated Statements of Cash Flows</w:t>
            </w:r>
          </w:p>
        </w:tc>
        <w:tc>
          <w:tcPr>
            <w:tcW w:w="2700" w:type="dxa"/>
            <w:vAlign w:val="bottom"/>
            <w:gridSpan w:val="4"/>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0"/>
        </w:trPr>
        <w:tc>
          <w:tcPr>
            <w:tcW w:w="3180" w:type="dxa"/>
            <w:vAlign w:val="bottom"/>
            <w:gridSpan w:val="2"/>
            <w:shd w:val="clear" w:color="auto" w:fill="28282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0"/>
        </w:trPr>
        <w:tc>
          <w:tcPr>
            <w:tcW w:w="3500" w:type="dxa"/>
            <w:vAlign w:val="bottom"/>
            <w:tcBorders>
              <w:bottom w:val="single" w:sz="8" w:color="282828"/>
            </w:tcBorders>
            <w:gridSpan w:val="3"/>
          </w:tcPr>
          <w:p>
            <w:pPr>
              <w:spacing w:after="0"/>
              <w:rPr>
                <w:sz w:val="20"/>
                <w:szCs w:val="20"/>
                <w:color w:val="auto"/>
              </w:rPr>
            </w:pPr>
            <w:r>
              <w:rPr>
                <w:rFonts w:ascii="Times New Roman" w:cs="Times New Roman" w:eastAsia="Times New Roman" w:hAnsi="Times New Roman"/>
                <w:sz w:val="20"/>
                <w:szCs w:val="20"/>
                <w:color w:val="282828"/>
                <w:w w:val="99"/>
              </w:rPr>
              <w:t>Notes to Consolidated Financial Statements</w:t>
            </w:r>
          </w:p>
        </w:tc>
        <w:tc>
          <w:tcPr>
            <w:tcW w:w="2920" w:type="dxa"/>
            <w:vAlign w:val="bottom"/>
            <w:gridSpan w:val="5"/>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bl>
    <w:p>
      <w:pPr>
        <w:spacing w:after="0" w:line="200" w:lineRule="exact"/>
        <w:rPr>
          <w:sz w:val="20"/>
          <w:szCs w:val="20"/>
          <w:color w:val="auto"/>
        </w:rPr>
      </w:pPr>
    </w:p>
    <w:p>
      <w:pPr>
        <w:sectPr>
          <w:pgSz w:w="12060" w:h="15660" w:orient="portrait"/>
          <w:cols w:equalWidth="0" w:num="1">
            <w:col w:w="10260"/>
          </w:cols>
          <w:pgMar w:left="820" w:top="74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102</w:t>
      </w:r>
    </w:p>
    <w:p>
      <w:pPr>
        <w:sectPr>
          <w:pgSz w:w="12060" w:h="15660" w:orient="portrait"/>
          <w:cols w:equalWidth="0" w:num="1">
            <w:col w:w="10260"/>
          </w:cols>
          <w:pgMar w:left="820" w:top="741" w:right="980" w:bottom="0" w:gutter="0" w:footer="0" w:header="0"/>
          <w:type w:val="continuous"/>
        </w:sectPr>
      </w:pPr>
    </w:p>
    <w:bookmarkStart w:id="112" w:name="page113"/>
    <w:bookmarkEnd w:id="112"/>
    <w:p>
      <w:pPr>
        <w:ind w:right="3580"/>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Tradeweb Markets Inc. and subsidiaries (the “Company”) as of December 31, 2024 and 2023, the related consolidated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7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February 7, 2025, expressed an unqualified opinion on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 Refer to Note 9 to the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060" w:h="15660" w:orient="portrait"/>
          <w:cols w:equalWidth="0" w:num="1">
            <w:col w:w="10420"/>
          </w:cols>
          <w:pgMar w:left="820" w:top="741" w:right="820" w:bottom="0" w:gutter="0" w:footer="0" w:header="0"/>
          <w:type w:val="continuous"/>
        </w:sectPr>
      </w:pPr>
    </w:p>
    <w:bookmarkStart w:id="113" w:name="page114"/>
    <w:bookmarkEnd w:id="113"/>
    <w:p>
      <w:pPr>
        <w:ind w:right="200"/>
        <w:spacing w:after="0" w:line="256" w:lineRule="auto"/>
        <w:rPr>
          <w:sz w:val="20"/>
          <w:szCs w:val="20"/>
          <w:color w:val="auto"/>
        </w:rPr>
      </w:pPr>
      <w:r>
        <w:rPr>
          <w:rFonts w:ascii="Times New Roman" w:cs="Times New Roman" w:eastAsia="Times New Roman" w:hAnsi="Times New Roman"/>
          <w:sz w:val="20"/>
          <w:szCs w:val="20"/>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income taxes included, among others, the following:</w:t>
      </w:r>
    </w:p>
    <w:p>
      <w:pPr>
        <w:spacing w:after="0" w:line="240" w:lineRule="exact"/>
        <w:rPr>
          <w:sz w:val="20"/>
          <w:szCs w:val="20"/>
          <w:color w:val="auto"/>
        </w:rPr>
      </w:pPr>
    </w:p>
    <w:p>
      <w:pPr>
        <w:ind w:left="720" w:right="140" w:hanging="370"/>
        <w:spacing w:after="0" w:line="281"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income tax balances, including the provision for income taxes, deferred tax assets and liabilities and unrecognized tax benefits.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income tax specialists, we assessed the Company’s provision for income taxes by:</w:t>
      </w:r>
    </w:p>
    <w:p>
      <w:pPr>
        <w:spacing w:after="0" w:line="250" w:lineRule="exact"/>
        <w:rPr>
          <w:rFonts w:ascii="Times New Roman" w:cs="Times New Roman" w:eastAsia="Times New Roman" w:hAnsi="Times New Roman"/>
          <w:sz w:val="20"/>
          <w:szCs w:val="20"/>
          <w:color w:val="auto"/>
        </w:rPr>
      </w:pPr>
    </w:p>
    <w:p>
      <w:pPr>
        <w:ind w:left="1440" w:right="40" w:hanging="370"/>
        <w:spacing w:after="0" w:line="258" w:lineRule="auto"/>
        <w:tabs>
          <w:tab w:leader="none" w:pos="14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203" w:lineRule="exact"/>
        <w:rPr>
          <w:rFonts w:ascii="Times New Roman" w:cs="Times New Roman" w:eastAsia="Times New Roman" w:hAnsi="Times New Roman"/>
          <w:sz w:val="20"/>
          <w:szCs w:val="20"/>
          <w:color w:val="auto"/>
        </w:rPr>
      </w:pPr>
    </w:p>
    <w:p>
      <w:pPr>
        <w:ind w:left="1440" w:hanging="370"/>
        <w:spacing w:after="0" w:line="255" w:lineRule="auto"/>
        <w:tabs>
          <w:tab w:leader="none" w:pos="14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09" w:lineRule="exact"/>
        <w:rPr>
          <w:rFonts w:ascii="Times New Roman" w:cs="Times New Roman" w:eastAsia="Times New Roman" w:hAnsi="Times New Roman"/>
          <w:sz w:val="20"/>
          <w:szCs w:val="20"/>
          <w:color w:val="auto"/>
        </w:rPr>
      </w:pPr>
    </w:p>
    <w:p>
      <w:pPr>
        <w:ind w:left="1440" w:right="60" w:hanging="370"/>
        <w:spacing w:after="0" w:line="266" w:lineRule="auto"/>
        <w:tabs>
          <w:tab w:leader="none" w:pos="14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95" w:lineRule="exact"/>
        <w:rPr>
          <w:rFonts w:ascii="Times New Roman" w:cs="Times New Roman" w:eastAsia="Times New Roman" w:hAnsi="Times New Roman"/>
          <w:sz w:val="20"/>
          <w:szCs w:val="20"/>
          <w:color w:val="auto"/>
        </w:rPr>
      </w:pPr>
    </w:p>
    <w:p>
      <w:pPr>
        <w:ind w:left="1440" w:right="100" w:hanging="370"/>
        <w:spacing w:after="0" w:line="266" w:lineRule="auto"/>
        <w:tabs>
          <w:tab w:leader="none" w:pos="14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060" w:h="15660" w:orient="portrait"/>
          <w:cols w:equalWidth="0" w:num="1">
            <w:col w:w="10420"/>
          </w:cols>
          <w:pgMar w:left="820" w:top="748" w:right="820" w:bottom="0" w:gutter="0" w:footer="0" w:header="0"/>
          <w:type w:val="continuous"/>
        </w:sectPr>
      </w:pPr>
    </w:p>
    <w:bookmarkStart w:id="114" w:name="page115"/>
    <w:bookmarkEnd w:id="114"/>
    <w:p>
      <w:pPr>
        <w:ind w:left="10" w:right="3580"/>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Internal Control over Financial Reporting</w:t>
      </w:r>
    </w:p>
    <w:p>
      <w:pPr>
        <w:spacing w:after="0" w:line="2"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We have audited the internal control over financial reporting of Tradeweb Markets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64"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2024, of the Company and our report dated February 7, 2025, expressed an unqualified opinion on those financial statements.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17" w:lineRule="exact"/>
        <w:rPr>
          <w:sz w:val="20"/>
          <w:szCs w:val="20"/>
          <w:color w:val="auto"/>
        </w:rPr>
      </w:pPr>
    </w:p>
    <w:p>
      <w:pPr>
        <w:ind w:left="10" w:right="100"/>
        <w:spacing w:after="0" w:line="27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10" w:right="20" w:hanging="10"/>
        <w:spacing w:after="0" w:line="252" w:lineRule="auto"/>
        <w:tabs>
          <w:tab w:leader="none" w:pos="2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left="10" w:right="64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February 7, 2025</w:t>
      </w:r>
    </w:p>
    <w:p>
      <w:pPr>
        <w:sectPr>
          <w:pgSz w:w="12060" w:h="15660" w:orient="portrait"/>
          <w:cols w:equalWidth="0" w:num="1">
            <w:col w:w="10430"/>
          </w:cols>
          <w:pgMar w:left="81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105</w:t>
      </w:r>
    </w:p>
    <w:p>
      <w:pPr>
        <w:sectPr>
          <w:pgSz w:w="12060" w:h="15660" w:orient="portrait"/>
          <w:cols w:equalWidth="0" w:num="1">
            <w:col w:w="10430"/>
          </w:cols>
          <w:pgMar w:left="810" w:top="741" w:right="820" w:bottom="0" w:gutter="0" w:footer="0" w:header="0"/>
          <w:type w:val="continuous"/>
        </w:sectPr>
      </w:pPr>
    </w:p>
    <w:bookmarkStart w:id="115" w:name="page116"/>
    <w:bookmarkEnd w:id="115"/>
    <w:p>
      <w:pPr>
        <w:ind w:left="312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4"/>
          <w:szCs w:val="24"/>
          <w:b w:val="1"/>
          <w:bCs w:val="1"/>
          <w:color w:val="auto"/>
        </w:rPr>
        <w:t>Consolidated Statements of Financial Condition</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199"/>
        </w:trPr>
        <w:tc>
          <w:tcPr>
            <w:tcW w:w="7840" w:type="dxa"/>
            <w:vAlign w:val="bottom"/>
          </w:tcPr>
          <w:p>
            <w:pPr>
              <w:ind w:left="3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1,340,302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1,706,468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brokers and dealers and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381,178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$447 and $284 at December 31, 2024 and 2023, respectively</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222,268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168,407</w:t>
            </w:r>
          </w:p>
        </w:tc>
        <w:tc>
          <w:tcPr>
            <w:tcW w:w="0" w:type="dxa"/>
            <w:vAlign w:val="bottom"/>
          </w:tcPr>
          <w:p>
            <w:pPr>
              <w:spacing w:after="0"/>
              <w:rPr>
                <w:sz w:val="1"/>
                <w:szCs w:val="1"/>
                <w:color w:val="auto"/>
              </w:rPr>
            </w:pPr>
          </w:p>
        </w:tc>
      </w:tr>
      <w:tr>
        <w:trPr>
          <w:trHeight w:val="180"/>
        </w:trPr>
        <w:tc>
          <w:tcPr>
            <w:tcW w:w="7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equipment, purchased software and leasehold improvements, net of accumulated depreciation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Software development costs, net of accumulated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296,721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131,332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3,150,112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2,815,524</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1,280,892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1,004,797</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and due from affiliates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659,203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684,250</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107,371</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70,819</w:t>
            </w:r>
          </w:p>
        </w:tc>
        <w:tc>
          <w:tcPr>
            <w:tcW w:w="0" w:type="dxa"/>
            <w:vAlign w:val="bottom"/>
          </w:tcPr>
          <w:p>
            <w:pPr>
              <w:spacing w:after="0"/>
              <w:rPr>
                <w:sz w:val="1"/>
                <w:szCs w:val="1"/>
                <w:color w:val="auto"/>
              </w:rPr>
            </w:pPr>
          </w:p>
        </w:tc>
      </w:tr>
      <w:tr>
        <w:trPr>
          <w:trHeight w:val="20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7,267,993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7,059,538</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1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to brokers and dealers and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351,864</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222,959</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164,329</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57,501</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and due to affiliates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372,839</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457,523</w:t>
            </w:r>
          </w:p>
        </w:tc>
        <w:tc>
          <w:tcPr>
            <w:tcW w:w="0" w:type="dxa"/>
            <w:vAlign w:val="bottom"/>
          </w:tcPr>
          <w:p>
            <w:pPr>
              <w:spacing w:after="0"/>
              <w:rPr>
                <w:sz w:val="1"/>
                <w:szCs w:val="1"/>
                <w:color w:val="auto"/>
              </w:rPr>
            </w:pPr>
          </w:p>
        </w:tc>
      </w:tr>
      <w:tr>
        <w:trPr>
          <w:trHeight w:val="22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869,108</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1,128,132</w:t>
            </w:r>
          </w:p>
        </w:tc>
        <w:tc>
          <w:tcPr>
            <w:tcW w:w="0" w:type="dxa"/>
            <w:vAlign w:val="bottom"/>
          </w:tcPr>
          <w:p>
            <w:pPr>
              <w:spacing w:after="0"/>
              <w:rPr>
                <w:sz w:val="1"/>
                <w:szCs w:val="1"/>
                <w:color w:val="auto"/>
              </w:rPr>
            </w:pPr>
          </w:p>
        </w:tc>
      </w:tr>
      <w:tr>
        <w:trPr>
          <w:trHeight w:val="46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$0.00001 par value; 250,000,000 shares authorized; none issued or outstanding</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$0.00001 par value; 1,000,000,000 shares authorized; 115,977,551 and 115,090,787 shares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as of December 31, 2024 and 2023,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$0.00001 par value; 450,000,000 shares authorized; 96,933,192 and 96,933,192 shares issued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2024 and 2023,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C common stock, $0.00001 par value; 350,000,000 shares authorized; 18,000,000 and 18,000,000 shares issued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2024 and 2023,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D common stock, $0.00001 par value; 300,000,000 shares authorized; 5,073,538 and 5,077,973 shares issued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2024 and 2023,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4,813,408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4,738,758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996,763</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640,384</w:t>
            </w:r>
          </w:p>
        </w:tc>
        <w:tc>
          <w:tcPr>
            <w:tcW w:w="0" w:type="dxa"/>
            <w:vAlign w:val="bottom"/>
          </w:tcPr>
          <w:p>
            <w:pPr>
              <w:spacing w:after="0"/>
              <w:rPr>
                <w:sz w:val="1"/>
                <w:szCs w:val="1"/>
                <w:color w:val="auto"/>
              </w:rPr>
            </w:pPr>
          </w:p>
        </w:tc>
      </w:tr>
      <w:tr>
        <w:trPr>
          <w:trHeight w:val="214"/>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 attributable to Tradeweb Markets Inc.</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5,800,192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5,373,755</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598,693</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557,651</w:t>
            </w:r>
          </w:p>
        </w:tc>
        <w:tc>
          <w:tcPr>
            <w:tcW w:w="0" w:type="dxa"/>
            <w:vAlign w:val="bottom"/>
          </w:tcPr>
          <w:p>
            <w:pPr>
              <w:spacing w:after="0"/>
              <w:rPr>
                <w:sz w:val="1"/>
                <w:szCs w:val="1"/>
                <w:color w:val="auto"/>
              </w:rPr>
            </w:pPr>
          </w:p>
        </w:tc>
      </w:tr>
      <w:tr>
        <w:trPr>
          <w:trHeight w:val="22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6,398,885</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5,931,406</w:t>
            </w:r>
          </w:p>
        </w:tc>
        <w:tc>
          <w:tcPr>
            <w:tcW w:w="0" w:type="dxa"/>
            <w:vAlign w:val="bottom"/>
          </w:tcPr>
          <w:p>
            <w:pPr>
              <w:spacing w:after="0"/>
              <w:rPr>
                <w:sz w:val="1"/>
                <w:szCs w:val="1"/>
                <w:color w:val="auto"/>
              </w:rPr>
            </w:pPr>
          </w:p>
        </w:tc>
      </w:tr>
      <w:tr>
        <w:trPr>
          <w:trHeight w:val="200"/>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7,267,993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7,059,538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-7327265</wp:posOffset>
            </wp:positionV>
            <wp:extent cx="6654800" cy="7334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7">
                      <a:extLst>
                        <a:ext uri="{28A0092B-C50C-407E-A947-70E740481C1C}"/>
                      </a:extLst>
                    </a:blip>
                    <a:srcRect/>
                    <a:stretch>
                      <a:fillRect/>
                    </a:stretch>
                  </pic:blipFill>
                  <pic:spPr bwMode="auto">
                    <a:xfrm>
                      <a:off x="0" y="0"/>
                      <a:ext cx="6654800" cy="733425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106</w:t>
      </w:r>
    </w:p>
    <w:p>
      <w:pPr>
        <w:sectPr>
          <w:pgSz w:w="12060" w:h="15660" w:orient="portrait"/>
          <w:cols w:equalWidth="0" w:num="1">
            <w:col w:w="10400"/>
          </w:cols>
          <w:pgMar w:left="860" w:top="726" w:right="80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fees and commissions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1,078,344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950,269</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165,922</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LSEG market data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62,721</w:t>
            </w:r>
          </w:p>
        </w:tc>
        <w:tc>
          <w:tcPr>
            <w:tcW w:w="0" w:type="dxa"/>
            <w:vAlign w:val="bottom"/>
          </w:tcPr>
          <w:p>
            <w:pPr>
              <w:spacing w:after="0"/>
              <w:rPr>
                <w:sz w:val="1"/>
                <w:szCs w:val="1"/>
                <w:color w:val="auto"/>
              </w:rPr>
            </w:pP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w:t>
            </w:r>
          </w:p>
        </w:tc>
        <w:tc>
          <w:tcPr>
            <w:tcW w:w="0" w:type="dxa"/>
            <w:vAlign w:val="bottom"/>
          </w:tcPr>
          <w:p>
            <w:pPr>
              <w:spacing w:after="0"/>
              <w:rPr>
                <w:sz w:val="1"/>
                <w:szCs w:val="1"/>
                <w:color w:val="auto"/>
              </w:rPr>
            </w:pPr>
          </w:p>
        </w:tc>
      </w:tr>
      <w:tr>
        <w:trPr>
          <w:trHeight w:val="214"/>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1,725,949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1,338,219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1,188,781</w:t>
            </w:r>
          </w:p>
        </w:tc>
        <w:tc>
          <w:tcPr>
            <w:tcW w:w="0" w:type="dxa"/>
            <w:vAlign w:val="bottom"/>
          </w:tcPr>
          <w:p>
            <w:pPr>
              <w:spacing w:after="0"/>
              <w:rPr>
                <w:sz w:val="1"/>
                <w:szCs w:val="1"/>
                <w:color w:val="auto"/>
              </w:rPr>
            </w:pPr>
          </w:p>
        </w:tc>
      </w:tr>
      <w:tr>
        <w:trPr>
          <w:trHeight w:val="465"/>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592,690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432,421</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219,999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178,879</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 and communications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46,561</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37,764</w:t>
            </w:r>
          </w:p>
        </w:tc>
        <w:tc>
          <w:tcPr>
            <w:tcW w:w="0" w:type="dxa"/>
            <w:vAlign w:val="bottom"/>
          </w:tcPr>
          <w:p>
            <w:pPr>
              <w:spacing w:after="0"/>
              <w:rPr>
                <w:sz w:val="1"/>
                <w:szCs w:val="1"/>
                <w:color w:val="auto"/>
              </w:rPr>
            </w:pP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15,930</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0" w:type="dxa"/>
            <w:vAlign w:val="bottom"/>
          </w:tcPr>
          <w:p>
            <w:pPr>
              <w:spacing w:after="0"/>
              <w:rPr>
                <w:sz w:val="1"/>
                <w:szCs w:val="1"/>
                <w:color w:val="auto"/>
              </w:rPr>
            </w:pPr>
          </w:p>
        </w:tc>
      </w:tr>
      <w:tr>
        <w:trPr>
          <w:trHeight w:val="22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1,047,921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832,950</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776,208</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678,028</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505,269</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412,573</w:t>
            </w:r>
          </w:p>
        </w:tc>
        <w:tc>
          <w:tcPr>
            <w:tcW w:w="0" w:type="dxa"/>
            <w:vAlign w:val="bottom"/>
          </w:tcPr>
          <w:p>
            <w:pPr>
              <w:spacing w:after="0"/>
              <w:rPr>
                <w:sz w:val="1"/>
                <w:szCs w:val="1"/>
                <w:color w:val="auto"/>
              </w:rPr>
            </w:pPr>
          </w:p>
        </w:tc>
      </w:tr>
      <w:tr>
        <w:trPr>
          <w:trHeight w:val="23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Tax receivable agreement liability adjustment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w:t>
            </w:r>
          </w:p>
        </w:tc>
        <w:tc>
          <w:tcPr>
            <w:tcW w:w="0" w:type="dxa"/>
            <w:vAlign w:val="bottom"/>
          </w:tcPr>
          <w:p>
            <w:pPr>
              <w:spacing w:after="0"/>
              <w:rPr>
                <w:sz w:val="1"/>
                <w:szCs w:val="1"/>
                <w:color w:val="auto"/>
              </w:rPr>
            </w:pPr>
          </w:p>
        </w:tc>
      </w:tr>
      <w:tr>
        <w:trPr>
          <w:trHeight w:val="221"/>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(loss), net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taxes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754,402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547,980</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437,133</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(184,439)</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(128,477)</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(77,520)</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569,963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419,503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359,613</w:t>
            </w: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50,275</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501,507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364,866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309,338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 attributable to Tradeweb Markets Inc. Class A and B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213,030,056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210,796,802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205,576,637</w:t>
            </w:r>
          </w:p>
        </w:tc>
        <w:tc>
          <w:tcPr>
            <w:tcW w:w="0" w:type="dxa"/>
            <w:vAlign w:val="bottom"/>
          </w:tcPr>
          <w:p>
            <w:pPr>
              <w:spacing w:after="0"/>
              <w:rPr>
                <w:sz w:val="1"/>
                <w:szCs w:val="1"/>
                <w:color w:val="auto"/>
              </w:rPr>
            </w:pP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214,924,763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212,668,808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208,400,040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-4878705</wp:posOffset>
            </wp:positionV>
            <wp:extent cx="6654800" cy="4902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8">
                      <a:extLst>
                        <a:ext uri="{28A0092B-C50C-407E-A947-70E740481C1C}"/>
                      </a:extLst>
                    </a:blip>
                    <a:srcRect/>
                    <a:stretch>
                      <a:fillRect/>
                    </a:stretch>
                  </pic:blipFill>
                  <pic:spPr bwMode="auto">
                    <a:xfrm>
                      <a:off x="0" y="0"/>
                      <a:ext cx="6654800" cy="4902200"/>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See Note 10 – Tax Receivable Agreement.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40"/>
          </w:cols>
          <w:pgMar w:left="82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107</w:t>
      </w:r>
    </w:p>
    <w:p>
      <w:pPr>
        <w:sectPr>
          <w:pgSz w:w="12060" w:h="15660" w:orient="portrait"/>
          <w:cols w:equalWidth="0" w:num="1">
            <w:col w:w="10440"/>
          </w:cols>
          <w:pgMar w:left="820" w:top="726" w:right="800" w:bottom="0" w:gutter="0" w:footer="0" w:header="0"/>
          <w:type w:val="continuous"/>
        </w:sectPr>
      </w:pPr>
    </w:p>
    <w:bookmarkStart w:id="117" w:name="page118"/>
    <w:bookmarkEnd w:id="117"/>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Comprehensive Income</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419,503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359,613</w:t>
            </w:r>
          </w:p>
        </w:tc>
      </w:tr>
      <w:tr>
        <w:trPr>
          <w:trHeight w:val="20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92"/>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with no tax benefit for each of the years ended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2"/>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2023 and 2022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r>
      <w:tr>
        <w:trPr>
          <w:trHeight w:val="45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564,875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346,371</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50,275</w:t>
            </w:r>
          </w:p>
        </w:tc>
      </w:tr>
      <w:tr>
        <w:trPr>
          <w:trHeight w:val="24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Less: Foreign currency translation adjustments attributable to non-controlling interests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Tradeweb Markets Inc.</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-1507490</wp:posOffset>
            </wp:positionV>
            <wp:extent cx="6654800" cy="15144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
                      <a:extLst>
                        <a:ext uri="{28A0092B-C50C-407E-A947-70E740481C1C}"/>
                      </a:extLst>
                    </a:blip>
                    <a:srcRect/>
                    <a:stretch>
                      <a:fillRect/>
                    </a:stretch>
                  </pic:blipFill>
                  <pic:spPr bwMode="auto">
                    <a:xfrm>
                      <a:off x="0" y="0"/>
                      <a:ext cx="6654800" cy="1514475"/>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101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108</w:t>
      </w:r>
    </w:p>
    <w:p>
      <w:pPr>
        <w:sectPr>
          <w:pgSz w:w="12060" w:h="15660" w:orient="portrait"/>
          <w:cols w:equalWidth="0" w:num="1">
            <w:col w:w="10400"/>
          </w:cols>
          <w:pgMar w:left="860" w:top="1014" w:right="800" w:bottom="0"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109</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Tradeweb Markets Inc. and Subsidiaries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Consolidated Statements of Changes in Equity</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10"/>
          </w:tcPr>
          <w:p>
            <w:pPr>
              <w:ind w:left="100"/>
              <w:spacing w:after="0"/>
              <w:rPr>
                <w:sz w:val="20"/>
                <w:szCs w:val="20"/>
                <w:color w:val="auto"/>
              </w:rPr>
            </w:pPr>
            <w:r>
              <w:rPr>
                <w:rFonts w:ascii="Times New Roman" w:cs="Times New Roman" w:eastAsia="Times New Roman" w:hAnsi="Times New Roman"/>
                <w:sz w:val="13"/>
                <w:szCs w:val="13"/>
                <w:b w:val="1"/>
                <w:bCs w:val="1"/>
                <w:color w:val="auto"/>
              </w:rPr>
              <w:t>Tradeweb Markets Inc. Stockholders’ Equity</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Class 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7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204"/>
              <w:spacing w:after="0" w:line="134"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1"/>
                <w:szCs w:val="11"/>
                <w:color w:val="auto"/>
              </w:rPr>
            </w:pPr>
          </w:p>
        </w:tc>
        <w:tc>
          <w:tcPr>
            <w:tcW w:w="10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84"/>
              <w:spacing w:after="0" w:line="134"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4,401,366</w:t>
            </w:r>
          </w:p>
        </w:tc>
        <w:tc>
          <w:tcPr>
            <w:tcW w:w="6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242,623</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663,348</w:t>
            </w:r>
          </w:p>
        </w:tc>
        <w:tc>
          <w:tcPr>
            <w:tcW w:w="40" w:type="dxa"/>
            <w:vAlign w:val="bottom"/>
          </w:tcPr>
          <w:p>
            <w:pPr>
              <w:spacing w:after="0"/>
              <w:rPr>
                <w:sz w:val="17"/>
                <w:szCs w:val="17"/>
                <w:color w:val="auto"/>
              </w:rPr>
            </w:pP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5,308,943</w:t>
            </w:r>
          </w:p>
        </w:tc>
        <w:tc>
          <w:tcPr>
            <w:tcW w:w="0" w:type="dxa"/>
            <w:vAlign w:val="bottom"/>
          </w:tcPr>
          <w:p>
            <w:pPr>
              <w:spacing w:after="0"/>
              <w:rPr>
                <w:sz w:val="1"/>
                <w:szCs w:val="1"/>
                <w:color w:val="auto"/>
              </w:rPr>
            </w:pPr>
          </w:p>
        </w:tc>
      </w:tr>
      <w:tr>
        <w:trPr>
          <w:trHeight w:val="206"/>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from equity incentive plans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Share repurchases pursuant to share repurchase programs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(99,323)</w:t>
            </w:r>
          </w:p>
        </w:tc>
        <w:tc>
          <w:tcPr>
            <w:tcW w:w="0" w:type="dxa"/>
            <w:vAlign w:val="bottom"/>
          </w:tcPr>
          <w:p>
            <w:pPr>
              <w:spacing w:after="0"/>
              <w:rPr>
                <w:sz w:val="1"/>
                <w:szCs w:val="1"/>
                <w:color w:val="auto"/>
              </w:rPr>
            </w:pPr>
          </w:p>
        </w:tc>
      </w:tr>
      <w:tr>
        <w:trPr>
          <w:trHeight w:val="21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Tax receivable agreement liability and deferred taxes arising from LLC Interest</w:t>
            </w:r>
          </w:p>
        </w:tc>
        <w:tc>
          <w:tcPr>
            <w:tcW w:w="14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88,230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88,230</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ownership exchanges and the issuance of common stock from equity incentive plans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non-controlling interests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108,679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(108,371)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Dividends ($0.32 per share)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67,380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Payroll taxes paid for stock-based compensation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(101,675)</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309,338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50,275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359,613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Other - See Note 14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0" w:type="dxa"/>
            <w:vAlign w:val="bottom"/>
          </w:tcPr>
          <w:p>
            <w:pPr>
              <w:spacing w:after="0"/>
              <w:rPr>
                <w:sz w:val="1"/>
                <w:szCs w:val="1"/>
                <w:color w:val="auto"/>
              </w:rPr>
            </w:pPr>
          </w:p>
        </w:tc>
      </w:tr>
      <w:tr>
        <w:trPr>
          <w:trHeight w:val="36"/>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4,577,270</w:t>
            </w:r>
          </w:p>
        </w:tc>
        <w:tc>
          <w:tcPr>
            <w:tcW w:w="60" w:type="dxa"/>
            <w:vAlign w:val="bottom"/>
            <w:vMerge w:val="continue"/>
          </w:tcPr>
          <w:p>
            <w:pPr>
              <w:spacing w:after="0"/>
              <w:rPr>
                <w:sz w:val="16"/>
                <w:szCs w:val="16"/>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(10,113)</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386,632</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592,525</w:t>
            </w:r>
          </w:p>
        </w:tc>
        <w:tc>
          <w:tcPr>
            <w:tcW w:w="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5,546,316</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common stock from equity incentive plans</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15,238</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Share repurchases pursuant to share repurchase programs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(35,205)</w:t>
            </w:r>
          </w:p>
        </w:tc>
        <w:tc>
          <w:tcPr>
            <w:tcW w:w="0" w:type="dxa"/>
            <w:vAlign w:val="bottom"/>
          </w:tcPr>
          <w:p>
            <w:pPr>
              <w:spacing w:after="0"/>
              <w:rPr>
                <w:sz w:val="1"/>
                <w:szCs w:val="1"/>
                <w:color w:val="auto"/>
              </w:rPr>
            </w:pPr>
          </w:p>
        </w:tc>
      </w:tr>
      <w:tr>
        <w:trPr>
          <w:trHeight w:val="21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Tax receivable agreement liability and deferred taxes arising from LLC Interest</w:t>
            </w:r>
          </w:p>
        </w:tc>
        <w:tc>
          <w:tcPr>
            <w:tcW w:w="14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53,395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53,395</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ownership exchanges and the issuance of common stock from equity incentive plans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non-controlling interests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(77,641)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Dividends ($0.36 per share)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(75,909)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66,607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Payroll taxes paid for stock-based compensation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(51,519)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364,866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54,637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419,503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5,419</w:t>
            </w:r>
          </w:p>
        </w:tc>
        <w:tc>
          <w:tcPr>
            <w:tcW w:w="0" w:type="dxa"/>
            <w:vAlign w:val="bottom"/>
          </w:tcPr>
          <w:p>
            <w:pPr>
              <w:spacing w:after="0"/>
              <w:rPr>
                <w:sz w:val="1"/>
                <w:szCs w:val="1"/>
                <w:color w:val="auto"/>
              </w:rPr>
            </w:pPr>
          </w:p>
        </w:tc>
      </w:tr>
      <w:tr>
        <w:trPr>
          <w:trHeight w:val="36"/>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4,738,758</w:t>
            </w:r>
          </w:p>
        </w:tc>
        <w:tc>
          <w:tcPr>
            <w:tcW w:w="60" w:type="dxa"/>
            <w:vAlign w:val="bottom"/>
            <w:vMerge w:val="continue"/>
          </w:tcPr>
          <w:p>
            <w:pPr>
              <w:spacing w:after="0"/>
              <w:rPr>
                <w:sz w:val="16"/>
                <w:szCs w:val="16"/>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(5,389)</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640,384</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557,651</w:t>
            </w:r>
          </w:p>
        </w:tc>
        <w:tc>
          <w:tcPr>
            <w:tcW w:w="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5,931,406</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common stock from equity incentive plans</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6,743</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for business acquisitions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40,025</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Share repurchases pursuant to the share repurchase programs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(59,896)</w:t>
            </w:r>
          </w:p>
        </w:tc>
        <w:tc>
          <w:tcPr>
            <w:tcW w:w="0" w:type="dxa"/>
            <w:vAlign w:val="bottom"/>
          </w:tcPr>
          <w:p>
            <w:pPr>
              <w:spacing w:after="0"/>
              <w:rPr>
                <w:sz w:val="1"/>
                <w:szCs w:val="1"/>
                <w:color w:val="auto"/>
              </w:rPr>
            </w:pPr>
          </w:p>
        </w:tc>
      </w:tr>
      <w:tr>
        <w:trPr>
          <w:trHeight w:val="21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Tax receivable agreement liability and deferred taxes arising from LLC Interest</w:t>
            </w:r>
          </w:p>
        </w:tc>
        <w:tc>
          <w:tcPr>
            <w:tcW w:w="14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(15,326)</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ownership exchanges and the issuance of common stock from equity incentive plans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non-controlling interests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(27,767)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(27,767)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Dividends ($0.40 per share)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(85,232)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92,009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Payroll taxes paid for stock-based compensation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501,507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68,456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569,963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(5,088)</w:t>
            </w:r>
          </w:p>
        </w:tc>
        <w:tc>
          <w:tcPr>
            <w:tcW w:w="0" w:type="dxa"/>
            <w:vAlign w:val="bottom"/>
          </w:tcPr>
          <w:p>
            <w:pPr>
              <w:spacing w:after="0"/>
              <w:rPr>
                <w:sz w:val="1"/>
                <w:szCs w:val="1"/>
                <w:color w:val="auto"/>
              </w:rPr>
            </w:pPr>
          </w:p>
        </w:tc>
      </w:tr>
      <w:tr>
        <w:trPr>
          <w:trHeight w:val="36"/>
        </w:trPr>
        <w:tc>
          <w:tcPr>
            <w:tcW w:w="5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4,813,408</w:t>
            </w:r>
          </w:p>
        </w:tc>
        <w:tc>
          <w:tcPr>
            <w:tcW w:w="60" w:type="dxa"/>
            <w:vAlign w:val="bottom"/>
            <w:vMerge w:val="continue"/>
          </w:tcPr>
          <w:p>
            <w:pPr>
              <w:spacing w:after="0"/>
              <w:rPr>
                <w:sz w:val="16"/>
                <w:szCs w:val="16"/>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(9,981)</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996,763</w:t>
            </w: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598,693</w:t>
            </w:r>
          </w:p>
        </w:tc>
        <w:tc>
          <w:tcPr>
            <w:tcW w:w="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6,398,885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3408045</wp:posOffset>
                </wp:positionH>
                <wp:positionV relativeFrom="paragraph">
                  <wp:posOffset>-6120130</wp:posOffset>
                </wp:positionV>
                <wp:extent cx="397954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9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481.8999pt" to="581.7pt,-481.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3408045</wp:posOffset>
                </wp:positionH>
                <wp:positionV relativeFrom="paragraph">
                  <wp:posOffset>-5982335</wp:posOffset>
                </wp:positionV>
                <wp:extent cx="19761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61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471.0499pt" to="423.95pt,-4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3408045</wp:posOffset>
                </wp:positionH>
                <wp:positionV relativeFrom="paragraph">
                  <wp:posOffset>-5589270</wp:posOffset>
                </wp:positionV>
                <wp:extent cx="96964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440.0999pt" to="344.7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-5589270</wp:posOffset>
                </wp:positionV>
                <wp:extent cx="96964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440.0999pt" to="423.95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5420995</wp:posOffset>
                </wp:positionH>
                <wp:positionV relativeFrom="paragraph">
                  <wp:posOffset>-5589270</wp:posOffset>
                </wp:positionV>
                <wp:extent cx="62166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85pt,-440.0999pt" to="475.8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6079490</wp:posOffset>
                </wp:positionH>
                <wp:positionV relativeFrom="paragraph">
                  <wp:posOffset>-5589270</wp:posOffset>
                </wp:positionV>
                <wp:extent cx="64960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pt,-440.0999pt" to="529.85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6765290</wp:posOffset>
                </wp:positionH>
                <wp:positionV relativeFrom="paragraph">
                  <wp:posOffset>-5589270</wp:posOffset>
                </wp:positionV>
                <wp:extent cx="6223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7pt,-440.0999pt" to="581.7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7423785</wp:posOffset>
                </wp:positionH>
                <wp:positionV relativeFrom="paragraph">
                  <wp:posOffset>-5589270</wp:posOffset>
                </wp:positionV>
                <wp:extent cx="6223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55pt,-440.0999pt" to="633.55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8082915</wp:posOffset>
                </wp:positionH>
                <wp:positionV relativeFrom="paragraph">
                  <wp:posOffset>-5589270</wp:posOffset>
                </wp:positionV>
                <wp:extent cx="62166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6.45pt,-440.0999pt" to="685.4pt,-44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3408045</wp:posOffset>
                </wp:positionH>
                <wp:positionV relativeFrom="paragraph">
                  <wp:posOffset>-3732530</wp:posOffset>
                </wp:positionV>
                <wp:extent cx="46672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293.8999pt" to="305.1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3911600</wp:posOffset>
                </wp:positionH>
                <wp:positionV relativeFrom="paragraph">
                  <wp:posOffset>-3732530</wp:posOffset>
                </wp:positionV>
                <wp:extent cx="46609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pt,-293.8999pt" to="344.7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-3732530</wp:posOffset>
                </wp:positionV>
                <wp:extent cx="4667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293.8999pt" to="384.35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4917440</wp:posOffset>
                </wp:positionH>
                <wp:positionV relativeFrom="paragraph">
                  <wp:posOffset>-3732530</wp:posOffset>
                </wp:positionV>
                <wp:extent cx="4667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pt,-293.8999pt" to="423.95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5420995</wp:posOffset>
                </wp:positionH>
                <wp:positionV relativeFrom="paragraph">
                  <wp:posOffset>-3732530</wp:posOffset>
                </wp:positionV>
                <wp:extent cx="62166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85pt,-293.8999pt" to="475.8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6079490</wp:posOffset>
                </wp:positionH>
                <wp:positionV relativeFrom="paragraph">
                  <wp:posOffset>-3732530</wp:posOffset>
                </wp:positionV>
                <wp:extent cx="64960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pt,-293.8999pt" to="529.85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6765290</wp:posOffset>
                </wp:positionH>
                <wp:positionV relativeFrom="paragraph">
                  <wp:posOffset>-3732530</wp:posOffset>
                </wp:positionV>
                <wp:extent cx="6223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7pt,-293.8999pt" to="581.7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7423785</wp:posOffset>
                </wp:positionH>
                <wp:positionV relativeFrom="paragraph">
                  <wp:posOffset>-3732530</wp:posOffset>
                </wp:positionV>
                <wp:extent cx="6223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55pt,-293.8999pt" to="633.55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8082915</wp:posOffset>
                </wp:positionH>
                <wp:positionV relativeFrom="paragraph">
                  <wp:posOffset>-3732530</wp:posOffset>
                </wp:positionV>
                <wp:extent cx="62166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6.45pt,-293.8999pt" to="685.4pt,-29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3408045</wp:posOffset>
                </wp:positionH>
                <wp:positionV relativeFrom="paragraph">
                  <wp:posOffset>-2021840</wp:posOffset>
                </wp:positionV>
                <wp:extent cx="46672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159.1999pt" to="305.1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3911600</wp:posOffset>
                </wp:positionH>
                <wp:positionV relativeFrom="paragraph">
                  <wp:posOffset>-2021840</wp:posOffset>
                </wp:positionV>
                <wp:extent cx="46609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pt,-159.1999pt" to="344.7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-2021840</wp:posOffset>
                </wp:positionV>
                <wp:extent cx="4667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159.1999pt" to="384.35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4917440</wp:posOffset>
                </wp:positionH>
                <wp:positionV relativeFrom="paragraph">
                  <wp:posOffset>-2021840</wp:posOffset>
                </wp:positionV>
                <wp:extent cx="4667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pt,-159.1999pt" to="423.95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5420995</wp:posOffset>
                </wp:positionH>
                <wp:positionV relativeFrom="paragraph">
                  <wp:posOffset>-2021840</wp:posOffset>
                </wp:positionV>
                <wp:extent cx="62166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85pt,-159.1999pt" to="475.8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6079490</wp:posOffset>
                </wp:positionH>
                <wp:positionV relativeFrom="paragraph">
                  <wp:posOffset>-2021840</wp:posOffset>
                </wp:positionV>
                <wp:extent cx="64960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pt,-159.1999pt" to="529.85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6765290</wp:posOffset>
                </wp:positionH>
                <wp:positionV relativeFrom="paragraph">
                  <wp:posOffset>-2021840</wp:posOffset>
                </wp:positionV>
                <wp:extent cx="6223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7pt,-159.1999pt" to="581.7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7423785</wp:posOffset>
                </wp:positionH>
                <wp:positionV relativeFrom="paragraph">
                  <wp:posOffset>-2021840</wp:posOffset>
                </wp:positionV>
                <wp:extent cx="6223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55pt,-159.1999pt" to="633.55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8082915</wp:posOffset>
                </wp:positionH>
                <wp:positionV relativeFrom="paragraph">
                  <wp:posOffset>-2021840</wp:posOffset>
                </wp:positionV>
                <wp:extent cx="62166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6.45pt,-159.1999pt" to="685.4pt,-15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3408045</wp:posOffset>
                </wp:positionH>
                <wp:positionV relativeFrom="paragraph">
                  <wp:posOffset>-164465</wp:posOffset>
                </wp:positionV>
                <wp:extent cx="4667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35pt,-12.9499pt" to="305.1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3911600</wp:posOffset>
                </wp:positionH>
                <wp:positionV relativeFrom="paragraph">
                  <wp:posOffset>-164465</wp:posOffset>
                </wp:positionV>
                <wp:extent cx="46609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pt,-12.9499pt" to="344.7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-164465</wp:posOffset>
                </wp:positionV>
                <wp:extent cx="4667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12.9499pt" to="384.35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4917440</wp:posOffset>
                </wp:positionH>
                <wp:positionV relativeFrom="paragraph">
                  <wp:posOffset>-164465</wp:posOffset>
                </wp:positionV>
                <wp:extent cx="46672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pt,-12.9499pt" to="423.95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5420995</wp:posOffset>
                </wp:positionH>
                <wp:positionV relativeFrom="paragraph">
                  <wp:posOffset>-164465</wp:posOffset>
                </wp:positionV>
                <wp:extent cx="62166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85pt,-12.9499pt" to="475.8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6079490</wp:posOffset>
                </wp:positionH>
                <wp:positionV relativeFrom="paragraph">
                  <wp:posOffset>-164465</wp:posOffset>
                </wp:positionV>
                <wp:extent cx="64960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pt,-12.9499pt" to="529.85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6765290</wp:posOffset>
                </wp:positionH>
                <wp:positionV relativeFrom="paragraph">
                  <wp:posOffset>-164465</wp:posOffset>
                </wp:positionV>
                <wp:extent cx="6223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7pt,-12.9499pt" to="581.7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7423785</wp:posOffset>
                </wp:positionH>
                <wp:positionV relativeFrom="paragraph">
                  <wp:posOffset>-164465</wp:posOffset>
                </wp:positionV>
                <wp:extent cx="6223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55pt,-12.9499pt" to="633.55pt,-1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8082915</wp:posOffset>
                </wp:positionH>
                <wp:positionV relativeFrom="paragraph">
                  <wp:posOffset>-164465</wp:posOffset>
                </wp:positionV>
                <wp:extent cx="62166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6.45pt,-12.9499pt" to="685.4pt,-12.9499pt" o:allowincell="f" strokecolor="#000000" strokeweight="0pt"/>
            </w:pict>
          </mc:Fallback>
        </mc:AlternateContent>
        <w:drawing>
          <wp:anchor simplePos="0" relativeHeight="251657728" behindDoc="1" locked="0" layoutInCell="0" allowOverlap="1">
            <wp:simplePos x="0" y="0"/>
            <wp:positionH relativeFrom="column">
              <wp:posOffset>-43180</wp:posOffset>
            </wp:positionH>
            <wp:positionV relativeFrom="paragraph">
              <wp:posOffset>-5601335</wp:posOffset>
            </wp:positionV>
            <wp:extent cx="8761730" cy="5608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0">
                      <a:extLst>
                        <a:ext uri="{28A0092B-C50C-407E-A947-70E740481C1C}"/>
                      </a:extLst>
                    </a:blip>
                    <a:srcRect/>
                    <a:stretch>
                      <a:fillRect/>
                    </a:stretch>
                  </pic:blipFill>
                  <pic:spPr bwMode="auto">
                    <a:xfrm>
                      <a:off x="0" y="0"/>
                      <a:ext cx="8761730" cy="560832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5660" w:h="12060" w:orient="landscape"/>
          <w:cols w:equalWidth="0" w:num="2">
            <w:col w:w="230" w:space="437"/>
            <w:col w:w="13700"/>
          </w:cols>
          <w:pgMar w:left="333" w:top="466" w:right="960" w:bottom="12" w:gutter="0" w:footer="0" w:header="0"/>
        </w:sectPr>
      </w:pPr>
    </w:p>
    <w:bookmarkStart w:id="119" w:name="page120"/>
    <w:bookmarkEnd w:id="119"/>
    <w:p>
      <w:pPr>
        <w:ind w:left="312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419,503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359,613</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219,999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178,879</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66,644</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52,863</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loss,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8"/>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operating assets: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from/payable to brokers and dealers and clearing organizations,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(17,228)</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and due from affiliates/payable and due to affiliates,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asset as a result of transferable tax credit purchase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r>
      <w:tr>
        <w:trPr>
          <w:trHeight w:val="228"/>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r>
      <w:tr>
        <w:trPr>
          <w:trHeight w:val="246"/>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897,741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746,089</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632,822</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(860,126)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foreign currency call option, net of sale proceeds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furniture, equipment, software and leasehold improvements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(23,214)</w:t>
            </w: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(47,909)</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(43,235)</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(36,882)</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(969,190)</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(132,765)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(60,096)</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repurchases pursuant to share repurchase programs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(99,323)</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exercises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(66,006)</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(10,894)</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(101,675)</w:t>
            </w: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tax receivable agreement liability</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(76,956)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(8,995)</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(290,261)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(168,174)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(276,703)</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(10,842)</w:t>
            </w:r>
          </w:p>
        </w:tc>
      </w:tr>
      <w:tr>
        <w:trPr>
          <w:trHeight w:val="214"/>
        </w:trPr>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285,181</w:t>
            </w: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1,707,468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1,258,229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973,048</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1,258,229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-6431915</wp:posOffset>
            </wp:positionV>
            <wp:extent cx="6654800" cy="6438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1">
                      <a:extLst>
                        <a:ext uri="{28A0092B-C50C-407E-A947-70E740481C1C}"/>
                      </a:extLst>
                    </a:blip>
                    <a:srcRect/>
                    <a:stretch>
                      <a:fillRect/>
                    </a:stretch>
                  </pic:blipFill>
                  <pic:spPr bwMode="auto">
                    <a:xfrm>
                      <a:off x="0" y="0"/>
                      <a:ext cx="6654800" cy="64389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45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110</w:t>
      </w:r>
    </w:p>
    <w:p>
      <w:pPr>
        <w:sectPr>
          <w:pgSz w:w="12060" w:h="15660" w:orient="portrait"/>
          <w:cols w:equalWidth="0" w:num="1">
            <w:col w:w="10400"/>
          </w:cols>
          <w:pgMar w:left="860" w:top="456" w:right="800" w:bottom="0" w:gutter="0" w:footer="0" w:header="0"/>
          <w:type w:val="continuous"/>
        </w:sectPr>
      </w:pPr>
    </w:p>
    <w:bookmarkStart w:id="120" w:name="page121"/>
    <w:bookmarkEnd w:id="120"/>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 - (Continued)</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business acquisitions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Furniture, equipment, software and leasehold improvement additions included in accounts payable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Unsettled share repurchases included in other liabilities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payable relating to stock-based compensation settlements included in accrued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 obtained in exchange for lease liabilities, net of modifications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terminations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capitalized to software development costs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Items arising from LLC Interest ownership changes: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Establishment of liabilities under tax receivable agreement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35,923</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124,154</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 See Note 14</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-2364105</wp:posOffset>
            </wp:positionV>
            <wp:extent cx="6654800" cy="2387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2">
                      <a:extLst>
                        <a:ext uri="{28A0092B-C50C-407E-A947-70E740481C1C}"/>
                      </a:extLst>
                    </a:blip>
                    <a:srcRect/>
                    <a:stretch>
                      <a:fillRect/>
                    </a:stretch>
                  </pic:blipFill>
                  <pic:spPr bwMode="auto">
                    <a:xfrm>
                      <a:off x="0" y="0"/>
                      <a:ext cx="6654800" cy="238760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as shown on the statements of</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condition: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1,706,468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1,257,229</w:t>
            </w:r>
          </w:p>
        </w:tc>
      </w:tr>
      <w:tr>
        <w:trPr>
          <w:trHeight w:val="24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1,258,229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-488315</wp:posOffset>
            </wp:positionV>
            <wp:extent cx="6654800" cy="177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a:extLst>
                        <a:ext uri="{28A0092B-C50C-407E-A947-70E740481C1C}"/>
                      </a:extLst>
                    </a:blip>
                    <a:srcRect/>
                    <a:stretch>
                      <a:fillRect/>
                    </a:stretch>
                  </pic:blipFill>
                  <pic:spPr bwMode="auto">
                    <a:xfrm>
                      <a:off x="0" y="0"/>
                      <a:ext cx="6654800" cy="17780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-183515</wp:posOffset>
            </wp:positionV>
            <wp:extent cx="6654800" cy="190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4">
                      <a:extLst>
                        <a:ext uri="{28A0092B-C50C-407E-A947-70E740481C1C}"/>
                      </a:extLst>
                    </a:blip>
                    <a:srcRect/>
                    <a:stretch>
                      <a:fillRect/>
                    </a:stretch>
                  </pic:blipFill>
                  <pic:spPr bwMode="auto">
                    <a:xfrm>
                      <a:off x="0" y="0"/>
                      <a:ext cx="6654800" cy="1905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13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111</w:t>
      </w:r>
    </w:p>
    <w:p>
      <w:pPr>
        <w:sectPr>
          <w:pgSz w:w="12060" w:h="15660" w:orient="portrait"/>
          <w:cols w:equalWidth="0" w:num="1">
            <w:col w:w="10400"/>
          </w:cols>
          <w:pgMar w:left="860" w:top="1312" w:right="800" w:bottom="0" w:gutter="0" w:footer="0" w:header="0"/>
          <w:type w:val="continuous"/>
        </w:sectPr>
      </w:pPr>
    </w:p>
    <w:bookmarkStart w:id="121" w:name="page122"/>
    <w:bookmarkEnd w:id="121"/>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9"/>
        </w:trPr>
        <w:tc>
          <w:tcPr>
            <w:tcW w:w="80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color w:val="3F3F3F"/>
              </w:rPr>
              <w:t>Note 1</w:t>
            </w:r>
          </w:p>
        </w:tc>
        <w:tc>
          <w:tcPr>
            <w:tcW w:w="4260" w:type="dxa"/>
            <w:vAlign w:val="bottom"/>
            <w:gridSpan w:val="16"/>
          </w:tcPr>
          <w:p>
            <w:pPr>
              <w:spacing w:after="0" w:line="219" w:lineRule="exact"/>
              <w:rPr>
                <w:sz w:val="20"/>
                <w:szCs w:val="20"/>
                <w:color w:val="auto"/>
              </w:rPr>
            </w:pPr>
            <w:r>
              <w:rPr>
                <w:rFonts w:ascii="Times New Roman" w:cs="Times New Roman" w:eastAsia="Times New Roman" w:hAnsi="Times New Roman"/>
                <w:sz w:val="20"/>
                <w:szCs w:val="20"/>
                <w:color w:val="3F3F3F"/>
              </w:rPr>
              <w:t>Organization</w:t>
            </w:r>
          </w:p>
        </w:tc>
        <w:tc>
          <w:tcPr>
            <w:tcW w:w="53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113</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tcBorders>
              <w:left w:val="single" w:sz="8" w:color="3F3F3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2</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Significant Accounting Policies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tcBorders>
              <w:left w:val="single" w:sz="8" w:color="3F3F3F"/>
            </w:tcBorders>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60" w:type="dxa"/>
            <w:vAlign w:val="bottom"/>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36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180" w:type="dxa"/>
            <w:vAlign w:val="bottom"/>
            <w:tcBorders>
              <w:left w:val="single" w:sz="8" w:color="3F3F3F"/>
            </w:tcBorders>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140" w:type="dxa"/>
            <w:vAlign w:val="bottom"/>
            <w:tcBorders>
              <w:left w:val="single" w:sz="8" w:color="3F3F3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3</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Restricted Cash</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tcBorders>
              <w:left w:val="single" w:sz="8" w:color="3F3F3F"/>
            </w:tcBorders>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4</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Acquisitions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5</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Software Development Costs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200" w:type="dxa"/>
            <w:vAlign w:val="bottom"/>
            <w:gridSpan w:val="2"/>
            <w:shd w:val="clear" w:color="auto" w:fill="3F3F3F"/>
          </w:tcPr>
          <w:p>
            <w:pPr>
              <w:spacing w:after="0" w:line="20" w:lineRule="exact"/>
              <w:rPr>
                <w:sz w:val="1"/>
                <w:szCs w:val="1"/>
                <w:color w:val="auto"/>
              </w:rPr>
            </w:pPr>
          </w:p>
        </w:tc>
        <w:tc>
          <w:tcPr>
            <w:tcW w:w="400" w:type="dxa"/>
            <w:vAlign w:val="bottom"/>
            <w:gridSpan w:val="2"/>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36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180" w:type="dxa"/>
            <w:vAlign w:val="bottom"/>
            <w:tcBorders>
              <w:left w:val="single" w:sz="8" w:color="3F3F3F"/>
            </w:tcBorders>
            <w:shd w:val="clear" w:color="auto" w:fill="3F3F3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6</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Goodwill and Intangible Assets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200" w:type="dxa"/>
            <w:vAlign w:val="bottom"/>
            <w:gridSpan w:val="2"/>
            <w:shd w:val="clear" w:color="auto" w:fill="3F3F3F"/>
          </w:tcPr>
          <w:p>
            <w:pPr>
              <w:spacing w:after="0" w:line="20" w:lineRule="exact"/>
              <w:rPr>
                <w:sz w:val="1"/>
                <w:szCs w:val="1"/>
                <w:color w:val="auto"/>
              </w:rPr>
            </w:pPr>
          </w:p>
        </w:tc>
        <w:tc>
          <w:tcPr>
            <w:tcW w:w="400" w:type="dxa"/>
            <w:vAlign w:val="bottom"/>
            <w:gridSpan w:val="2"/>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36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360" w:type="dxa"/>
            <w:vAlign w:val="bottom"/>
            <w:tcBorders>
              <w:left w:val="single" w:sz="8" w:color="3F3F3F"/>
            </w:tcBorders>
            <w:gridSpan w:val="2"/>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7</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Leases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8</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Revenue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3F3F3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9</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Income Taxes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200" w:type="dxa"/>
            <w:vAlign w:val="bottom"/>
            <w:gridSpan w:val="2"/>
            <w:shd w:val="clear" w:color="auto" w:fill="3F3F3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10</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Tax Receivable Agreement</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36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500" w:type="dxa"/>
            <w:vAlign w:val="bottom"/>
            <w:tcBorders>
              <w:left w:val="single" w:sz="8" w:color="3F3F3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11</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Stockholders’ Equity</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180" w:type="dxa"/>
            <w:vAlign w:val="bottom"/>
            <w:shd w:val="clear" w:color="auto" w:fill="3F3F3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12</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Non-Controlling Interests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540" w:type="dxa"/>
            <w:vAlign w:val="bottom"/>
            <w:gridSpan w:val="2"/>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13</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Stock-Based Compensation Plans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640" w:type="dxa"/>
            <w:vAlign w:val="bottom"/>
            <w:gridSpan w:val="3"/>
            <w:shd w:val="clear" w:color="auto" w:fill="3F3F3F"/>
          </w:tcPr>
          <w:p>
            <w:pPr>
              <w:spacing w:after="0" w:line="20" w:lineRule="exact"/>
              <w:rPr>
                <w:sz w:val="1"/>
                <w:szCs w:val="1"/>
                <w:color w:val="auto"/>
              </w:rPr>
            </w:pPr>
          </w:p>
        </w:tc>
        <w:tc>
          <w:tcPr>
            <w:tcW w:w="500" w:type="dxa"/>
            <w:vAlign w:val="bottom"/>
            <w:tcBorders>
              <w:left w:val="single" w:sz="8" w:color="3F3F3F"/>
            </w:tcBorders>
            <w:gridSpan w:val="3"/>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1100" w:type="dxa"/>
            <w:vAlign w:val="bottom"/>
            <w:tcBorders>
              <w:left w:val="single" w:sz="8" w:color="3F3F3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14</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Related Party Transactions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640" w:type="dxa"/>
            <w:vAlign w:val="bottom"/>
            <w:gridSpan w:val="3"/>
            <w:shd w:val="clear" w:color="auto" w:fill="3F3F3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15</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w w:val="99"/>
              </w:rPr>
              <w:t>Fair Value of Financial Instruments and Other Assets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shd w:val="clear" w:color="auto" w:fill="3F3F3F"/>
          </w:tcPr>
          <w:p>
            <w:pPr>
              <w:spacing w:after="0" w:line="20" w:lineRule="exact"/>
              <w:rPr>
                <w:sz w:val="1"/>
                <w:szCs w:val="1"/>
                <w:color w:val="auto"/>
              </w:rPr>
            </w:pPr>
          </w:p>
        </w:tc>
        <w:tc>
          <w:tcPr>
            <w:tcW w:w="1140" w:type="dxa"/>
            <w:vAlign w:val="bottom"/>
            <w:gridSpan w:val="6"/>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1100" w:type="dxa"/>
            <w:vAlign w:val="bottom"/>
            <w:tcBorders>
              <w:left w:val="single" w:sz="8" w:color="3F3F3F"/>
            </w:tcBorders>
            <w:shd w:val="clear" w:color="auto" w:fill="3F3F3F"/>
          </w:tcPr>
          <w:p>
            <w:pPr>
              <w:spacing w:after="0" w:line="20" w:lineRule="exact"/>
              <w:rPr>
                <w:sz w:val="1"/>
                <w:szCs w:val="1"/>
                <w:color w:val="auto"/>
              </w:rPr>
            </w:pPr>
          </w:p>
        </w:tc>
        <w:tc>
          <w:tcPr>
            <w:tcW w:w="480" w:type="dxa"/>
            <w:vAlign w:val="bottom"/>
            <w:shd w:val="clear" w:color="auto" w:fill="3F3F3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16</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Credit Risk</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17</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Commitments and Contingencies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3F3F3F"/>
          </w:tcPr>
          <w:p>
            <w:pPr>
              <w:spacing w:after="0" w:line="20" w:lineRule="exact"/>
              <w:rPr>
                <w:sz w:val="1"/>
                <w:szCs w:val="1"/>
                <w:color w:val="auto"/>
              </w:rPr>
            </w:pPr>
          </w:p>
        </w:tc>
        <w:tc>
          <w:tcPr>
            <w:tcW w:w="1140" w:type="dxa"/>
            <w:vAlign w:val="bottom"/>
            <w:gridSpan w:val="6"/>
            <w:shd w:val="clear" w:color="auto" w:fill="3F3F3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18</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Earnings Per Share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3F3F3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19</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Regulatory Capital Requirements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3F3F3F"/>
          </w:tcPr>
          <w:p>
            <w:pPr>
              <w:spacing w:after="0" w:line="20" w:lineRule="exact"/>
              <w:rPr>
                <w:sz w:val="1"/>
                <w:szCs w:val="1"/>
                <w:color w:val="auto"/>
              </w:rPr>
            </w:pPr>
          </w:p>
        </w:tc>
        <w:tc>
          <w:tcPr>
            <w:tcW w:w="1160" w:type="dxa"/>
            <w:vAlign w:val="bottom"/>
            <w:gridSpan w:val="7"/>
            <w:shd w:val="clear" w:color="auto" w:fill="3F3F3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20</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Business Segment and Geographic Information</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3F3F3F"/>
          </w:tcPr>
          <w:p>
            <w:pPr>
              <w:spacing w:after="0" w:line="20" w:lineRule="exact"/>
              <w:rPr>
                <w:sz w:val="1"/>
                <w:szCs w:val="1"/>
                <w:color w:val="auto"/>
              </w:rPr>
            </w:pPr>
          </w:p>
        </w:tc>
        <w:tc>
          <w:tcPr>
            <w:tcW w:w="2260" w:type="dxa"/>
            <w:vAlign w:val="bottom"/>
            <w:gridSpan w:val="8"/>
            <w:shd w:val="clear" w:color="auto" w:fill="3F3F3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Note 21</w:t>
            </w:r>
          </w:p>
        </w:tc>
        <w:tc>
          <w:tcPr>
            <w:tcW w:w="4260" w:type="dxa"/>
            <w:vAlign w:val="bottom"/>
            <w:gridSpan w:val="16"/>
          </w:tcPr>
          <w:p>
            <w:pPr>
              <w:spacing w:after="0"/>
              <w:rPr>
                <w:sz w:val="20"/>
                <w:szCs w:val="20"/>
                <w:color w:val="auto"/>
              </w:rPr>
            </w:pPr>
            <w:r>
              <w:rPr>
                <w:rFonts w:ascii="Times New Roman" w:cs="Times New Roman" w:eastAsia="Times New Roman" w:hAnsi="Times New Roman"/>
                <w:sz w:val="20"/>
                <w:szCs w:val="20"/>
                <w:color w:val="3F3F3F"/>
              </w:rPr>
              <w:t>Subsequent Events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tcBorders>
              <w:left w:val="single" w:sz="8" w:color="3F3F3F"/>
            </w:tcBorders>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60" w:type="dxa"/>
            <w:vAlign w:val="bottom"/>
            <w:shd w:val="clear" w:color="auto" w:fill="3F3F3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1">
            <w:col w:w="10400"/>
          </w:cols>
          <w:pgMar w:left="86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112</w:t>
      </w:r>
    </w:p>
    <w:p>
      <w:pPr>
        <w:sectPr>
          <w:pgSz w:w="12060" w:h="15660" w:orient="portrait"/>
          <w:cols w:equalWidth="0" w:num="1">
            <w:col w:w="10400"/>
          </w:cols>
          <w:pgMar w:left="860" w:top="726" w:right="800" w:bottom="0" w:gutter="0" w:footer="0" w:header="0"/>
          <w:type w:val="continuous"/>
        </w:sectPr>
      </w:pPr>
    </w:p>
    <w:bookmarkStart w:id="122" w:name="page123"/>
    <w:bookmarkEnd w:id="122"/>
    <w:p>
      <w:pPr>
        <w:ind w:left="317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299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197" w:lineRule="exact"/>
        <w:rPr>
          <w:sz w:val="20"/>
          <w:szCs w:val="20"/>
          <w:color w:val="auto"/>
        </w:rPr>
      </w:pPr>
    </w:p>
    <w:p>
      <w:pPr>
        <w:ind w:left="730" w:hanging="730"/>
        <w:spacing w:after="0"/>
        <w:tabs>
          <w:tab w:leader="none" w:pos="73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17"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64"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55"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69"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2024 and 2023,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69" w:lineRule="exact"/>
        <w:rPr>
          <w:sz w:val="20"/>
          <w:szCs w:val="20"/>
          <w:color w:val="auto"/>
        </w:rPr>
      </w:pPr>
    </w:p>
    <w:p>
      <w:pPr>
        <w:jc w:val="both"/>
        <w:ind w:left="10" w:right="760"/>
        <w:spacing w:after="0" w:line="266" w:lineRule="auto"/>
        <w:rPr>
          <w:sz w:val="20"/>
          <w:szCs w:val="20"/>
          <w:color w:val="auto"/>
        </w:rPr>
      </w:pPr>
      <w:r>
        <w:rPr>
          <w:rFonts w:ascii="Times New Roman" w:cs="Times New Roman" w:eastAsia="Times New Roman" w:hAnsi="Times New Roman"/>
          <w:sz w:val="20"/>
          <w:szCs w:val="20"/>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55"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63"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ectPr>
          <w:pgSz w:w="12060" w:h="15660" w:orient="portrait"/>
          <w:cols w:equalWidth="0" w:num="1">
            <w:col w:w="10430"/>
          </w:cols>
          <w:pgMar w:left="810" w:top="7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113</w:t>
      </w:r>
    </w:p>
    <w:p>
      <w:pPr>
        <w:sectPr>
          <w:pgSz w:w="12060" w:h="15660" w:orient="portrait"/>
          <w:cols w:equalWidth="0" w:num="1">
            <w:col w:w="10430"/>
          </w:cols>
          <w:pgMar w:left="810" w:top="726" w:right="820" w:bottom="0" w:gutter="0" w:footer="0" w:header="0"/>
          <w:type w:val="continuous"/>
        </w:sectPr>
      </w:pPr>
    </w:p>
    <w:bookmarkStart w:id="123" w:name="page124"/>
    <w:bookmarkEnd w:id="123"/>
    <w:p>
      <w:pPr>
        <w:spacing w:after="0" w:line="253" w:lineRule="auto"/>
        <w:rPr>
          <w:sz w:val="20"/>
          <w:szCs w:val="20"/>
          <w:color w:val="auto"/>
        </w:rPr>
      </w:pPr>
      <w:r>
        <w:rPr>
          <w:rFonts w:ascii="Times New Roman" w:cs="Times New Roman" w:eastAsia="Times New Roman" w:hAnsi="Times New Roman"/>
          <w:sz w:val="20"/>
          <w:szCs w:val="20"/>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41" w:lineRule="exact"/>
        <w:rPr>
          <w:sz w:val="20"/>
          <w:szCs w:val="20"/>
          <w:color w:val="auto"/>
        </w:rPr>
      </w:pPr>
    </w:p>
    <w:p>
      <w:pPr>
        <w:ind w:left="720" w:right="400" w:hanging="370"/>
        <w:spacing w:after="0" w:line="260"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63" w:lineRule="exact"/>
        <w:rPr>
          <w:rFonts w:ascii="Times New Roman" w:cs="Times New Roman" w:eastAsia="Times New Roman" w:hAnsi="Times New Roman"/>
          <w:sz w:val="20"/>
          <w:szCs w:val="20"/>
          <w:color w:val="auto"/>
        </w:rPr>
      </w:pPr>
    </w:p>
    <w:p>
      <w:pPr>
        <w:jc w:val="both"/>
        <w:ind w:left="720" w:right="100" w:hanging="370"/>
        <w:spacing w:after="0" w:line="260"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Dealerweb Inc. (“DW”) (formerly known as Hilliard Farber &amp; Co., Inc.), a registered broker-dealer under the Exchange Act and a member of FINRA and MSRB. DW is also registered as an introducing broker with the CFTC and a member of the NFA. Effective on January 2, 2025, Dealerweb Inc. merged with and into Dealerweb LLC, with Dealerweb LLC being the surviving entity.</w:t>
      </w:r>
    </w:p>
    <w:p>
      <w:pPr>
        <w:spacing w:after="0" w:line="163" w:lineRule="exact"/>
        <w:rPr>
          <w:rFonts w:ascii="Times New Roman" w:cs="Times New Roman" w:eastAsia="Times New Roman" w:hAnsi="Times New Roman"/>
          <w:sz w:val="20"/>
          <w:szCs w:val="20"/>
          <w:color w:val="auto"/>
        </w:rPr>
      </w:pPr>
    </w:p>
    <w:p>
      <w:pPr>
        <w:ind w:left="720" w:right="46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Direct LLC (“TWD”) (formerly known as BondDesk Trading LLC), a registered broker-dealer under the Exchange Act and a member of FINRA and MSRB.</w:t>
      </w:r>
    </w:p>
    <w:p>
      <w:pPr>
        <w:spacing w:after="0" w:line="141" w:lineRule="exact"/>
        <w:rPr>
          <w:rFonts w:ascii="Times New Roman" w:cs="Times New Roman" w:eastAsia="Times New Roman" w:hAnsi="Times New Roman"/>
          <w:sz w:val="20"/>
          <w:szCs w:val="20"/>
          <w:color w:val="auto"/>
        </w:rPr>
      </w:pPr>
    </w:p>
    <w:p>
      <w:pPr>
        <w:ind w:left="720" w:right="56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Institutional Cash Distributors, LLC (“ICDLC”), acquired on August 1, 2024, a registered broker-dealer under the Exchange Act and a member of FINRA.</w:t>
      </w:r>
    </w:p>
    <w:p>
      <w:pPr>
        <w:spacing w:after="0" w:line="141"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Europe Limited (“TEL”), a MiFID Investment Firm regulated by the Financial Conduct Authority (the “FCA”) in the UK and certain other global regulators and that maintains branches in Asia.</w:t>
      </w:r>
    </w:p>
    <w:p>
      <w:pPr>
        <w:spacing w:after="0" w:line="141" w:lineRule="exact"/>
        <w:rPr>
          <w:rFonts w:ascii="Times New Roman" w:cs="Times New Roman" w:eastAsia="Times New Roman" w:hAnsi="Times New Roman"/>
          <w:sz w:val="20"/>
          <w:szCs w:val="20"/>
          <w:color w:val="auto"/>
        </w:rPr>
      </w:pPr>
    </w:p>
    <w:p>
      <w:pPr>
        <w:ind w:left="720" w:right="76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SEF LLC (“TW SEF”), a Swap Execution Facility (“SEF”) regulated by the CFTC and certain other global regulators.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 SEF LLC (“DW SEF”), a SEF regulated by the CFTC and certain other global regulators.</w:t>
      </w:r>
    </w:p>
    <w:p>
      <w:pPr>
        <w:spacing w:after="0" w:line="21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Japan K.K. (“TWJ”), a security house regulated by the Japanese Financial Services Agency (“JFSA”) and the Japan Securities Dealers Association (“JSDA”).</w:t>
      </w:r>
    </w:p>
    <w:p>
      <w:pPr>
        <w:spacing w:after="0" w:line="141" w:lineRule="exact"/>
        <w:rPr>
          <w:rFonts w:ascii="Times New Roman" w:cs="Times New Roman" w:eastAsia="Times New Roman" w:hAnsi="Times New Roman"/>
          <w:sz w:val="20"/>
          <w:szCs w:val="20"/>
          <w:color w:val="auto"/>
        </w:rPr>
      </w:pPr>
    </w:p>
    <w:p>
      <w:pPr>
        <w:ind w:left="720" w:right="80" w:hanging="370"/>
        <w:spacing w:after="0" w:line="266"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55"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95"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203"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B.V. (“TESBV”), a MiFID Investment Firm authorized and regulated by the AFM, with permission to trade on a matched principal basis.</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060" w:h="15660" w:orient="portrait"/>
          <w:cols w:equalWidth="0" w:num="1">
            <w:col w:w="10400"/>
          </w:cols>
          <w:pgMar w:left="820" w:top="748" w:right="840" w:bottom="0" w:gutter="0" w:footer="0" w:header="0"/>
          <w:type w:val="continuous"/>
        </w:sectPr>
      </w:pPr>
    </w:p>
    <w:bookmarkStart w:id="124" w:name="page125"/>
    <w:bookmarkEnd w:id="124"/>
    <w:p>
      <w:pPr>
        <w:ind w:left="720" w:right="280" w:hanging="370"/>
        <w:spacing w:after="0" w:line="266"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Australia Pty Ltd (formerly Yieldbroker Pty Limited) (“YB” or “Yieldbroker”), acquired in August 2023, a Tier 1 Australian Markets Licensee in Australia, regulated by ASIC, that also maintains a branch in Singapore that is regulated by the Monetary Authority of Singapore (“MAS”) as a Regulated Market Operator.</w:t>
      </w:r>
    </w:p>
    <w:p>
      <w:pPr>
        <w:spacing w:after="0" w:line="195" w:lineRule="exact"/>
        <w:rPr>
          <w:rFonts w:ascii="Times New Roman" w:cs="Times New Roman" w:eastAsia="Times New Roman" w:hAnsi="Times New Roman"/>
          <w:sz w:val="20"/>
          <w:szCs w:val="20"/>
          <w:color w:val="auto"/>
        </w:rPr>
      </w:pPr>
    </w:p>
    <w:p>
      <w:pPr>
        <w:ind w:left="720" w:right="160" w:hanging="370"/>
        <w:spacing w:after="0" w:line="266"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95"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Technology and Trading Private Limited (“TTTL”), a private limited company incorporated in Mumbai, India which is pending regulatory approval from the Reserve Bank of India as an Electronic Trading Platform for the trading of Indian Government Bonds and other local securities.</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Brasil Ltda (“TWB”), a limited liability company incorporated in Sao Paulo, Brazil.</w:t>
      </w:r>
    </w:p>
    <w:p>
      <w:pPr>
        <w:spacing w:after="0" w:line="210" w:lineRule="exact"/>
        <w:rPr>
          <w:rFonts w:ascii="Times New Roman" w:cs="Times New Roman" w:eastAsia="Times New Roman" w:hAnsi="Times New Roman"/>
          <w:sz w:val="20"/>
          <w:szCs w:val="20"/>
          <w:color w:val="auto"/>
        </w:rPr>
      </w:pPr>
    </w:p>
    <w:p>
      <w:pPr>
        <w:ind w:left="720" w:right="520" w:hanging="370"/>
        <w:spacing w:after="0" w:line="281"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Institutional Cash Distributors Limited (“ICDLT”), acquired on August 1, 2024, a firm engaged in the provision of intermediary services authorized and regulated by the FCA in the UK.</w:t>
      </w:r>
    </w:p>
    <w:p>
      <w:pPr>
        <w:spacing w:after="0" w:line="141"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ICD Europa - Empresa de Investimento, S.A. (“ICDEU”), acquired on August 1, 2024, an investment firm regulated by the Comissão do Mercado de Valores Mobiliários (“CMVM”) in Portugal.</w:t>
      </w:r>
    </w:p>
    <w:p>
      <w:pPr>
        <w:spacing w:after="0" w:line="1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On April 5, 2024, the Company entered into a definitive agreement for TWM LLC to acquire Institutional Cash Distributors (“ICD”) by purchasing all of the outstanding equity interests of each of ICD Intermediate Holdco 1, LLC, SCIC - ICD Blocker 1, Inc. and Parthenon Investors V ICD Blocker, Inc. (the “ICD Acquisition”). The ICD Acquisition closed on August 1, 2024, following the satisfaction of closing conditions and regulatory reviews.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acquisition of ICD and its proprietary technology, the Company has added a new client channel, “corporates”, serving corporate treasury professionals, complementing the Company’s existing focus on institutional, wholesale and retail clients.</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November 2023, TWM LLC and the Corporation entered into a definitive agreement for TWM LLC to acquire all of the outstanding equity interests of R8FIN Holdings LP (together with its subsidiaries, “r8fin”). The acquisition closed on January 19, 2024, following the satisfaction of closing conditions and regulatory reviews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w:t>
      </w:r>
    </w:p>
    <w:p>
      <w:pPr>
        <w:spacing w:after="0" w:line="16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 See Note 4 – Acquisitions for additional details on 2024 and 2023 acquisitions.</w:t>
      </w:r>
    </w:p>
    <w:p>
      <w:pPr>
        <w:spacing w:after="0" w:line="1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In June 2021, the Company acquired Nasdaq’s U.S. fixed income electronic trading platform, formerly known as eSpeed (the “NFI Acquisition”), which is a fully executable central limit order book (CLOB) for electronic trading in on-the-run (OTR) U.S. government bonds.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w:t>
      </w:r>
    </w:p>
    <w:p>
      <w:pPr>
        <w:spacing w:after="0" w:line="210" w:lineRule="exact"/>
        <w:rPr>
          <w:sz w:val="20"/>
          <w:szCs w:val="20"/>
          <w:color w:val="auto"/>
        </w:rPr>
      </w:pPr>
    </w:p>
    <w:p>
      <w:pPr>
        <w:jc w:val="both"/>
        <w:ind w:left="720" w:right="580" w:hanging="370"/>
        <w:spacing w:after="0" w:line="266"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investors collectively owned 115,977,551 shares of Class A common stock, representing 10.0% of the combined voting power of Tradeweb Markets Inc.’s issued and outstanding common stock and indirectly, through Tradeweb Markets Inc., owned 49.1% of the economic interest in TWM LLC;</w:t>
      </w:r>
    </w:p>
    <w:p>
      <w:pPr>
        <w:spacing w:after="0" w:line="155"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50.8% of the economic interest in TWM LLC; and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060" w:h="15660" w:orient="portrait"/>
          <w:cols w:equalWidth="0" w:num="1">
            <w:col w:w="10420"/>
          </w:cols>
          <w:pgMar w:left="820" w:top="748" w:right="820" w:bottom="0" w:gutter="0" w:footer="0" w:header="0"/>
          <w:type w:val="continuous"/>
        </w:sectPr>
      </w:pPr>
    </w:p>
    <w:bookmarkStart w:id="125" w:name="page126"/>
    <w:bookmarkEnd w:id="125"/>
    <w:p>
      <w:pPr>
        <w:ind w:left="720" w:hanging="370"/>
        <w:spacing w:after="0" w:line="266" w:lineRule="auto"/>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stockholders that continued to own LLC Interests also collectively owned 85,209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the Company’s basic and diluted earnings per share calculations for year ended December 31, 2024 were impacted by 165,565 of weighted average shares resulting from unvested or unsettled vested stock awards that were considered participating securities for purposes of calculating earnings per share in accordance with the two-class method. The Company’s diluted earnings per share calculation for year ended December 31, 2024 also includes 1,894,707 of weighted average shares resulting from the dilutive effect of its equity incentive plans. See Note 18 – Earnings Per Share for additional details.</w:t>
      </w:r>
    </w:p>
    <w:p>
      <w:pPr>
        <w:spacing w:after="0" w:line="157" w:lineRule="exact"/>
        <w:rPr>
          <w:sz w:val="20"/>
          <w:szCs w:val="20"/>
          <w:color w:val="auto"/>
        </w:rPr>
      </w:pPr>
    </w:p>
    <w:p>
      <w:pPr>
        <w:ind w:left="720" w:hanging="680"/>
        <w:spacing w:after="0"/>
        <w:tabs>
          <w:tab w:leader="none" w:pos="7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The total cost of an acquisition is allocated to the underlying net assets based on their respective estimated fair values. The 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3"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Transaction costs incurred to effect a business combination are expensed as incurred and are included as a component of professional fees or general and administrative expenses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Pushdown Accounting</w:t>
      </w:r>
    </w:p>
    <w:p>
      <w:pPr>
        <w:spacing w:after="0" w:line="2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060" w:h="15660" w:orient="portrait"/>
          <w:cols w:equalWidth="0" w:num="1">
            <w:col w:w="10420"/>
          </w:cols>
          <w:pgMar w:left="820" w:top="748" w:right="82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1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Cash and cash equivalents consists of cash and highly liquid investments with remaining maturities at the time of purchase of three months or less.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21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6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An allowance for credit losses is also recognized for any credit impairment for available-for-sale debt securities. See Note 16 – Credit Risk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Receivable from and Payable to Brokers and Dealers and Clearing Organizations</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Deposits with Clearing Organizations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with clearing organizations are comprised of cash deposits.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Furniture, Equipment, Purchased Software and Leasehold Improvements</w:t>
      </w:r>
    </w:p>
    <w:p>
      <w:pPr>
        <w:spacing w:after="0" w:line="2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tested for impairment whenever events or changes in circumstances suggest that an asset’s carrying value may not be fully recoverable.</w:t>
      </w:r>
    </w:p>
    <w:p>
      <w:pPr>
        <w:spacing w:after="0" w:line="14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As of December 31, 2024 and 2023, accumulated depreciation related to furniture, equipment, purchased software and leasehold improvements totaled $92.0 million and $95.8 million, respectively. Depreciation expense for furniture, equipment, purchased software and leasehold improvements for the years ended December 31, 2024, 2023 and 2022 was $22.7 million, $21.3 million and $19.5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Software Development Costs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060" w:h="15660" w:orient="portrait"/>
          <w:cols w:equalWidth="0" w:num="1">
            <w:col w:w="10400"/>
          </w:cols>
          <w:pgMar w:left="820" w:top="741" w:right="84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1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6" w:lineRule="exact"/>
        <w:rPr>
          <w:sz w:val="20"/>
          <w:szCs w:val="20"/>
          <w:color w:val="auto"/>
        </w:rPr>
      </w:pPr>
    </w:p>
    <w:p>
      <w:pPr>
        <w:ind w:right="1860"/>
        <w:spacing w:after="0" w:line="459" w:lineRule="auto"/>
        <w:rPr>
          <w:sz w:val="20"/>
          <w:szCs w:val="20"/>
          <w:color w:val="auto"/>
        </w:rPr>
      </w:pPr>
      <w:r>
        <w:rPr>
          <w:rFonts w:ascii="Times New Roman" w:cs="Times New Roman" w:eastAsia="Times New Roman" w:hAnsi="Times New Roman"/>
          <w:sz w:val="20"/>
          <w:szCs w:val="20"/>
          <w:color w:val="auto"/>
        </w:rPr>
        <w:t xml:space="preserve">Goodwill was last tested for impairment on October 1, 2024 and no impairment of goodwill was identified. </w:t>
      </w:r>
      <w:r>
        <w:rPr>
          <w:rFonts w:ascii="Times New Roman" w:cs="Times New Roman" w:eastAsia="Times New Roman" w:hAnsi="Times New Roman"/>
          <w:sz w:val="20"/>
          <w:szCs w:val="20"/>
          <w:b w:val="1"/>
          <w:bCs w:val="1"/>
          <w:color w:val="auto"/>
        </w:rPr>
        <w:t>Intangible Assets</w:t>
      </w:r>
    </w:p>
    <w:p>
      <w:pPr>
        <w:ind w:right="40"/>
        <w:spacing w:after="0" w:line="258" w:lineRule="auto"/>
        <w:rPr>
          <w:sz w:val="20"/>
          <w:szCs w:val="20"/>
          <w:color w:val="auto"/>
        </w:rPr>
      </w:pPr>
      <w:r>
        <w:rPr>
          <w:rFonts w:ascii="Times New Roman" w:cs="Times New Roman" w:eastAsia="Times New Roman" w:hAnsi="Times New Roman"/>
          <w:sz w:val="20"/>
          <w:szCs w:val="20"/>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Available-for-Sale Debt Securities</w:t>
      </w:r>
    </w:p>
    <w:p>
      <w:pPr>
        <w:spacing w:after="0" w:line="2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Investments in available-for-sale debt securities are carried at fair value with unrealized gains or losses excluded from earnings and reported in accumulated other comprehensive loss in the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consolidated statements of operations.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consolidated statements of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Investments Without Readily Determinable Fair Values</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Digital Assets - Canton Coins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a digital asset called the Canton Coin, which is used to pay traffic fees for using the Global Synchronizer. The Company earns Canton Coins, for its function as a Super Validator and Validator on the Canton Network, and then generally holds the Canton Coins on its balance sheet for investment purposes and to pay any fees associated with its Canton Network activity. The cost basis of the Canton Coins received is initially recorded at fair value on the date of receipt, as a component of other assets on the consolidated statements of financial condition and other revenue on the consolidated statements of income. The Canton Coins are then remeasured to fair market value at the end of each reporting period, through an adjustment to unrealized gain/(loss), included as a component of other income (loss), net on the consolidated statements of income. The Company employs the first-in-first-out (“FIFO”) method to determine the cost basis of its Canton Coins for the computation of gains and losses on its disposal or sale. Realized gain (loss) on sale of Canton Coins are included as a component of other income (loss), net in the consolidated statements of operations.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060" w:h="15660" w:orient="portrait"/>
          <w:cols w:equalWidth="0" w:num="1">
            <w:col w:w="10420"/>
          </w:cols>
          <w:pgMar w:left="820" w:top="741" w:right="82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Securities Sold Under Agreements to Repurchase</w:t>
      </w:r>
    </w:p>
    <w:p>
      <w:pPr>
        <w:spacing w:after="0" w:line="2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From time to time, the Company sells securities under agreements to repurchase in order to facilitate the clearance of securities. Securities sold under agreements to repurchase are treated as collateralized financings and are presented in the consolidated statements of financial condition at the amounts of cash received. Receivables and payables arising from these agreements are not offset in the consolidated statements of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Currency and Foreign Exchange Derivative Contracts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loss of $4.5 million, $1.6 million and $2.3 million for the years ended December 31, 2024, 2023 and 2022,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15 – Fair Value of Financial Instruments and Other Assets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consolidated statements of income within general and administrative expenses and related cash flows are included in cash flows from operating activities.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totaled a gain of $15.0 million, $0.8 million and $4.9 million for the years ended December 31, 2024, 2023 and 2022, respectively. Realized losses on the foreign currency call option on the Australian dollar during the year ended December 31, 2023 totaled $1.3 million. As of December 31, 2024 and 2023,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 See Note 15 – Fair Value of Financial Instruments and Other Assets for additional details on the Company’s derivative instruments.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060" w:h="15660" w:orient="portrait"/>
          <w:cols w:equalWidth="0" w:num="1">
            <w:col w:w="10420"/>
          </w:cols>
          <w:pgMar w:left="820" w:top="741" w:right="82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Income Tax</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5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On August 16, 2022, former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years ended December 31, 2024 and 2023. The Company is subject to the current 15% CAMT. However, it is not expected to have a material impact on the Company’s effective tax rate.</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6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For grants made during the post-IPO period, the fair value of the equity instruments is determined based on the price of the Class A common stock on the grant date.</w:t>
      </w:r>
    </w:p>
    <w:p>
      <w:pPr>
        <w:spacing w:after="0" w:line="14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060" w:h="15660" w:orient="portrait"/>
          <w:cols w:equalWidth="0" w:num="1">
            <w:col w:w="10420"/>
          </w:cols>
          <w:pgMar w:left="820" w:top="741" w:right="820" w:bottom="0" w:gutter="0" w:footer="0" w:header="0"/>
          <w:type w:val="continuous"/>
        </w:sectPr>
      </w:pPr>
    </w:p>
    <w:bookmarkStart w:id="130" w:name="page131"/>
    <w:bookmarkEnd w:id="130"/>
    <w:p>
      <w:pPr>
        <w:ind w:right="400"/>
        <w:spacing w:after="0" w:line="281" w:lineRule="auto"/>
        <w:rPr>
          <w:sz w:val="20"/>
          <w:szCs w:val="20"/>
          <w:color w:val="auto"/>
        </w:rPr>
      </w:pPr>
      <w:r>
        <w:rPr>
          <w:rFonts w:ascii="Times New Roman" w:cs="Times New Roman" w:eastAsia="Times New Roman" w:hAnsi="Times New Roman"/>
          <w:sz w:val="20"/>
          <w:szCs w:val="20"/>
          <w:color w:val="auto"/>
        </w:rPr>
        <w:t>these assumptions as a result of the IPO. The non-cash stock-based compensation expense associated with the Special Option Award began being expensed in the second quarter of 2019.</w:t>
      </w:r>
    </w:p>
    <w:p>
      <w:pPr>
        <w:spacing w:after="0" w:line="1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5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6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73"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color w:val="auto"/>
        </w:rPr>
        <w:t xml:space="preserve">The fair value hierarchy under ASC 820,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xml:space="preserve"> (“ASC 820”)</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Fair Value Measurement</w:t>
      </w:r>
    </w:p>
    <w:p>
      <w:pPr>
        <w:spacing w:after="0" w:line="21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An asset or liability’s level within the fair value hierarchy is based on the lowest level of any input that is significant to the fair value measurement.</w:t>
      </w:r>
    </w:p>
    <w:p>
      <w:pPr>
        <w:spacing w:after="0" w:line="141" w:lineRule="exact"/>
        <w:rPr>
          <w:sz w:val="20"/>
          <w:szCs w:val="20"/>
          <w:color w:val="auto"/>
        </w:rPr>
      </w:pPr>
    </w:p>
    <w:p>
      <w:pPr>
        <w:ind w:left="720" w:hanging="37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Unadjusted quoted prices in active markets that are accessible at the measurement date for identical, unrestricted assets or liabilities;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060" w:h="15660" w:orient="portrait"/>
          <w:cols w:equalWidth="0" w:num="1">
            <w:col w:w="10420"/>
          </w:cols>
          <w:pgMar w:left="820" w:top="748" w:right="820" w:bottom="0" w:gutter="0" w:footer="0" w:header="0"/>
          <w:type w:val="continuous"/>
        </w:sectPr>
      </w:pPr>
    </w:p>
    <w:bookmarkStart w:id="131" w:name="page132"/>
    <w:bookmarkEnd w:id="131"/>
    <w:p>
      <w:pPr>
        <w:ind w:left="720" w:right="180" w:hanging="370"/>
        <w:spacing w:after="0" w:line="28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Quoted prices in markets that are not considered to be active or for which all significant inputs are observable, either directly or indirectly;</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Prices or valuations that require inputs that are both significant to the fair value measurement and unobservable.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November 2024, the Financial Accounting Standards Board (“FASB”) issued Accounting Standards Update (“ASU”) 2024-03,</w:t>
      </w:r>
    </w:p>
    <w:p>
      <w:pPr>
        <w:spacing w:after="0" w:line="3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20"/>
          <w:szCs w:val="20"/>
          <w:color w:val="auto"/>
        </w:rPr>
        <w:t>(“ASU 2024-03”). ASU 2024-03 requires the disaggregation of certain costs and expenses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6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(“ASU 2023-09”). ASU 2023-09 requires disaggregated information about a reporting entity’s effective tax rate reconciliation and income taxes paid. ASU</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2023-09 is effective for the Company’s Annual Report on Form 10-K for the fiscal year ending December 31, 2025. The guidance may be applied on a prospective or retrospective basis and early adoption is permitted. The Company is currently evaluating the impact of adopting ASU 2023-09 on its consolidated financial statements.</w:t>
      </w:r>
    </w:p>
    <w:p>
      <w:pPr>
        <w:spacing w:after="0" w:line="16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2023-08, </w:t>
      </w:r>
      <w:r>
        <w:rPr>
          <w:rFonts w:ascii="Times New Roman" w:cs="Times New Roman" w:eastAsia="Times New Roman" w:hAnsi="Times New Roman"/>
          <w:sz w:val="20"/>
          <w:szCs w:val="20"/>
          <w:b w:val="1"/>
          <w:bCs w:val="1"/>
          <w:i w:val="1"/>
          <w:iCs w:val="1"/>
          <w:color w:val="auto"/>
        </w:rPr>
        <w:t>Intangibles-Goodwill and Other-Crypto Assets (Subtopic 350-60):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Accounting for and Disclosure of Crypto Assets </w:t>
      </w:r>
      <w:r>
        <w:rPr>
          <w:rFonts w:ascii="Times New Roman" w:cs="Times New Roman" w:eastAsia="Times New Roman" w:hAnsi="Times New Roman"/>
          <w:sz w:val="20"/>
          <w:szCs w:val="20"/>
          <w:color w:val="auto"/>
        </w:rPr>
        <w:t>(“ASU 2023-08”), which addresses the accounting and disclosure requirements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certain crypto assets. ASU 2023-08 requires entities to measure crypto assets that meet specific criteria at fair value, with changes recognized in net income each reporting period. ASU 2023-08 is effective for annual periods beginning after December 15, 2024, including interim periods within those years, with early adoption permitted. The Company began receiving and holding digital assets, in the form of Canton Coins, during the third quarter of 2024 and early adopted ASU 2023-08. This adoption became effective with the commencement of the Company’s initial holdings of these digital assets, which fall within the scope of ASU 2023-08. See Note 15 – Fair Value of Financial Instruments and Other Assets for digital asset disclosures.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b w:val="1"/>
          <w:bCs w:val="1"/>
          <w:i w:val="1"/>
          <w:iCs w:val="1"/>
          <w:color w:val="auto"/>
        </w:rPr>
        <w:t>Segment Reporting (Topic 280):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Disclosures </w:t>
      </w:r>
      <w:r>
        <w:rPr>
          <w:rFonts w:ascii="Times New Roman" w:cs="Times New Roman" w:eastAsia="Times New Roman" w:hAnsi="Times New Roman"/>
          <w:sz w:val="20"/>
          <w:szCs w:val="20"/>
          <w:color w:val="auto"/>
        </w:rPr>
        <w:t>(“ASU 2023-07”). ASU 2023-07 expands public entities’ segment disclosures by requiring disclosure of significant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ASU 2023-07 also allows, in addition to the measure that is most consistent with U.S. GAAP, the disclosure of additional measures of segment profit or loss that are used by the CODM in assessing segment performance and deciding how to allocate resources. ASU 2023-07 also requires the disclosure of the title and position of the CODM and an explanation of how the CODM uses the reported measure(s) of segment profit or loss in assessing segment performance and deciding how to allocate resources. All disclosure requirements under ASU 2023-07 and existing segment disclosures in ASC 280, Segment Reporting are also required for public entities with a single reportable segment. ASU 2023-07 was effective for this Annual Report on Form 10-K for the fiscal year ended December 31, 2024, and subsequent interim periods and was applied retrospectively to all periods presented in the financial statements. The additional required disclosures are included in Note 20 – Business Segment and Geographic Information.</w:t>
      </w:r>
    </w:p>
    <w:p>
      <w:pPr>
        <w:spacing w:after="0" w:line="21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 xml:space="preserve">In June 2022, the FASB issued ASU 2022-03, </w:t>
      </w:r>
      <w:r>
        <w:rPr>
          <w:rFonts w:ascii="Times New Roman" w:cs="Times New Roman" w:eastAsia="Times New Roman" w:hAnsi="Times New Roman"/>
          <w:sz w:val="19"/>
          <w:szCs w:val="19"/>
          <w:b w:val="1"/>
          <w:bCs w:val="1"/>
          <w:i w:val="1"/>
          <w:iCs w:val="1"/>
          <w:color w:val="auto"/>
        </w:rPr>
        <w:t>Fair Value</w:t>
      </w:r>
      <w:r>
        <w:rPr>
          <w:rFonts w:ascii="Times New Roman" w:cs="Times New Roman" w:eastAsia="Times New Roman" w:hAnsi="Times New Roman"/>
          <w:sz w:val="19"/>
          <w:szCs w:val="19"/>
          <w:color w:val="auto"/>
        </w:rPr>
        <w:t xml:space="preserve"> Measurement </w:t>
      </w:r>
      <w:r>
        <w:rPr>
          <w:rFonts w:ascii="Times New Roman" w:cs="Times New Roman" w:eastAsia="Times New Roman" w:hAnsi="Times New Roman"/>
          <w:sz w:val="19"/>
          <w:szCs w:val="19"/>
          <w:b w:val="1"/>
          <w:bCs w:val="1"/>
          <w:i w:val="1"/>
          <w:iCs w:val="1"/>
          <w:color w:val="auto"/>
        </w:rPr>
        <w:t>(Topic 820): Fair Value Measurement of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Securities Subject to Contractual Sale Restrictions </w:t>
      </w:r>
      <w:r>
        <w:rPr>
          <w:rFonts w:ascii="Times New Roman" w:cs="Times New Roman" w:eastAsia="Times New Roman" w:hAnsi="Times New Roman"/>
          <w:sz w:val="19"/>
          <w:szCs w:val="19"/>
          <w:color w:val="auto"/>
        </w:rPr>
        <w:t>(“ASU 2022-03”), which clarifies that a contractual restriction on the sale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equity security is not considered part of the unit of account of the equity security and, therefore, is not considered in measuring fair value and that an entity cannot, as a separate unit of account, recognize and measure a contractual sale restriction. ASU</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2022-03 also requires the disclosure of the fair value, as reflected in the statement of financial condition, of equity securities subject to contractual sale restrictions and the nature and the disclosure of the remaining duration of those restrictions. On January 1, 2024, the Company adopted ASU 2022-03 on a prospective basis, which resulted in additional disclosures regarding contractual sale restrictions on investments, as disclosed in Note 15 – Fair Value of Financial Instruments and Other Assets and did not have a material impact on the Company’s consolidated financial statements.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060" w:h="15660" w:orient="portrait"/>
          <w:cols w:equalWidth="0" w:num="1">
            <w:col w:w="10420"/>
          </w:cols>
          <w:pgMar w:left="820" w:top="748" w:right="820" w:bottom="0" w:gutter="0" w:footer="0" w:header="0"/>
          <w:type w:val="continuous"/>
        </w:sectPr>
      </w:pPr>
    </w:p>
    <w:bookmarkStart w:id="132" w:name="page133"/>
    <w:bookmarkEnd w:id="132"/>
    <w:p>
      <w:pPr>
        <w:ind w:left="730" w:hanging="680"/>
        <w:spacing w:after="0"/>
        <w:tabs>
          <w:tab w:leader="none" w:pos="73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Cash</w:t>
      </w:r>
    </w:p>
    <w:p>
      <w:pPr>
        <w:spacing w:after="0" w:line="217"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2024 and 2023, cash in the amount of $1.0 million, has been segregated in the PAB reserve account, exceeding the requirements pursuant to SEC Rule 15c3-3.</w:t>
      </w:r>
    </w:p>
    <w:p>
      <w:pPr>
        <w:spacing w:after="0" w:line="157" w:lineRule="exact"/>
        <w:rPr>
          <w:sz w:val="20"/>
          <w:szCs w:val="20"/>
          <w:color w:val="auto"/>
        </w:rPr>
      </w:pPr>
    </w:p>
    <w:p>
      <w:pPr>
        <w:ind w:left="730" w:hanging="730"/>
        <w:spacing w:after="0"/>
        <w:tabs>
          <w:tab w:leader="none" w:pos="73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ICD</w:t>
      </w:r>
    </w:p>
    <w:p>
      <w:pPr>
        <w:spacing w:after="0" w:line="219"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On August 1, 2024, the Company completed its acquisition of ICD. Pursuant to the terms of the purchase agreement, TWM LLC was required to pay $785 million in cash, subject to customary working capital and other adjustments, for the acquisition. In connection with the acquisition closing, the Corporation was also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During the fourth quarter of 2024, the Company recorded final working capital and purchase price adjustments which resulted in immaterial adjustments to the assets acquired and liabilities assumed.</w:t>
      </w:r>
    </w:p>
    <w:p>
      <w:pPr>
        <w:spacing w:after="0" w:line="173" w:lineRule="exact"/>
        <w:rPr>
          <w:sz w:val="20"/>
          <w:szCs w:val="20"/>
          <w:color w:val="auto"/>
        </w:rPr>
      </w:pPr>
    </w:p>
    <w:p>
      <w:pPr>
        <w:ind w:left="10" w:right="220"/>
        <w:spacing w:after="0" w:line="258" w:lineRule="auto"/>
        <w:rPr>
          <w:sz w:val="20"/>
          <w:szCs w:val="20"/>
          <w:color w:val="auto"/>
        </w:rPr>
      </w:pPr>
      <w:r>
        <w:rPr>
          <w:rFonts w:ascii="Times New Roman" w:cs="Times New Roman" w:eastAsia="Times New Roman" w:hAnsi="Times New Roman"/>
          <w:sz w:val="20"/>
          <w:szCs w:val="20"/>
          <w:color w:val="auto"/>
        </w:rPr>
        <w:t>The total purchase consideration for the ICD business combination, net of cash acquired, was $774.2 million.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year service period required subsequent to the acquisition date.</w:t>
      </w:r>
    </w:p>
    <w:p>
      <w:pPr>
        <w:spacing w:after="0" w:line="164"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Cash paid at closing, net of $23.3 million in cash acquired and net of the proceeds from the $4.5 million sale of RSAs, totaled $773.8 million. Of this amount, $770.9 million was determined to be the net cash consideration transferred for the business combination, $1.4 million was recorded as compensation expense during the year ended December 31,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70" w:lineRule="exact"/>
        <w:rPr>
          <w:sz w:val="20"/>
          <w:szCs w:val="20"/>
          <w:color w:val="auto"/>
        </w:rPr>
      </w:pPr>
    </w:p>
    <w:p>
      <w:pPr>
        <w:jc w:val="both"/>
        <w:ind w:left="10" w:right="300"/>
        <w:spacing w:after="0" w:line="286" w:lineRule="auto"/>
        <w:rPr>
          <w:sz w:val="20"/>
          <w:szCs w:val="20"/>
          <w:color w:val="auto"/>
        </w:rPr>
      </w:pPr>
      <w:r>
        <w:rPr>
          <w:rFonts w:ascii="Times New Roman" w:cs="Times New Roman" w:eastAsia="Times New Roman" w:hAnsi="Times New Roman"/>
          <w:sz w:val="19"/>
          <w:szCs w:val="19"/>
          <w:color w:val="auto"/>
        </w:rPr>
        <w:t>ICD is an institutional investment technology provider for corporate treasury organizations trading short-term investments and with the acquisition of ICD and its proprietary technology, the Company has added a new client channel, “corporates”, serving corporate treasury professionals, complementing the Company’s existing focus on institutional, wholesale and retail clients.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r8fin</w:t>
      </w:r>
    </w:p>
    <w:p>
      <w:pPr>
        <w:spacing w:after="0" w:line="219"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auto"/>
        </w:rPr>
        <w:t>On January 19, 2024, the Company completed its acquisition of r8fin in exchange for total consideration of $125.9 million, consisting of $89.2 million in cash paid at closing (net of cash acquired) and the issuance of 374,601 shares of Class A common stock of the Corporation valued as of the acquisition date at $36.7 million.</w:t>
      </w:r>
    </w:p>
    <w:p>
      <w:pPr>
        <w:spacing w:after="0" w:line="155" w:lineRule="exact"/>
        <w:rPr>
          <w:sz w:val="20"/>
          <w:szCs w:val="20"/>
          <w:color w:val="auto"/>
        </w:rPr>
      </w:pPr>
    </w:p>
    <w:p>
      <w:pPr>
        <w:ind w:left="10" w:right="340"/>
        <w:spacing w:after="0" w:line="260" w:lineRule="auto"/>
        <w:rPr>
          <w:sz w:val="20"/>
          <w:szCs w:val="20"/>
          <w:color w:val="auto"/>
        </w:rPr>
      </w:pPr>
      <w:r>
        <w:rPr>
          <w:rFonts w:ascii="Times New Roman" w:cs="Times New Roman" w:eastAsia="Times New Roman" w:hAnsi="Times New Roman"/>
          <w:sz w:val="20"/>
          <w:szCs w:val="20"/>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Yieldbroker</w:t>
      </w:r>
    </w:p>
    <w:p>
      <w:pPr>
        <w:spacing w:after="0" w:line="219"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On August 31, 2023, the Company completed its acquisition of all of the outstanding equity interests of Tradeweb Australia Pty Ltd (Tradeweb Australia Pty Ltd changed its name from Yieldbroker Pty Limited in January 2024). The all-cash purchase price of A$123.6 million ($80.1 million U.S. dollars as translated as of August 31, 2023) was net of cash acquired and prior to working capital and other closing adjustments.</w:t>
      </w:r>
    </w:p>
    <w:p>
      <w:pPr>
        <w:spacing w:after="0" w:line="163"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Tradeweb Australia Pty Ltd operates a leading Australian trading platform for Australian and New Zealand government bonds and interest rate derivatives, covering the institutional and wholesale client sectors.</w:t>
      </w:r>
    </w:p>
    <w:p>
      <w:pPr>
        <w:sectPr>
          <w:pgSz w:w="12060" w:h="15660" w:orient="portrait"/>
          <w:cols w:equalWidth="0" w:num="1">
            <w:col w:w="10430"/>
          </w:cols>
          <w:pgMar w:left="81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123</w:t>
      </w:r>
    </w:p>
    <w:p>
      <w:pPr>
        <w:sectPr>
          <w:pgSz w:w="12060" w:h="15660" w:orient="portrait"/>
          <w:cols w:equalWidth="0" w:num="1">
            <w:col w:w="10430"/>
          </w:cols>
          <w:pgMar w:left="810" w:top="741" w:right="82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ICD, r8fin and Yieldbroker acquisitions were accounted for as business combinations and the Company utilized the assistance of a third-party valuation specialist to determine the fair value of the assets acquired and liabilities assumed at the date of the closing of each respective acquisition. The fair values were determined based on assumptions that reasonable market participants would use in the principal (or most advantageous) market and primarily included significant unobservable inputs (Level 3).</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7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The acquired developed technology, included in the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final purchase price allocations for ICD, r8fin and Yieldbroker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0"/>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ICD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r8fin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Total 2024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8"/>
              </w:rPr>
              <w:t>Yieldbroker</w:t>
            </w:r>
          </w:p>
        </w:tc>
      </w:tr>
      <w:tr>
        <w:trPr>
          <w:trHeight w:val="192"/>
        </w:trPr>
        <w:tc>
          <w:tcPr>
            <w:tcW w:w="52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60" w:type="dxa"/>
            <w:vAlign w:val="bottom"/>
          </w:tcPr>
          <w:p>
            <w:pPr>
              <w:spacing w:after="0"/>
              <w:rPr>
                <w:sz w:val="16"/>
                <w:szCs w:val="16"/>
                <w:color w:val="auto"/>
              </w:rPr>
            </w:pP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r>
      <w:tr>
        <w:trPr>
          <w:trHeight w:val="220"/>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60" w:type="dxa"/>
            <w:vAlign w:val="bottom"/>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Combinations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Allocation</w:t>
            </w:r>
          </w:p>
        </w:tc>
      </w:tr>
      <w:tr>
        <w:trPr>
          <w:trHeight w:val="274"/>
        </w:trPr>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40" w:type="dxa"/>
            <w:vAlign w:val="bottom"/>
            <w:gridSpan w:val="4"/>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12,753</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1,900</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384</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Lease right-of-use assets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1,453</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588</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334,588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35,265</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Customer relationships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39,746</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Tradename</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492</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3,361</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693</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(9,025)</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(24,872)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(24,872)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purchase consideration - cash paid and stock issued</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797,570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924,869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82,465</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Less: Cash acquired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(24,718)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(12,753)</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Purchase consideration, net of cash acquired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774,249</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125,902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900,151</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69,712</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-3469640</wp:posOffset>
            </wp:positionV>
            <wp:extent cx="6654800" cy="3476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a:extLst>
                        <a:ext uri="{28A0092B-C50C-407E-A947-70E740481C1C}"/>
                      </a:extLst>
                    </a:blip>
                    <a:srcRect/>
                    <a:stretch>
                      <a:fillRect/>
                    </a:stretch>
                  </pic:blipFill>
                  <pic:spPr bwMode="auto">
                    <a:xfrm>
                      <a:off x="0" y="0"/>
                      <a:ext cx="6654800" cy="3476625"/>
                    </a:xfrm>
                    <a:prstGeom prst="rect">
                      <a:avLst/>
                    </a:prstGeom>
                    <a:noFill/>
                  </pic:spPr>
                </pic:pic>
              </a:graphicData>
            </a:graphic>
          </wp:anchor>
        </w:drawing>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The acquired software development costs will be amortized over a useful life of eight years for ICD and seven years for r8fin and were amortized over one year for Yieldbroker. The acquired trade names of ICD and Yieldbroker will both be amortized over a useful life of four years. Customer relationships will be amortized over a useful life of 15 years for ICD and 13 years for both</w:t>
      </w:r>
    </w:p>
    <w:p>
      <w:pPr>
        <w:sectPr>
          <w:pgSz w:w="12060" w:h="15660" w:orient="portrait"/>
          <w:cols w:equalWidth="0" w:num="1">
            <w:col w:w="10440"/>
          </w:cols>
          <w:pgMar w:left="820" w:top="739" w:right="800" w:bottom="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124</w:t>
      </w:r>
    </w:p>
    <w:p>
      <w:pPr>
        <w:sectPr>
          <w:pgSz w:w="12060" w:h="15660" w:orient="portrait"/>
          <w:cols w:equalWidth="0" w:num="1">
            <w:col w:w="10440"/>
          </w:cols>
          <w:pgMar w:left="820" w:top="739" w:right="80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r8fin and Yieldbroker. The goodwill recognized in connection with the ICD, r8fin and Yieldbroker acquisitions is primarily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attributable to the acquisition of an assembled workforce and expected future customers, future technology and synergies from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integration of the operations of the acquisitions into the Company's operations and its single business segment.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$238 million of the goodwill recognized in connection with the ICD Acquisition and all of the goodwill recognized in connection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r8fin and Yieldbroker acquisitions are expected to be deductible for income tax purposes.</w:t>
      </w:r>
    </w:p>
    <w:p>
      <w:pPr>
        <w:spacing w:after="0" w:line="19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recognized $16.9 million and $4.6 million, respectively, in transaction costs incurred to effect the ICD, r8fin and Yieldbroker acquisitions, which are included as a component of professional fees in the accompanying consolidated statements of income. During the years ended December 31, 2024 and 2023, the Company recognized $2.2 million and $0.9 million, respectively, in transaction costs incurred to effect the ICD, r8fin and Yieldbroker acquisitions, which are included as a component of general and administrative expenses in the accompanying consolidated statements of income. There were no acquisitions completed during the year ended December 31, 2022.</w:t>
      </w:r>
    </w:p>
    <w:p>
      <w:pPr>
        <w:spacing w:after="0" w:line="1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From the date of the ICD Acquisition through December 31, 2024, ICD revenues of $43.2 million and operating income of $2.1 million, including $18.4 million of depreciation and amortization from acquired assets, were included in the Company’s consolidated statements of income for the year ended December 31, 2024. The r8fin and Yieldbroker acquisitions were not material to the Company's consolidated financial statements and therefore pro forma and current period results of these acquisitions have not been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Pro Forma Information (Unaudited)</w:t>
      </w:r>
    </w:p>
    <w:p>
      <w:pPr>
        <w:spacing w:after="0" w:line="2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financial information in the table below summarizes the combined results of operations of Tradeweb Markets Inc. and ICD, on a pro forma basis, as though the companies had been combined as of the beginning of the prior comparative period presented, which is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unaudited supplemental pro forma financial information for periods presented herein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46"/>
        </w:trPr>
        <w:tc>
          <w:tcPr>
            <w:tcW w:w="7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7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1,780,366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1,423,362</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689,203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478,629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346,494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5683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6">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125</w:t>
      </w:r>
    </w:p>
    <w:p>
      <w:pPr>
        <w:sectPr>
          <w:pgSz w:w="12060" w:h="15660" w:orient="portrait"/>
          <w:cols w:equalWidth="0" w:num="1">
            <w:col w:w="10440"/>
          </w:cols>
          <w:pgMar w:left="820" w:top="748" w:right="800" w:bottom="0" w:gutter="0" w:footer="0" w:header="0"/>
          <w:type w:val="continuous"/>
        </w:sectPr>
      </w:pPr>
    </w:p>
    <w:bookmarkStart w:id="135" w:name="page136"/>
    <w:bookmarkEnd w:id="135"/>
    <w:p>
      <w:pPr>
        <w:ind w:left="730" w:hanging="730"/>
        <w:spacing w:after="0"/>
        <w:tabs>
          <w:tab w:leader="none" w:pos="73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Software Development Costs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components of total software development costs, net of accumulated amortization are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7"/>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8"/>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 –</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Refinitiv Transaction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168,500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51,486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168,500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(98,292)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70,208</w:t>
            </w:r>
          </w:p>
        </w:tc>
      </w:tr>
      <w:tr>
        <w:trPr>
          <w:trHeight w:val="288"/>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 – Other</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423,524</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(178,289)</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245,235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185,290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(124,166)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61,124</w:t>
            </w:r>
          </w:p>
        </w:tc>
      </w:tr>
      <w:tr>
        <w:trPr>
          <w:trHeight w:val="24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Total software development costs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592,024</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(295,303)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296,721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353,790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(222,458)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131,332</w:t>
            </w:r>
          </w:p>
        </w:tc>
      </w:tr>
      <w:tr>
        <w:trPr>
          <w:trHeight w:val="20"/>
        </w:trPr>
        <w:tc>
          <w:tcPr>
            <w:tcW w:w="3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-726440</wp:posOffset>
            </wp:positionV>
            <wp:extent cx="6654800" cy="7334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7">
                      <a:extLst>
                        <a:ext uri="{28A0092B-C50C-407E-A947-70E740481C1C}"/>
                      </a:extLst>
                    </a:blip>
                    <a:srcRect/>
                    <a:stretch>
                      <a:fillRect/>
                    </a:stretch>
                  </pic:blipFill>
                  <pic:spPr bwMode="auto">
                    <a:xfrm>
                      <a:off x="0" y="0"/>
                      <a:ext cx="6654800" cy="733425"/>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Capitalized software development costs and amortization expense are as follows:</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31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development costs capitalized </w:t>
            </w:r>
            <w:r>
              <w:rPr>
                <w:rFonts w:ascii="Times New Roman" w:cs="Times New Roman" w:eastAsia="Times New Roman" w:hAnsi="Times New Roman"/>
                <w:sz w:val="26"/>
                <w:szCs w:val="26"/>
                <w:color w:val="auto"/>
                <w:vertAlign w:val="superscript"/>
              </w:rPr>
              <w:t>(1)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37,810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 related to capitalized software development costs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72,848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55,810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52,180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8">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143" w:lineRule="exact"/>
        <w:rPr>
          <w:sz w:val="20"/>
          <w:szCs w:val="20"/>
          <w:color w:val="auto"/>
        </w:rPr>
      </w:pPr>
    </w:p>
    <w:p>
      <w:pPr>
        <w:ind w:left="370" w:right="280" w:hanging="370"/>
        <w:spacing w:after="0" w:line="266" w:lineRule="auto"/>
        <w:tabs>
          <w:tab w:leader="none" w:pos="37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development costs capitalized does not include the $188.0 million in software development costs acquired in connection with the ICD and r8fin acquisitions during the year ended December 31, 2024 and the $0.6 million in software development costs acquired in connection with the Yieldbroker acquisition during the year ended December 31, 2023. See Note 4 – Acquisitions.</w:t>
      </w:r>
    </w:p>
    <w:p>
      <w:pPr>
        <w:spacing w:after="0" w:line="152" w:lineRule="exact"/>
        <w:rPr>
          <w:sz w:val="20"/>
          <w:szCs w:val="20"/>
          <w:color w:val="auto"/>
        </w:rPr>
      </w:pPr>
    </w:p>
    <w:p>
      <w:pPr>
        <w:ind w:left="10" w:right="1100"/>
        <w:spacing w:after="0" w:line="281" w:lineRule="auto"/>
        <w:rPr>
          <w:sz w:val="20"/>
          <w:szCs w:val="20"/>
          <w:color w:val="auto"/>
        </w:rPr>
      </w:pPr>
      <w:r>
        <w:rPr>
          <w:rFonts w:ascii="Times New Roman" w:cs="Times New Roman" w:eastAsia="Times New Roman" w:hAnsi="Times New Roman"/>
          <w:sz w:val="20"/>
          <w:szCs w:val="20"/>
          <w:color w:val="auto"/>
        </w:rPr>
        <w:t>Non-capitalized software costs and routine maintenance costs are expensed as incurred and are included in employee compensation and benefits and professional fees on the consolidated statements of income.</w:t>
      </w:r>
    </w:p>
    <w:p>
      <w:pPr>
        <w:spacing w:after="0" w:line="141"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The estimated annual future amortization for software development costs as of December 31, 2024 through December 31, 2029 is as follows:</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80,339</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66,502</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46,092</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24,056</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206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206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24" w:lineRule="exact"/>
        <w:rPr>
          <w:sz w:val="20"/>
          <w:szCs w:val="20"/>
          <w:color w:val="auto"/>
        </w:rPr>
      </w:pPr>
    </w:p>
    <w:p>
      <w:pPr>
        <w:ind w:left="730" w:hanging="730"/>
        <w:spacing w:after="0"/>
        <w:tabs>
          <w:tab w:leader="none" w:pos="73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ectPr>
          <w:pgSz w:w="12060" w:h="15660" w:orient="portrait"/>
          <w:cols w:equalWidth="0" w:num="1">
            <w:col w:w="10450"/>
          </w:cols>
          <w:pgMar w:left="810" w:top="741" w:right="800" w:bottom="0" w:gutter="0" w:footer="0" w:header="0"/>
        </w:sectPr>
      </w:pP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Goodwill includes the following activity during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6654800" cy="5810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2">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Balance at beginning of period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Goodwill recognized in connection with acquisitions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26670</wp:posOffset>
                </wp:positionV>
                <wp:extent cx="161861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86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1pt" to="124.85pt,2.1pt" o:allowincell="f" strokecolor="#000000" strokeweight="1pt"/>
            </w:pict>
          </mc:Fallback>
        </mc:AlternateContent>
      </w:r>
    </w:p>
    <w:p>
      <w:pPr>
        <w:spacing w:after="0" w:line="36" w:lineRule="exact"/>
        <w:rPr>
          <w:sz w:val="20"/>
          <w:szCs w:val="20"/>
          <w:color w:val="auto"/>
        </w:rPr>
      </w:pPr>
    </w:p>
    <w:p>
      <w:pPr>
        <w:jc w:val="right"/>
        <w:ind w:left="407" w:right="480"/>
        <w:spacing w:after="0" w:line="351" w:lineRule="auto"/>
        <w:rPr>
          <w:sz w:val="20"/>
          <w:szCs w:val="20"/>
          <w:color w:val="auto"/>
        </w:rPr>
      </w:pPr>
      <w:r>
        <w:rPr>
          <w:rFonts w:ascii="Times New Roman" w:cs="Times New Roman" w:eastAsia="Times New Roman" w:hAnsi="Times New Roman"/>
          <w:sz w:val="16"/>
          <w:szCs w:val="16"/>
          <w:b w:val="1"/>
          <w:bCs w:val="1"/>
          <w:color w:val="auto"/>
        </w:rPr>
        <w:t>2024            2023 (dollars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-197485</wp:posOffset>
                </wp:positionV>
                <wp:extent cx="78994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5.5499pt" to="59.6pt,-15.5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795020</wp:posOffset>
                </wp:positionH>
                <wp:positionV relativeFrom="paragraph">
                  <wp:posOffset>-197485</wp:posOffset>
                </wp:positionV>
                <wp:extent cx="79057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6pt,-15.5499pt" to="124.85pt,-15.5499pt" o:allowincell="f" strokecolor="#000000" strokeweight="1pt"/>
            </w:pict>
          </mc:Fallback>
        </mc:AlternateContent>
      </w:r>
    </w:p>
    <w:p>
      <w:pPr>
        <w:ind w:left="307" w:hanging="307"/>
        <w:spacing w:after="0"/>
        <w:tabs>
          <w:tab w:leader="none" w:pos="30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2,815,524  $  2,780,259</w:t>
      </w:r>
    </w:p>
    <w:p>
      <w:pPr>
        <w:spacing w:after="0" w:line="55" w:lineRule="exact"/>
        <w:rPr>
          <w:sz w:val="20"/>
          <w:szCs w:val="20"/>
          <w:color w:val="auto"/>
        </w:rPr>
      </w:pPr>
    </w:p>
    <w:p>
      <w:pPr>
        <w:jc w:val="both"/>
        <w:ind w:left="467"/>
        <w:spacing w:after="0"/>
        <w:tabs>
          <w:tab w:leader="none" w:pos="1847" w:val="left"/>
        </w:tabs>
        <w:rPr>
          <w:sz w:val="20"/>
          <w:szCs w:val="20"/>
          <w:color w:val="auto"/>
        </w:rPr>
      </w:pPr>
      <w:r>
        <w:rPr>
          <w:rFonts w:ascii="Times New Roman" w:cs="Times New Roman" w:eastAsia="Times New Roman" w:hAnsi="Times New Roman"/>
          <w:sz w:val="20"/>
          <w:szCs w:val="20"/>
          <w:color w:val="auto"/>
        </w:rPr>
        <w:t>334,588</w:t>
      </w:r>
      <w:r>
        <w:rPr>
          <w:sz w:val="20"/>
          <w:szCs w:val="20"/>
          <w:color w:val="auto"/>
        </w:rPr>
        <w:tab/>
      </w:r>
      <w:r>
        <w:rPr>
          <w:rFonts w:ascii="Times New Roman" w:cs="Times New Roman" w:eastAsia="Times New Roman" w:hAnsi="Times New Roman"/>
          <w:sz w:val="20"/>
          <w:szCs w:val="20"/>
          <w:color w:val="auto"/>
        </w:rPr>
        <w:t>35,265</w:t>
      </w:r>
    </w:p>
    <w:p>
      <w:pPr>
        <w:spacing w:after="0" w:line="55" w:lineRule="exact"/>
        <w:rPr>
          <w:sz w:val="20"/>
          <w:szCs w:val="20"/>
          <w:color w:val="auto"/>
        </w:rPr>
      </w:pPr>
    </w:p>
    <w:p>
      <w:pPr>
        <w:ind w:left="7"/>
        <w:spacing w:after="0"/>
        <w:tabs>
          <w:tab w:leader="none" w:pos="287" w:val="left"/>
          <w:tab w:leader="none" w:pos="1287" w:val="left"/>
          <w:tab w:leader="none" w:pos="1587" w:val="left"/>
        </w:tabs>
        <w:rPr>
          <w:sz w:val="20"/>
          <w:szCs w:val="20"/>
          <w:color w:val="auto"/>
        </w:rPr>
      </w:pPr>
      <w:r>
        <w:rPr>
          <w:rFonts w:ascii="Times New Roman" w:cs="Times New Roman" w:eastAsia="Times New Roman" w:hAnsi="Times New Roman"/>
          <w:sz w:val="20"/>
          <w:szCs w:val="20"/>
          <w:color w:val="auto"/>
        </w:rPr>
        <w:t>$</w:t>
        <w:tab/>
        <w:t>3,150,112</w:t>
        <w:tab/>
        <w:t>$</w:t>
        <w:tab/>
        <w:t>2,815,524</w:t>
      </w:r>
    </w:p>
    <w:p>
      <w:pPr>
        <w:spacing w:after="0" w:line="200" w:lineRule="exact"/>
        <w:rPr>
          <w:sz w:val="20"/>
          <w:szCs w:val="20"/>
          <w:color w:val="auto"/>
        </w:rPr>
      </w:pPr>
    </w:p>
    <w:p>
      <w:pPr>
        <w:sectPr>
          <w:pgSz w:w="12060" w:h="15660" w:orient="portrait"/>
          <w:cols w:equalWidth="0" w:num="2">
            <w:col w:w="7570" w:space="373"/>
            <w:col w:w="2507"/>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126</w:t>
      </w:r>
    </w:p>
    <w:p>
      <w:pPr>
        <w:sectPr>
          <w:pgSz w:w="12060" w:h="15660" w:orient="portrait"/>
          <w:cols w:equalWidth="0" w:num="1">
            <w:col w:w="10450"/>
          </w:cols>
          <w:pgMar w:left="810" w:top="741" w:right="80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auto"/>
        </w:rPr>
        <w:t>The components of goodwill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7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7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0" w:type="dxa"/>
            <w:vAlign w:val="bottom"/>
          </w:tcPr>
          <w:p>
            <w:pPr>
              <w:spacing w:after="0"/>
              <w:rPr>
                <w:sz w:val="1"/>
                <w:szCs w:val="1"/>
                <w:color w:val="auto"/>
              </w:rPr>
            </w:pPr>
          </w:p>
        </w:tc>
      </w:tr>
      <w:tr>
        <w:trPr>
          <w:trHeight w:val="288"/>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 Refinitiv Transaction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2,694,797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2,694,797</w:t>
            </w:r>
          </w:p>
        </w:tc>
        <w:tc>
          <w:tcPr>
            <w:tcW w:w="0" w:type="dxa"/>
            <w:vAlign w:val="bottom"/>
          </w:tcPr>
          <w:p>
            <w:pPr>
              <w:spacing w:after="0"/>
              <w:rPr>
                <w:sz w:val="1"/>
                <w:szCs w:val="1"/>
                <w:color w:val="auto"/>
              </w:rPr>
            </w:pPr>
          </w:p>
        </w:tc>
      </w:tr>
      <w:tr>
        <w:trPr>
          <w:trHeight w:val="288"/>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 Acquisitions and 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455,315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120,727</w:t>
            </w:r>
          </w:p>
        </w:tc>
        <w:tc>
          <w:tcPr>
            <w:tcW w:w="0" w:type="dxa"/>
            <w:vAlign w:val="bottom"/>
          </w:tcPr>
          <w:p>
            <w:pPr>
              <w:spacing w:after="0"/>
              <w:rPr>
                <w:sz w:val="1"/>
                <w:szCs w:val="1"/>
                <w:color w:val="auto"/>
              </w:rPr>
            </w:pPr>
          </w:p>
        </w:tc>
      </w:tr>
      <w:tr>
        <w:trPr>
          <w:trHeight w:val="245"/>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3,150,112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2,815,524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with an indefinite useful life consisted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8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7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7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0" w:type="dxa"/>
            <w:vAlign w:val="bottom"/>
          </w:tcPr>
          <w:p>
            <w:pPr>
              <w:spacing w:after="0"/>
              <w:rPr>
                <w:sz w:val="1"/>
                <w:szCs w:val="1"/>
                <w:color w:val="auto"/>
              </w:rPr>
            </w:pPr>
          </w:p>
        </w:tc>
      </w:tr>
      <w:tr>
        <w:trPr>
          <w:trHeight w:val="288"/>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Licenses – Refinitiv Transaction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168,800</w:t>
            </w:r>
          </w:p>
        </w:tc>
        <w:tc>
          <w:tcPr>
            <w:tcW w:w="0" w:type="dxa"/>
            <w:vAlign w:val="bottom"/>
          </w:tcPr>
          <w:p>
            <w:pPr>
              <w:spacing w:after="0"/>
              <w:rPr>
                <w:sz w:val="1"/>
                <w:szCs w:val="1"/>
                <w:color w:val="auto"/>
              </w:rPr>
            </w:pPr>
          </w:p>
        </w:tc>
      </w:tr>
      <w:tr>
        <w:trPr>
          <w:trHeight w:val="288"/>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Tradename – Refinitiv Transaction</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154,300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154,300</w:t>
            </w:r>
          </w:p>
        </w:tc>
        <w:tc>
          <w:tcPr>
            <w:tcW w:w="0" w:type="dxa"/>
            <w:vAlign w:val="bottom"/>
          </w:tcPr>
          <w:p>
            <w:pPr>
              <w:spacing w:after="0"/>
              <w:rPr>
                <w:sz w:val="1"/>
                <w:szCs w:val="1"/>
                <w:color w:val="auto"/>
              </w:rPr>
            </w:pPr>
          </w:p>
        </w:tc>
      </w:tr>
      <w:tr>
        <w:trPr>
          <w:trHeight w:val="245"/>
        </w:trPr>
        <w:tc>
          <w:tcPr>
            <w:tcW w:w="7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323,100</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-2234565</wp:posOffset>
            </wp:positionV>
            <wp:extent cx="6654800" cy="5810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3">
                      <a:extLst>
                        <a:ext uri="{28A0092B-C50C-407E-A947-70E740481C1C}"/>
                      </a:extLst>
                    </a:blip>
                    <a:srcRect/>
                    <a:stretch>
                      <a:fillRect/>
                    </a:stretch>
                  </pic:blipFill>
                  <pic:spPr bwMode="auto">
                    <a:xfrm>
                      <a:off x="0" y="0"/>
                      <a:ext cx="6654800" cy="5810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581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that are subject to amortization consisted of the following:</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6"/>
                <w:szCs w:val="16"/>
                <w:color w:val="auto"/>
              </w:rPr>
            </w:pPr>
          </w:p>
        </w:tc>
        <w:tc>
          <w:tcPr>
            <w:tcW w:w="88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0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74"/>
        </w:trPr>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4"/>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 Refinitiv Transaction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12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(483,438)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444,762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(406,088)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522,112</w:t>
            </w:r>
          </w:p>
        </w:tc>
        <w:tc>
          <w:tcPr>
            <w:tcW w:w="0" w:type="dxa"/>
            <w:vAlign w:val="bottom"/>
          </w:tcPr>
          <w:p>
            <w:pPr>
              <w:spacing w:after="0"/>
              <w:rPr>
                <w:sz w:val="1"/>
                <w:szCs w:val="1"/>
                <w:color w:val="auto"/>
              </w:rPr>
            </w:pPr>
          </w:p>
        </w:tc>
      </w:tr>
      <w:tr>
        <w:trPr>
          <w:trHeight w:val="265"/>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 Acquisitions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13-15 years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537,531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492,576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120,534</w:t>
            </w:r>
          </w:p>
        </w:tc>
        <w:tc>
          <w:tcPr>
            <w:tcW w:w="0" w:type="dxa"/>
            <w:vAlign w:val="bottom"/>
          </w:tcPr>
          <w:p>
            <w:pPr>
              <w:spacing w:after="0"/>
              <w:rPr>
                <w:sz w:val="1"/>
                <w:szCs w:val="1"/>
                <w:color w:val="auto"/>
              </w:rPr>
            </w:pPr>
          </w:p>
        </w:tc>
      </w:tr>
      <w:tr>
        <w:trPr>
          <w:trHeight w:val="265"/>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Content and data –</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Refinitiv Transaction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7 years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(137,857)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16,543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38,600</w:t>
            </w:r>
          </w:p>
        </w:tc>
        <w:tc>
          <w:tcPr>
            <w:tcW w:w="0" w:type="dxa"/>
            <w:vAlign w:val="bottom"/>
          </w:tcPr>
          <w:p>
            <w:pPr>
              <w:spacing w:after="0"/>
              <w:rPr>
                <w:sz w:val="1"/>
                <w:szCs w:val="1"/>
                <w:color w:val="auto"/>
              </w:rPr>
            </w:pPr>
          </w:p>
        </w:tc>
      </w:tr>
      <w:tr>
        <w:trPr>
          <w:trHeight w:val="205"/>
        </w:trPr>
        <w:tc>
          <w:tcPr>
            <w:tcW w:w="20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Tradename –</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7"/>
              </w:rPr>
              <w:t>4 years</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auto"/>
              </w:rPr>
              <w:t>3,911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451</w:t>
            </w: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1200" w:type="dxa"/>
            <w:vAlign w:val="bottom"/>
            <w:gridSpan w:val="2"/>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1,624,623</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(666,831)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957,792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1,224,123</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(542,426)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681,697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-1507490</wp:posOffset>
            </wp:positionV>
            <wp:extent cx="6654800" cy="1514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5">
                      <a:extLst>
                        <a:ext uri="{28A0092B-C50C-407E-A947-70E740481C1C}"/>
                      </a:extLst>
                    </a:blip>
                    <a:srcRect/>
                    <a:stretch>
                      <a:fillRect/>
                    </a:stretch>
                  </pic:blipFill>
                  <pic:spPr bwMode="auto">
                    <a:xfrm>
                      <a:off x="0" y="0"/>
                      <a:ext cx="6654800" cy="1514475"/>
                    </a:xfrm>
                    <a:prstGeom prst="rect">
                      <a:avLst/>
                    </a:prstGeom>
                    <a:noFill/>
                  </pic:spPr>
                </pic:pic>
              </a:graphicData>
            </a:graphic>
          </wp:anchor>
        </w:drawing>
      </w:r>
    </w:p>
    <w:p>
      <w:pPr>
        <w:spacing w:after="0" w:line="18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Amortization expense for definite-lived intangible assets during the years ended December 31, 2024, 2023 and 2022 was $124.4 million, $108.3 million and $107.2 million, respectively.</w:t>
      </w:r>
    </w:p>
    <w:p>
      <w:pPr>
        <w:spacing w:after="0" w:line="14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The estimated annual future amortization for definite-lived intangible assets as of December 31, 2024 through December 31, 2029 is as follows: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132,877</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116,334</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116,293</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115,795</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115,211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654800" cy="206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654800" cy="206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127</w:t>
      </w:r>
    </w:p>
    <w:p>
      <w:pPr>
        <w:sectPr>
          <w:pgSz w:w="12060" w:h="15660" w:orient="portrait"/>
          <w:cols w:equalWidth="0" w:num="1">
            <w:col w:w="10440"/>
          </w:cols>
          <w:pgMar w:left="820" w:top="748" w:right="800" w:bottom="0" w:gutter="0" w:footer="0" w:header="0"/>
          <w:type w:val="continuous"/>
        </w:sectPr>
      </w:pPr>
    </w:p>
    <w:bookmarkStart w:id="137" w:name="page138"/>
    <w:bookmarkEnd w:id="137"/>
    <w:p>
      <w:pPr>
        <w:ind w:left="730" w:hanging="730"/>
        <w:spacing w:after="0"/>
        <w:tabs>
          <w:tab w:leader="none" w:pos="73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ind w:left="10" w:right="260"/>
        <w:spacing w:after="0" w:line="266" w:lineRule="auto"/>
        <w:rPr>
          <w:sz w:val="20"/>
          <w:szCs w:val="20"/>
          <w:color w:val="auto"/>
        </w:rPr>
      </w:pPr>
      <w:r>
        <w:rPr>
          <w:rFonts w:ascii="Times New Roman" w:cs="Times New Roman" w:eastAsia="Times New Roman" w:hAnsi="Times New Roman"/>
          <w:sz w:val="20"/>
          <w:szCs w:val="20"/>
          <w:color w:val="auto"/>
        </w:rPr>
        <w:t>The Company has operating leases for corporate offices and data centers with initial lease terms ranging from one to 10 years. The following is a summary of lease right-of-use assets and lease liabilities related to operating leases as of December 31, 2024 and 2023:</w:t>
      </w:r>
    </w:p>
    <w:p>
      <w:pPr>
        <w:spacing w:after="0" w:line="230"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161925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522pt,2.1pt" o:allowincell="f" strokecolor="#000000" strokeweight="1pt"/>
            </w:pict>
          </mc:Fallback>
        </mc:AlternateContent>
      </w:r>
    </w:p>
    <w:p>
      <w:pPr>
        <w:spacing w:after="0" w:line="36" w:lineRule="exact"/>
        <w:rPr>
          <w:sz w:val="20"/>
          <w:szCs w:val="20"/>
          <w:color w:val="auto"/>
        </w:rPr>
      </w:pPr>
    </w:p>
    <w:p>
      <w:pPr>
        <w:jc w:val="both"/>
        <w:ind w:left="8350"/>
        <w:spacing w:after="0"/>
        <w:tabs>
          <w:tab w:leader="none" w:pos="963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7905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456.7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26670</wp:posOffset>
                </wp:positionV>
                <wp:extent cx="7905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75pt,2.1pt" to="522pt,2.1pt" o:allowincell="f" strokecolor="#000000" strokeweight="1pt"/>
            </w:pict>
          </mc:Fallback>
        </mc:AlternateContent>
      </w:r>
    </w:p>
    <w:p>
      <w:pPr>
        <w:spacing w:after="0" w:line="9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654800" cy="2063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ectPr>
          <w:pgSz w:w="12060" w:h="15660" w:orient="portrait"/>
          <w:cols w:equalWidth="0" w:num="1">
            <w:col w:w="10450"/>
          </w:cols>
          <w:pgMar w:left="810" w:top="741" w:right="800" w:bottom="0" w:gutter="0" w:footer="0" w:header="0"/>
        </w:sectPr>
      </w:pPr>
    </w:p>
    <w:p>
      <w:pPr>
        <w:spacing w:after="0" w:line="55"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33,550</w:t>
            </w:r>
          </w:p>
        </w:tc>
      </w:tr>
      <w:tr>
        <w:trPr>
          <w:trHeight w:val="28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35,748</w:t>
            </w:r>
          </w:p>
        </w:tc>
      </w:tr>
    </w:tbl>
    <w:p>
      <w:pPr>
        <w:spacing w:after="0" w:line="2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Activity related to the Company’s leases for the years ended December 31, 2024, 2023 and 2022 is as follows: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62" w:hanging="562"/>
        <w:spacing w:after="0"/>
        <w:tabs>
          <w:tab w:leader="none" w:pos="56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25,206</w:t>
      </w:r>
    </w:p>
    <w:p>
      <w:pPr>
        <w:spacing w:after="0" w:line="66" w:lineRule="exact"/>
        <w:rPr>
          <w:rFonts w:ascii="Times New Roman" w:cs="Times New Roman" w:eastAsia="Times New Roman" w:hAnsi="Times New Roman"/>
          <w:sz w:val="19"/>
          <w:szCs w:val="19"/>
          <w:color w:val="auto"/>
        </w:rPr>
      </w:pPr>
    </w:p>
    <w:p>
      <w:pPr>
        <w:ind w:left="562" w:hanging="562"/>
        <w:spacing w:after="0"/>
        <w:tabs>
          <w:tab w:leader="none" w:pos="56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27,463</w:t>
      </w:r>
    </w:p>
    <w:p>
      <w:pPr>
        <w:spacing w:after="0" w:line="723" w:lineRule="exact"/>
        <w:rPr>
          <w:sz w:val="20"/>
          <w:szCs w:val="20"/>
          <w:color w:val="auto"/>
        </w:rPr>
      </w:pPr>
    </w:p>
    <w:p>
      <w:pPr>
        <w:sectPr>
          <w:pgSz w:w="12060" w:h="15660" w:orient="portrait"/>
          <w:cols w:equalWidth="0" w:num="2">
            <w:col w:w="9050" w:space="198"/>
            <w:col w:w="1202"/>
          </w:cols>
          <w:pgMar w:left="810" w:top="741" w:right="800" w:bottom="0" w:gutter="0" w:footer="0" w:header="0"/>
          <w:type w:val="continuous"/>
        </w:sectPr>
      </w:pP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6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included as a component of occupancy expense on the</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accompanying consolidated statements of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10,842</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liability</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11,940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6654800" cy="3587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0">
                      <a:extLst>
                        <a:ext uri="{28A0092B-C50C-407E-A947-70E740481C1C}"/>
                      </a:extLst>
                    </a:blip>
                    <a:srcRect/>
                    <a:stretch>
                      <a:fillRect/>
                    </a:stretch>
                  </pic:blipFill>
                  <pic:spPr bwMode="auto">
                    <a:xfrm>
                      <a:off x="0" y="0"/>
                      <a:ext cx="6654800" cy="358775"/>
                    </a:xfrm>
                    <a:prstGeom prst="rect">
                      <a:avLst/>
                    </a:prstGeom>
                    <a:noFill/>
                  </pic:spPr>
                </pic:pic>
              </a:graphicData>
            </a:graphic>
          </wp:anchor>
        </w:drawing>
      </w:r>
    </w:p>
    <w:p>
      <w:pPr>
        <w:spacing w:after="0" w:line="2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At December 31, 2024 and 2023, the weighted average borrowing rate and weighted average remaining lease term are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17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32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borrowing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the future minimum lease payments and the maturity of lease liabilities as of December 31, 2024:</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13,439</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9,560</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9,003</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3,623</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3,318</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215</w:t>
            </w:r>
          </w:p>
        </w:tc>
      </w:tr>
      <w:tr>
        <w:trPr>
          <w:trHeight w:val="262"/>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220" w:type="dxa"/>
            <w:vAlign w:val="bottom"/>
          </w:tcPr>
          <w:p>
            <w:pPr>
              <w:spacing w:after="0"/>
              <w:rPr>
                <w:sz w:val="22"/>
                <w:szCs w:val="22"/>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39,158</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(3,410)</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35,748</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654800" cy="2063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2063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206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206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6">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auto"/>
        </w:rPr>
        <w:t>The lease payments above exclude $159.2 million of future minimum lease payments for a lease signed but not yet commenced as of December 31, 2024. This lease, for the Company’s New York City headquarters, is expected to commence in mid-2025 and has an expected initial lease term of approximately 16 years.</w:t>
      </w:r>
    </w:p>
    <w:p>
      <w:pPr>
        <w:spacing w:after="0" w:line="155"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As of both December 31, 2024 and 2023, one U.S. lease was secured by a $0.5 million letter of credit issued under the Company’s 2023 Revolving Credit Facility (as defined in Note 17 – Commitments and Contingencies).</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128</w:t>
      </w:r>
    </w:p>
    <w:p>
      <w:pPr>
        <w:sectPr>
          <w:pgSz w:w="12060" w:h="15660" w:orient="portrait"/>
          <w:cols w:equalWidth="0" w:num="1">
            <w:col w:w="10450"/>
          </w:cols>
          <w:pgMar w:left="810" w:top="741" w:right="800" w:bottom="0" w:gutter="0" w:footer="0" w:header="0"/>
          <w:type w:val="continuous"/>
        </w:sectPr>
      </w:pPr>
    </w:p>
    <w:bookmarkStart w:id="138" w:name="page139"/>
    <w:bookmarkEnd w:id="138"/>
    <w:p>
      <w:pPr>
        <w:ind w:left="730" w:hanging="730"/>
        <w:spacing w:after="0"/>
        <w:tabs>
          <w:tab w:leader="none" w:pos="73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4" w:lineRule="exact"/>
        <w:rPr>
          <w:sz w:val="20"/>
          <w:szCs w:val="20"/>
          <w:color w:val="auto"/>
        </w:rPr>
      </w:pPr>
    </w:p>
    <w:p>
      <w:pPr>
        <w:ind w:left="10" w:right="180"/>
        <w:spacing w:after="0" w:line="255" w:lineRule="auto"/>
        <w:rPr>
          <w:sz w:val="20"/>
          <w:szCs w:val="20"/>
          <w:color w:val="auto"/>
        </w:rPr>
      </w:pPr>
      <w:r>
        <w:rPr>
          <w:rFonts w:ascii="Times New Roman" w:cs="Times New Roman" w:eastAsia="Times New Roman" w:hAnsi="Times New Roman"/>
          <w:sz w:val="20"/>
          <w:szCs w:val="20"/>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70"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55" w:lineRule="exact"/>
        <w:rPr>
          <w:sz w:val="20"/>
          <w:szCs w:val="20"/>
          <w:color w:val="auto"/>
        </w:rPr>
      </w:pPr>
    </w:p>
    <w:p>
      <w:pPr>
        <w:ind w:left="10" w:right="200"/>
        <w:spacing w:after="0" w:line="258" w:lineRule="auto"/>
        <w:rPr>
          <w:sz w:val="20"/>
          <w:szCs w:val="20"/>
          <w:color w:val="auto"/>
        </w:rPr>
      </w:pPr>
      <w:r>
        <w:rPr>
          <w:rFonts w:ascii="Times New Roman" w:cs="Times New Roman" w:eastAsia="Times New Roman" w:hAnsi="Times New Roman"/>
          <w:sz w:val="20"/>
          <w:szCs w:val="20"/>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64"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76" w:lineRule="exact"/>
        <w:rPr>
          <w:sz w:val="20"/>
          <w:szCs w:val="20"/>
          <w:color w:val="auto"/>
        </w:rPr>
      </w:pPr>
    </w:p>
    <w:p>
      <w:pPr>
        <w:jc w:val="both"/>
        <w:ind w:left="10" w:right="120"/>
        <w:spacing w:after="0" w:line="260" w:lineRule="auto"/>
        <w:rPr>
          <w:sz w:val="20"/>
          <w:szCs w:val="20"/>
          <w:color w:val="auto"/>
        </w:rPr>
      </w:pPr>
      <w:r>
        <w:rPr>
          <w:rFonts w:ascii="Times New Roman" w:cs="Times New Roman" w:eastAsia="Times New Roman" w:hAnsi="Times New Roman"/>
          <w:sz w:val="20"/>
          <w:szCs w:val="20"/>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63" w:lineRule="exact"/>
        <w:rPr>
          <w:sz w:val="20"/>
          <w:szCs w:val="20"/>
          <w:color w:val="auto"/>
        </w:rPr>
      </w:pPr>
    </w:p>
    <w:p>
      <w:pPr>
        <w:ind w:left="10" w:right="980"/>
        <w:spacing w:after="0" w:line="281" w:lineRule="auto"/>
        <w:rPr>
          <w:sz w:val="20"/>
          <w:szCs w:val="20"/>
          <w:color w:val="auto"/>
        </w:rPr>
      </w:pPr>
      <w:r>
        <w:rPr>
          <w:rFonts w:ascii="Times New Roman" w:cs="Times New Roman" w:eastAsia="Times New Roman" w:hAnsi="Times New Roman"/>
          <w:sz w:val="20"/>
          <w:szCs w:val="20"/>
          <w:color w:val="auto"/>
        </w:rPr>
        <w:t>Significant judgments used in accounting for the Company’s market data agreement with LSEG include the following determinations:</w:t>
      </w:r>
    </w:p>
    <w:p>
      <w:pPr>
        <w:spacing w:after="0" w:line="141" w:lineRule="exact"/>
        <w:rPr>
          <w:sz w:val="20"/>
          <w:szCs w:val="20"/>
          <w:color w:val="auto"/>
        </w:rPr>
      </w:pPr>
    </w:p>
    <w:p>
      <w:pPr>
        <w:ind w:left="730" w:hanging="370"/>
        <w:spacing w:after="0"/>
        <w:tabs>
          <w:tab w:leader="none" w:pos="73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30" w:right="80" w:hanging="370"/>
        <w:spacing w:after="0" w:line="281" w:lineRule="auto"/>
        <w:tabs>
          <w:tab w:leader="none" w:pos="73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until the end of the contract term or at a point in time upon delivery of each historical data set.</w:t>
      </w:r>
    </w:p>
    <w:p>
      <w:pPr>
        <w:spacing w:after="0" w:line="141" w:lineRule="exact"/>
        <w:rPr>
          <w:rFonts w:ascii="Times New Roman" w:cs="Times New Roman" w:eastAsia="Times New Roman" w:hAnsi="Times New Roman"/>
          <w:sz w:val="20"/>
          <w:szCs w:val="20"/>
          <w:color w:val="auto"/>
        </w:rPr>
      </w:pPr>
    </w:p>
    <w:p>
      <w:pPr>
        <w:ind w:left="730" w:hanging="370"/>
        <w:spacing w:after="0" w:line="260" w:lineRule="auto"/>
        <w:tabs>
          <w:tab w:leader="none" w:pos="73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ectPr>
          <w:pgSz w:w="12060" w:h="15660" w:orient="portrait"/>
          <w:cols w:equalWidth="0" w:num="1">
            <w:col w:w="10410"/>
          </w:cols>
          <w:pgMar w:left="81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129</w:t>
      </w:r>
    </w:p>
    <w:p>
      <w:pPr>
        <w:sectPr>
          <w:pgSz w:w="12060" w:h="15660" w:orient="portrait"/>
          <w:cols w:equalWidth="0" w:num="1">
            <w:col w:w="10410"/>
          </w:cols>
          <w:pgMar w:left="810" w:top="741" w:right="840" w:bottom="0" w:gutter="0" w:footer="0" w:header="0"/>
          <w:type w:val="continuous"/>
        </w:sectPr>
      </w:pPr>
    </w:p>
    <w:bookmarkStart w:id="139" w:name="page140"/>
    <w:bookmarkEnd w:id="139"/>
    <w:p>
      <w:pPr>
        <w:ind w:left="10" w:right="320"/>
        <w:spacing w:after="0" w:line="266" w:lineRule="auto"/>
        <w:rPr>
          <w:sz w:val="20"/>
          <w:szCs w:val="20"/>
          <w:color w:val="auto"/>
        </w:rPr>
      </w:pPr>
      <w:r>
        <w:rPr>
          <w:rFonts w:ascii="Times New Roman" w:cs="Times New Roman" w:eastAsia="Times New Roman" w:hAnsi="Times New Roman"/>
          <w:sz w:val="20"/>
          <w:szCs w:val="20"/>
          <w:color w:val="auto"/>
        </w:rPr>
        <w:t>Some revenues earned by the Company have fixed fee components, such as monthly minimums or fixed monthly fees, and variable components, such as transaction-based fees and commissions. The breakdown of revenues between fixed and variable revenues for the years ended December 31, 2024, 2023 and 2022 is as follows:</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74"/>
        </w:trPr>
        <w:tc>
          <w:tcPr>
            <w:tcW w:w="2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2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20" w:type="dxa"/>
            <w:vAlign w:val="bottom"/>
          </w:tcPr>
          <w:p>
            <w:pPr>
              <w:ind w:left="20"/>
              <w:spacing w:after="0" w:line="229" w:lineRule="exact"/>
              <w:rPr>
                <w:sz w:val="20"/>
                <w:szCs w:val="20"/>
                <w:color w:val="auto"/>
              </w:rPr>
            </w:pPr>
            <w:r>
              <w:rPr>
                <w:rFonts w:ascii="Times New Roman" w:cs="Times New Roman" w:eastAsia="Times New Roman" w:hAnsi="Times New Roman"/>
                <w:sz w:val="20"/>
                <w:szCs w:val="20"/>
                <w:color w:val="auto"/>
              </w:rPr>
              <w:t>Transaction fees and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1,274,636</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148,911</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930,247</w:t>
            </w: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148,097</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803,465</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146,804</w:t>
            </w:r>
          </w:p>
        </w:tc>
        <w:tc>
          <w:tcPr>
            <w:tcW w:w="0" w:type="dxa"/>
            <w:vAlign w:val="bottom"/>
          </w:tcPr>
          <w:p>
            <w:pPr>
              <w:spacing w:after="0"/>
              <w:rPr>
                <w:sz w:val="1"/>
                <w:szCs w:val="1"/>
                <w:color w:val="auto"/>
              </w:rPr>
            </w:pPr>
          </w:p>
        </w:tc>
      </w:tr>
      <w:tr>
        <w:trPr>
          <w:trHeight w:val="261"/>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commissions</w:t>
            </w:r>
          </w:p>
        </w:tc>
        <w:tc>
          <w:tcPr>
            <w:tcW w:w="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Subscription fees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204,897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164,049</w:t>
            </w:r>
          </w:p>
        </w:tc>
        <w:tc>
          <w:tcPr>
            <w:tcW w:w="0" w:type="dxa"/>
            <w:vAlign w:val="bottom"/>
          </w:tcPr>
          <w:p>
            <w:pPr>
              <w:spacing w:after="0"/>
              <w:rPr>
                <w:sz w:val="1"/>
                <w:szCs w:val="1"/>
                <w:color w:val="auto"/>
              </w:rPr>
            </w:pPr>
          </w:p>
        </w:tc>
      </w:tr>
      <w:tr>
        <w:trPr>
          <w:trHeight w:val="285"/>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LSEG market data fees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82,145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62,721</w:t>
            </w:r>
          </w:p>
        </w:tc>
        <w:tc>
          <w:tcPr>
            <w:tcW w:w="0" w:type="dxa"/>
            <w:vAlign w:val="bottom"/>
          </w:tcPr>
          <w:p>
            <w:pPr>
              <w:spacing w:after="0"/>
              <w:rPr>
                <w:sz w:val="1"/>
                <w:szCs w:val="1"/>
                <w:color w:val="auto"/>
              </w:rPr>
            </w:pPr>
          </w:p>
        </w:tc>
      </w:tr>
      <w:tr>
        <w:trPr>
          <w:trHeight w:val="288"/>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11,232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9,007</w:t>
            </w:r>
          </w:p>
        </w:tc>
        <w:tc>
          <w:tcPr>
            <w:tcW w:w="0" w:type="dxa"/>
            <w:vAlign w:val="bottom"/>
          </w:tcPr>
          <w:p>
            <w:pPr>
              <w:spacing w:after="0"/>
              <w:rPr>
                <w:sz w:val="1"/>
                <w:szCs w:val="1"/>
                <w:color w:val="auto"/>
              </w:rPr>
            </w:pPr>
          </w:p>
        </w:tc>
      </w:tr>
      <w:tr>
        <w:trPr>
          <w:trHeight w:val="245"/>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1,278,764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447,185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933,214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806,200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382,581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-1231265</wp:posOffset>
            </wp:positionV>
            <wp:extent cx="6654800" cy="12382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7">
                      <a:extLst>
                        <a:ext uri="{28A0092B-C50C-407E-A947-70E740481C1C}"/>
                      </a:extLst>
                    </a:blip>
                    <a:srcRect/>
                    <a:stretch>
                      <a:fillRect/>
                    </a:stretch>
                  </pic:blipFill>
                  <pic:spPr bwMode="auto">
                    <a:xfrm>
                      <a:off x="0" y="0"/>
                      <a:ext cx="6654800" cy="1238250"/>
                    </a:xfrm>
                    <a:prstGeom prst="rect">
                      <a:avLst/>
                    </a:prstGeom>
                    <a:noFill/>
                  </pic:spPr>
                </pic:pic>
              </a:graphicData>
            </a:graphic>
          </wp:anchor>
        </w:drawing>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14" w:lineRule="exact"/>
        <w:rPr>
          <w:sz w:val="20"/>
          <w:szCs w:val="20"/>
          <w:color w:val="auto"/>
        </w:rPr>
      </w:pPr>
    </w:p>
    <w:p>
      <w:pPr>
        <w:jc w:val="both"/>
        <w:ind w:left="10" w:right="540"/>
        <w:spacing w:after="0" w:line="266" w:lineRule="auto"/>
        <w:rPr>
          <w:sz w:val="20"/>
          <w:szCs w:val="20"/>
          <w:color w:val="auto"/>
        </w:rPr>
      </w:pPr>
      <w:r>
        <w:rPr>
          <w:rFonts w:ascii="Times New Roman" w:cs="Times New Roman" w:eastAsia="Times New Roman" w:hAnsi="Times New Roman"/>
          <w:sz w:val="20"/>
          <w:szCs w:val="20"/>
          <w:color w:val="auto"/>
        </w:rPr>
        <w:t>Fees received by the Company which are not yet earned are included in deferred revenue on the consolidated statements of financial condition until the revenue recognition criteria have been met. The revenue recognized and the remaining deferred revenue balances are shown below:</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25,746</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New billings</w:t>
            </w:r>
          </w:p>
        </w:tc>
        <w:tc>
          <w:tcPr>
            <w:tcW w:w="220" w:type="dxa"/>
            <w:vAlign w:val="bottom"/>
          </w:tcPr>
          <w:p>
            <w:pPr>
              <w:spacing w:after="0"/>
              <w:rPr>
                <w:sz w:val="24"/>
                <w:szCs w:val="24"/>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157,805</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2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(153,259)</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acquired in connection with acquisitions</w:t>
            </w:r>
          </w:p>
        </w:tc>
        <w:tc>
          <w:tcPr>
            <w:tcW w:w="220" w:type="dxa"/>
            <w:vAlign w:val="bottom"/>
          </w:tcPr>
          <w:p>
            <w:pPr>
              <w:spacing w:after="0"/>
              <w:rPr>
                <w:sz w:val="24"/>
                <w:szCs w:val="24"/>
                <w:color w:val="auto"/>
              </w:rPr>
            </w:pPr>
          </w:p>
        </w:tc>
        <w:tc>
          <w:tcPr>
            <w:tcW w:w="1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530</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exchange rate changes</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30,800</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654800" cy="1123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8">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r>
    </w:p>
    <w:p>
      <w:pPr>
        <w:spacing w:after="0" w:line="188" w:lineRule="exact"/>
        <w:rPr>
          <w:sz w:val="20"/>
          <w:szCs w:val="20"/>
          <w:color w:val="auto"/>
        </w:rPr>
      </w:pPr>
    </w:p>
    <w:p>
      <w:pPr>
        <w:ind w:left="10" w:right="4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into revenue $25.7 million in deferred revenue that was deferred as of December 31, 2023. During the year ended December 31, 2023, the Company recognized into revenue $22.8 million in deferred revenue that was deferred as of December 31, 2022.</w:t>
      </w:r>
    </w:p>
    <w:p>
      <w:pPr>
        <w:spacing w:after="0" w:line="148" w:lineRule="exact"/>
        <w:rPr>
          <w:sz w:val="20"/>
          <w:szCs w:val="20"/>
          <w:color w:val="auto"/>
        </w:rPr>
      </w:pPr>
    </w:p>
    <w:p>
      <w:pPr>
        <w:ind w:left="730" w:hanging="730"/>
        <w:spacing w:after="0"/>
        <w:tabs>
          <w:tab w:leader="none" w:pos="73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17"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73"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2024, total income before the provision for income taxes amounted to $754.4 million, consisting of $720.6 million in the United States and $33.8 million in foreign locations.</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130</w:t>
      </w:r>
    </w:p>
    <w:p>
      <w:pPr>
        <w:sectPr>
          <w:pgSz w:w="12060" w:h="15660" w:orient="portrait"/>
          <w:cols w:equalWidth="0" w:num="1">
            <w:col w:w="10450"/>
          </w:cols>
          <w:pgMar w:left="810" w:top="748" w:right="80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color w:val="auto"/>
        </w:rPr>
        <w:t>The provision for income taxes consists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gridSpan w:val="10"/>
          </w:tcPr>
          <w:p>
            <w:pPr>
              <w:jc w:val="center"/>
              <w:ind w:left="48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center"/>
              <w:ind w:left="43"/>
              <w:spacing w:after="0"/>
              <w:rPr>
                <w:sz w:val="20"/>
                <w:szCs w:val="20"/>
                <w:color w:val="auto"/>
              </w:rPr>
            </w:pPr>
            <w:r>
              <w:rPr>
                <w:rFonts w:ascii="Times New Roman" w:cs="Times New Roman" w:eastAsia="Times New Roman" w:hAnsi="Times New Roman"/>
                <w:sz w:val="20"/>
                <w:szCs w:val="20"/>
                <w:color w:val="auto"/>
              </w:rPr>
              <w:t>95,266</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8"/>
              </w:rPr>
              <w:t>15,168</w:t>
            </w: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7,260</w:t>
            </w: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 and Local</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43"/>
              <w:spacing w:after="0"/>
              <w:rPr>
                <w:sz w:val="20"/>
                <w:szCs w:val="20"/>
                <w:color w:val="auto"/>
              </w:rPr>
            </w:pPr>
            <w:r>
              <w:rPr>
                <w:rFonts w:ascii="Times New Roman" w:cs="Times New Roman" w:eastAsia="Times New Roman" w:hAnsi="Times New Roman"/>
                <w:sz w:val="20"/>
                <w:szCs w:val="20"/>
                <w:color w:val="auto"/>
              </w:rPr>
              <w:t>42,453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8"/>
              </w:rPr>
              <w:t>20,748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16,243</w:t>
            </w: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14,406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1,154</w:t>
            </w: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8"/>
              </w:rPr>
              <w:t>38,581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24,657</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43"/>
              <w:spacing w:after="0"/>
              <w:rPr>
                <w:sz w:val="20"/>
                <w:szCs w:val="20"/>
                <w:color w:val="auto"/>
              </w:rPr>
            </w:pPr>
            <w:r>
              <w:rPr>
                <w:rFonts w:ascii="Times New Roman" w:cs="Times New Roman" w:eastAsia="Times New Roman" w:hAnsi="Times New Roman"/>
                <w:sz w:val="20"/>
                <w:szCs w:val="20"/>
                <w:color w:val="auto"/>
              </w:rPr>
              <w:t>20,225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8"/>
              </w:rPr>
              <w:t>79,264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66,591</w:t>
            </w: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 and local</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(11,384)</w:t>
            </w: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(2,344)</w:t>
            </w:r>
          </w:p>
        </w:tc>
      </w:tr>
      <w:tr>
        <w:trPr>
          <w:trHeight w:val="265"/>
        </w:trPr>
        <w:tc>
          <w:tcPr>
            <w:tcW w:w="6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deferred tax expense</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20"/>
                <w:szCs w:val="20"/>
                <w:color w:val="auto"/>
              </w:rPr>
              <w:t>32,314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20"/>
                <w:szCs w:val="20"/>
                <w:color w:val="auto"/>
                <w:w w:val="98"/>
              </w:rPr>
              <w:t>89,896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52,863</w:t>
            </w: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128,477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77,520</w:t>
            </w:r>
          </w:p>
        </w:tc>
      </w:tr>
      <w:tr>
        <w:trPr>
          <w:trHeight w:val="20"/>
        </w:trPr>
        <w:tc>
          <w:tcPr>
            <w:tcW w:w="6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9"/>
        </w:trPr>
        <w:tc>
          <w:tcPr>
            <w:tcW w:w="6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reconciliation of the U.S. federal statutory tax rate to the effective rate is as follows: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5"/>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6"/>
        </w:trPr>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2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Statutory U.S. federal income tax rate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and local income taxes, net of federal income tax benefit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43"/>
              <w:spacing w:after="0"/>
              <w:rPr>
                <w:sz w:val="20"/>
                <w:szCs w:val="20"/>
                <w:color w:val="auto"/>
              </w:rPr>
            </w:pPr>
            <w:r>
              <w:rPr>
                <w:rFonts w:ascii="Times New Roman" w:cs="Times New Roman" w:eastAsia="Times New Roman" w:hAnsi="Times New Roman"/>
                <w:sz w:val="20"/>
                <w:szCs w:val="20"/>
                <w:color w:val="auto"/>
                <w:w w:val="95"/>
              </w:rPr>
              <w:t>6.1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5.3</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Non-controlling interest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w w:val="99"/>
              </w:rPr>
              <w:t>(1.7)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9"/>
              </w:rPr>
              <w:t>(1.9)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Receivable Agreement adjustment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w w:val="99"/>
              </w:rPr>
              <w:t>(0.2)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rPr>
              <w:t>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(0.7)</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Rate change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9"/>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(4.1)</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Compensation</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w w:val="99"/>
              </w:rPr>
              <w:t>(0.5)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20"/>
                <w:szCs w:val="20"/>
                <w:color w:val="auto"/>
                <w:w w:val="99"/>
              </w:rPr>
              <w:t>(0.5)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w:t>
            </w: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20"/>
                <w:szCs w:val="20"/>
                <w:color w:val="auto"/>
                <w:w w:val="99"/>
              </w:rPr>
              <w:t>(0.3)</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20"/>
                <w:szCs w:val="20"/>
                <w:color w:val="auto"/>
                <w:w w:val="99"/>
              </w:rPr>
              <w:t>(0.3)</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0.4</w:t>
            </w: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23.4 %</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17.7 %</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-4434840</wp:posOffset>
            </wp:positionV>
            <wp:extent cx="6654800" cy="206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-4072890</wp:posOffset>
            </wp:positionV>
            <wp:extent cx="6654800" cy="206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-3710940</wp:posOffset>
            </wp:positionV>
            <wp:extent cx="6654800" cy="2063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-3348990</wp:posOffset>
            </wp:positionV>
            <wp:extent cx="6654800" cy="206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-2987040</wp:posOffset>
            </wp:positionV>
            <wp:extent cx="6654800" cy="2063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-2625090</wp:posOffset>
            </wp:positionV>
            <wp:extent cx="6654800" cy="2190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4">
                      <a:extLst>
                        <a:ext uri="{28A0092B-C50C-407E-A947-70E740481C1C}"/>
                      </a:extLst>
                    </a:blip>
                    <a:srcRect/>
                    <a:stretch>
                      <a:fillRect/>
                    </a:stretch>
                  </pic:blipFill>
                  <pic:spPr bwMode="auto">
                    <a:xfrm>
                      <a:off x="0" y="0"/>
                      <a:ext cx="6654800" cy="2190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-1478915</wp:posOffset>
            </wp:positionV>
            <wp:extent cx="6654800" cy="1485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5">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1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effective tax rate for the year ended December 31, 2024 was approximately 24.4%, compared with 23.4% for the year ended December 31, 2023 and 17.7% for the year ended December 31, 2022. The effective tax rate for the years ended December 31, 2024 and 2023 differed from the U.S. federal statutory rate of 21.0% primarily due to state and local taxes net of the benefit related to the effect of non-controlling interests. The effective tax rates for the year ended December 31, 2022 differed from the U.S. federal statutory rate of 21.0% primarily due to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131</w:t>
      </w:r>
    </w:p>
    <w:p>
      <w:pPr>
        <w:sectPr>
          <w:pgSz w:w="12060" w:h="15660" w:orient="portrait"/>
          <w:cols w:equalWidth="0" w:num="1">
            <w:col w:w="10440"/>
          </w:cols>
          <w:pgMar w:left="820" w:top="748" w:right="80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The components of the Company’s net deferred tax asset (liability)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60" w:type="dxa"/>
            <w:vAlign w:val="bottom"/>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516,665</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602,936</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operating losses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3,806</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Receivable Agreement - Interest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16,799</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Employee compensation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74,465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52,029</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Transferable tax credits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tax credits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5,099</w:t>
            </w:r>
          </w:p>
        </w:tc>
        <w:tc>
          <w:tcPr>
            <w:tcW w:w="0" w:type="dxa"/>
            <w:vAlign w:val="bottom"/>
          </w:tcPr>
          <w:p>
            <w:pPr>
              <w:spacing w:after="0"/>
              <w:rPr>
                <w:sz w:val="1"/>
                <w:szCs w:val="1"/>
                <w:color w:val="auto"/>
              </w:rPr>
            </w:pPr>
          </w:p>
        </w:tc>
      </w:tr>
      <w:tr>
        <w:trPr>
          <w:trHeight w:val="288"/>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6,722</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 gross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644,930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687,391</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assets, net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643,276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687,391</w:t>
            </w:r>
          </w:p>
        </w:tc>
        <w:tc>
          <w:tcPr>
            <w:tcW w:w="0" w:type="dxa"/>
            <w:vAlign w:val="bottom"/>
          </w:tcPr>
          <w:p>
            <w:pPr>
              <w:spacing w:after="0"/>
              <w:rPr>
                <w:sz w:val="1"/>
                <w:szCs w:val="1"/>
                <w:color w:val="auto"/>
              </w:rPr>
            </w:pPr>
          </w:p>
        </w:tc>
      </w:tr>
      <w:tr>
        <w:trPr>
          <w:trHeight w:val="57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Goodwill and Intangibles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(26,966)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(23,908)</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(23,908)</w:t>
            </w:r>
          </w:p>
        </w:tc>
        <w:tc>
          <w:tcPr>
            <w:tcW w:w="0" w:type="dxa"/>
            <w:vAlign w:val="bottom"/>
          </w:tcPr>
          <w:p>
            <w:pPr>
              <w:spacing w:after="0"/>
              <w:rPr>
                <w:sz w:val="1"/>
                <w:szCs w:val="1"/>
                <w:color w:val="auto"/>
              </w:rPr>
            </w:pPr>
          </w:p>
        </w:tc>
      </w:tr>
      <w:tr>
        <w:trPr>
          <w:trHeight w:val="288"/>
        </w:trPr>
        <w:tc>
          <w:tcPr>
            <w:tcW w:w="7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net deferred tax asset (liability)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40" w:type="dxa"/>
            <w:vAlign w:val="bottom"/>
            <w:vMerge w:val="continue"/>
          </w:tcPr>
          <w:p>
            <w:pPr>
              <w:spacing w:after="0"/>
              <w:rPr>
                <w:sz w:val="21"/>
                <w:szCs w:val="21"/>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616,310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663,483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654800" cy="31146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6">
                      <a:extLst>
                        <a:ext uri="{28A0092B-C50C-407E-A947-70E740481C1C}"/>
                      </a:extLst>
                    </a:blip>
                    <a:srcRect/>
                    <a:stretch>
                      <a:fillRect/>
                    </a:stretch>
                  </pic:blipFill>
                  <pic:spPr bwMode="auto">
                    <a:xfrm>
                      <a:off x="0" y="0"/>
                      <a:ext cx="6654800" cy="3114675"/>
                    </a:xfrm>
                    <a:prstGeom prst="rect">
                      <a:avLst/>
                    </a:prstGeom>
                    <a:noFill/>
                  </pic:spPr>
                </pic:pic>
              </a:graphicData>
            </a:graphic>
          </wp:anchor>
        </w:drawing>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statements of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the Company had no tax effected U.S. federal net operating loss carryforwards for income tax</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 state and local net operating loss carryforwards of $1.0 million, and foreign net operating loss carryforwards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million. If not utilized, the state and local net operating loss carryforwards will begin to expire in 2035. The foreign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carryforwards can be carried forward indefinitely.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Company’s uncertain tax positions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as of January 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10,515</w:t>
            </w:r>
          </w:p>
        </w:tc>
      </w:tr>
      <w:tr>
        <w:trPr>
          <w:trHeight w:val="285"/>
        </w:trPr>
        <w:tc>
          <w:tcPr>
            <w:tcW w:w="8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Increase in current year tax positions</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9,774</w:t>
            </w:r>
          </w:p>
        </w:tc>
      </w:tr>
      <w:tr>
        <w:trPr>
          <w:trHeight w:val="285"/>
        </w:trPr>
        <w:tc>
          <w:tcPr>
            <w:tcW w:w="8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Increase in prior year tax positions</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1,176</w:t>
            </w:r>
          </w:p>
        </w:tc>
      </w:tr>
      <w:tr>
        <w:trPr>
          <w:trHeight w:val="285"/>
        </w:trPr>
        <w:tc>
          <w:tcPr>
            <w:tcW w:w="8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Decrease in prior year tax positions</w:t>
            </w:r>
          </w:p>
        </w:tc>
        <w:tc>
          <w:tcPr>
            <w:tcW w:w="2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(2,591)</w:t>
            </w:r>
          </w:p>
        </w:tc>
      </w:tr>
      <w:tr>
        <w:trPr>
          <w:trHeight w:val="285"/>
        </w:trPr>
        <w:tc>
          <w:tcPr>
            <w:tcW w:w="8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Acquired tax positions</w:t>
            </w:r>
          </w:p>
        </w:tc>
        <w:tc>
          <w:tcPr>
            <w:tcW w:w="220" w:type="dxa"/>
            <w:vAlign w:val="bottom"/>
          </w:tcPr>
          <w:p>
            <w:pPr>
              <w:spacing w:after="0"/>
              <w:rPr>
                <w:sz w:val="24"/>
                <w:szCs w:val="24"/>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742</w:t>
            </w:r>
          </w:p>
        </w:tc>
      </w:tr>
      <w:tr>
        <w:trPr>
          <w:trHeight w:val="288"/>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as of December 31, 2024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19,616</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654800" cy="2063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5810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9">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18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2024 was $1.7 million and $0.1 million, respectively.</w:t>
      </w:r>
    </w:p>
    <w:p>
      <w:pPr>
        <w:sectPr>
          <w:pgSz w:w="12060" w:h="15660" w:orient="portrait"/>
          <w:cols w:equalWidth="0" w:num="1">
            <w:col w:w="10440"/>
          </w:cols>
          <w:pgMar w:left="820" w:top="748" w:right="800" w:bottom="0" w:gutter="0" w:footer="0" w:header="0"/>
        </w:sect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132</w:t>
      </w:r>
    </w:p>
    <w:p>
      <w:pPr>
        <w:sectPr>
          <w:pgSz w:w="12060" w:h="15660" w:orient="portrait"/>
          <w:cols w:equalWidth="0" w:num="1">
            <w:col w:w="10440"/>
          </w:cols>
          <w:pgMar w:left="820" w:top="748" w:right="800" w:bottom="0" w:gutter="0" w:footer="0" w:header="0"/>
          <w:type w:val="continuous"/>
        </w:sectPr>
      </w:pPr>
    </w:p>
    <w:bookmarkStart w:id="142" w:name="page143"/>
    <w:bookmarkEnd w:id="142"/>
    <w:p>
      <w:pPr>
        <w:ind w:left="10" w:right="60"/>
        <w:spacing w:after="0" w:line="254" w:lineRule="auto"/>
        <w:rPr>
          <w:sz w:val="20"/>
          <w:szCs w:val="20"/>
          <w:color w:val="auto"/>
        </w:rPr>
      </w:pPr>
      <w:r>
        <w:rPr>
          <w:rFonts w:ascii="Times New Roman" w:cs="Times New Roman" w:eastAsia="Times New Roman" w:hAnsi="Times New Roman"/>
          <w:sz w:val="20"/>
          <w:szCs w:val="20"/>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and the Company was indemnified by Refinitiv for these tax liabilities assumed. During the year ended December 31, 2023, the contributed entity reached an audit settlement with the State of New Jersey for the tax years 2008 - 2015 and paid $2.0 million in full settlement of the matter and the prior liabilities assumed. Also during the year ended December 31, 2023, Refinitiv reimbursed the Company for the $2.0 million paid to the State of New Jersey pursuant to the indemnification agreement. As of December 31, 2024 and 2023, there were no remaining tax liabilities accrued associated with the Refinitiv Contribution.</w:t>
      </w:r>
    </w:p>
    <w:p>
      <w:pPr>
        <w:spacing w:after="0" w:line="173" w:lineRule="exact"/>
        <w:rPr>
          <w:sz w:val="20"/>
          <w:szCs w:val="20"/>
          <w:color w:val="auto"/>
        </w:rPr>
      </w:pPr>
    </w:p>
    <w:p>
      <w:pPr>
        <w:ind w:left="10" w:right="20"/>
        <w:spacing w:after="0" w:line="272" w:lineRule="auto"/>
        <w:rPr>
          <w:sz w:val="20"/>
          <w:szCs w:val="20"/>
          <w:color w:val="auto"/>
        </w:rPr>
      </w:pPr>
      <w:r>
        <w:rPr>
          <w:rFonts w:ascii="Times New Roman" w:cs="Times New Roman" w:eastAsia="Times New Roman" w:hAnsi="Times New Roman"/>
          <w:sz w:val="19"/>
          <w:szCs w:val="19"/>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based on currently available information, the Company does not anticipate any material changes to net uncertain tax benefits within the next twelve months.</w:t>
      </w:r>
    </w:p>
    <w:p>
      <w:pPr>
        <w:spacing w:after="0" w:line="147" w:lineRule="exact"/>
        <w:rPr>
          <w:sz w:val="20"/>
          <w:szCs w:val="20"/>
          <w:color w:val="auto"/>
        </w:rPr>
      </w:pPr>
    </w:p>
    <w:p>
      <w:pPr>
        <w:ind w:left="730" w:hanging="730"/>
        <w:spacing w:after="0"/>
        <w:tabs>
          <w:tab w:leader="none" w:pos="73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Receivable Agreement</w:t>
      </w:r>
    </w:p>
    <w:p>
      <w:pPr>
        <w:spacing w:after="0" w:line="217"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71"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As of December 31, 2024 and 2023, the tax receivable agreement liability on the consolidated statements of financial condition totaled $372.8 million and $457.5 million, respectively. During the years ended December 31, 2024, 2023 and 2022, the Company recognized a tax receivable agreement liability adjustment of $7.7 million of income, $9.5 million of expense and $13.7 million of income, respectively, in the consolidated statements of income due to changes in the tax receivable agreement liability recorded in the consolidated statements of financial condition.</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133</w:t>
      </w:r>
    </w:p>
    <w:p>
      <w:pPr>
        <w:sectPr>
          <w:pgSz w:w="12060" w:h="15660" w:orient="portrait"/>
          <w:cols w:equalWidth="0" w:num="1">
            <w:col w:w="10430"/>
          </w:cols>
          <w:pgMar w:left="810" w:top="748" w:right="820" w:bottom="0" w:gutter="0" w:footer="0" w:header="0"/>
          <w:type w:val="continuous"/>
        </w:sectPr>
      </w:pPr>
    </w:p>
    <w:bookmarkStart w:id="143" w:name="page144"/>
    <w:bookmarkEnd w:id="143"/>
    <w:p>
      <w:pPr>
        <w:ind w:left="10" w:right="7920" w:hanging="10"/>
        <w:spacing w:after="0" w:line="462" w:lineRule="auto"/>
        <w:tabs>
          <w:tab w:leader="none" w:pos="73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Common Stock</w:t>
      </w:r>
    </w:p>
    <w:p>
      <w:pPr>
        <w:spacing w:after="0" w:line="2" w:lineRule="exact"/>
        <w:rPr>
          <w:sz w:val="20"/>
          <w:szCs w:val="20"/>
          <w:color w:val="auto"/>
        </w:rPr>
      </w:pPr>
    </w:p>
    <w:p>
      <w:pPr>
        <w:ind w:left="10" w:right="24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Economic</w:t>
            </w:r>
          </w:p>
        </w:tc>
      </w:tr>
      <w:tr>
        <w:trPr>
          <w:trHeight w:val="217"/>
        </w:trPr>
        <w:tc>
          <w:tcPr>
            <w:tcW w:w="65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6"/>
                <w:szCs w:val="16"/>
                <w:b w:val="1"/>
                <w:bCs w:val="1"/>
                <w:color w:val="auto"/>
              </w:rPr>
              <w:t>Class of Common Stock</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Votes</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r>
      <w:tr>
        <w:trPr>
          <w:trHeight w:val="262"/>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A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B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C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D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654800" cy="2063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right="320"/>
        <w:spacing w:after="0" w:line="266" w:lineRule="auto"/>
        <w:rPr>
          <w:sz w:val="20"/>
          <w:szCs w:val="20"/>
          <w:color w:val="auto"/>
        </w:rPr>
      </w:pPr>
      <w:r>
        <w:rPr>
          <w:rFonts w:ascii="Times New Roman" w:cs="Times New Roman" w:eastAsia="Times New Roman" w:hAnsi="Times New Roman"/>
          <w:sz w:val="20"/>
          <w:szCs w:val="20"/>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55"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68"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0"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134</w:t>
      </w:r>
    </w:p>
    <w:p>
      <w:pPr>
        <w:sectPr>
          <w:pgSz w:w="12060" w:h="15660" w:orient="portrait"/>
          <w:cols w:equalWidth="0" w:num="1">
            <w:col w:w="10450"/>
          </w:cols>
          <w:pgMar w:left="810" w:top="741" w:right="800" w:bottom="0" w:gutter="0" w:footer="0" w:header="0"/>
          <w:type w:val="continuous"/>
        </w:sectPr>
      </w:pPr>
    </w:p>
    <w:bookmarkStart w:id="144" w:name="page145"/>
    <w:bookmarkEnd w:id="144"/>
    <w:p>
      <w:pPr>
        <w:ind w:left="10"/>
        <w:spacing w:after="0"/>
        <w:rPr>
          <w:sz w:val="20"/>
          <w:szCs w:val="20"/>
          <w:color w:val="auto"/>
        </w:rPr>
      </w:pPr>
      <w:r>
        <w:rPr>
          <w:rFonts w:ascii="Times New Roman" w:cs="Times New Roman" w:eastAsia="Times New Roman" w:hAnsi="Times New Roman"/>
          <w:sz w:val="20"/>
          <w:szCs w:val="20"/>
          <w:color w:val="auto"/>
        </w:rPr>
        <w:t>The following table details the movement in the Company’s outstanding shares of common stock during the period:</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12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Class D</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106,286,821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1,654,825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28,873,139</w:t>
            </w: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233,747,977</w:t>
            </w: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4,184,083</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1,596,352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(5,780,435)</w:t>
            </w:r>
          </w:p>
        </w:tc>
        <w:tc>
          <w:tcPr>
            <w:tcW w:w="60" w:type="dxa"/>
            <w:vAlign w:val="bottom"/>
          </w:tcPr>
          <w:p>
            <w:pPr>
              <w:spacing w:after="0"/>
              <w:rPr>
                <w:sz w:val="17"/>
                <w:szCs w:val="17"/>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1,622,769</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1,622,769</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(1,347,067)</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(1,347,067)</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110,746,606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3,251,177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23,092,704</w:t>
            </w: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234,023,679</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vMerge w:val="continue"/>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3,265,908</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14,748,823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(18,014,731)</w:t>
            </w:r>
          </w:p>
        </w:tc>
        <w:tc>
          <w:tcPr>
            <w:tcW w:w="60" w:type="dxa"/>
            <w:vAlign w:val="bottom"/>
          </w:tcPr>
          <w:p>
            <w:pPr>
              <w:spacing w:after="0"/>
              <w:rPr>
                <w:sz w:val="14"/>
                <w:szCs w:val="14"/>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1,564,003</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1,564,003</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(485,730)</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(485,730)</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115,090,787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5,077,973</w:t>
            </w: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235,101,952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vMerge w:val="continue"/>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4,435</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(4,435)</w:t>
            </w:r>
          </w:p>
        </w:tc>
        <w:tc>
          <w:tcPr>
            <w:tcW w:w="60" w:type="dxa"/>
            <w:vAlign w:val="bottom"/>
          </w:tcPr>
          <w:p>
            <w:pPr>
              <w:spacing w:after="0"/>
              <w:rPr>
                <w:sz w:val="14"/>
                <w:szCs w:val="14"/>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944,938</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944,938</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for business</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416,306</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416,306</w:t>
            </w:r>
          </w:p>
        </w:tc>
        <w:tc>
          <w:tcPr>
            <w:tcW w:w="0" w:type="dxa"/>
            <w:vAlign w:val="bottom"/>
          </w:tcPr>
          <w:p>
            <w:pPr>
              <w:spacing w:after="0"/>
              <w:rPr>
                <w:sz w:val="1"/>
                <w:szCs w:val="1"/>
                <w:color w:val="auto"/>
              </w:rPr>
            </w:pPr>
          </w:p>
        </w:tc>
      </w:tr>
      <w:tr>
        <w:trPr>
          <w:trHeight w:val="265"/>
        </w:trPr>
        <w:tc>
          <w:tcPr>
            <w:tcW w:w="392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 xml:space="preserve">acquisitions </w:t>
            </w:r>
            <w:r>
              <w:rPr>
                <w:rFonts w:ascii="Times New Roman" w:cs="Times New Roman" w:eastAsia="Times New Roman" w:hAnsi="Times New Roman"/>
                <w:sz w:val="26"/>
                <w:szCs w:val="26"/>
                <w:color w:val="auto"/>
                <w:vertAlign w:val="superscript"/>
              </w:rPr>
              <w:t>(1)(2)</w:t>
            </w:r>
          </w:p>
        </w:tc>
        <w:tc>
          <w:tcPr>
            <w:tcW w:w="12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9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(478,915)</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(478,915)</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115,977,551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5,073,538</w:t>
            </w: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235,984,281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-3707765</wp:posOffset>
            </wp:positionV>
            <wp:extent cx="6654800" cy="3714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2">
                      <a:extLst>
                        <a:ext uri="{28A0092B-C50C-407E-A947-70E740481C1C}"/>
                      </a:extLst>
                    </a:blip>
                    <a:srcRect/>
                    <a:stretch>
                      <a:fillRect/>
                    </a:stretch>
                  </pic:blipFill>
                  <pic:spPr bwMode="auto">
                    <a:xfrm>
                      <a:off x="0" y="0"/>
                      <a:ext cx="6654800" cy="3714750"/>
                    </a:xfrm>
                    <a:prstGeom prst="rect">
                      <a:avLst/>
                    </a:prstGeom>
                    <a:noFill/>
                  </pic:spPr>
                </pic:pic>
              </a:graphicData>
            </a:graphic>
          </wp:anchor>
        </w:drawing>
      </w:r>
    </w:p>
    <w:p>
      <w:pPr>
        <w:spacing w:after="0" w:line="100" w:lineRule="exact"/>
        <w:rPr>
          <w:sz w:val="20"/>
          <w:szCs w:val="20"/>
          <w:color w:val="auto"/>
        </w:rPr>
      </w:pPr>
    </w:p>
    <w:p>
      <w:pPr>
        <w:ind w:left="370" w:right="300" w:hanging="370"/>
        <w:spacing w:after="0" w:line="255" w:lineRule="auto"/>
        <w:tabs>
          <w:tab w:leader="none" w:pos="37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 See Note 4 – Acquisitions for additional details on this acquisition.</w:t>
      </w:r>
    </w:p>
    <w:p>
      <w:pPr>
        <w:spacing w:after="0" w:line="2" w:lineRule="exact"/>
        <w:rPr>
          <w:rFonts w:ascii="Times New Roman" w:cs="Times New Roman" w:eastAsia="Times New Roman" w:hAnsi="Times New Roman"/>
          <w:sz w:val="16"/>
          <w:szCs w:val="16"/>
          <w:color w:val="auto"/>
        </w:rPr>
      </w:pPr>
    </w:p>
    <w:p>
      <w:pPr>
        <w:ind w:left="370" w:right="20" w:hanging="370"/>
        <w:spacing w:after="0" w:line="252" w:lineRule="auto"/>
        <w:tabs>
          <w:tab w:leader="none" w:pos="37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the Corporation issued and sold 41,705 unregistered shares of Class A common stock in connection with the closing of the ICD Acquisition, in reliance on Section 4(a)(2)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1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LLC Interests</w:t>
      </w:r>
    </w:p>
    <w:p>
      <w:pPr>
        <w:spacing w:after="0" w:line="217"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The TWM LLC Agreement requires that TWM LLC at all times maintain (i) a one-to-one ratio between the number of shares of Class A common stock and Class B common stock issued by the Corporation and the number of LLC Interests owned by the Corporation (subject to certain exceptions contained in the TWM LLC Agreement) and (ii) a one-to-one ratio between the number of shares of Class C common stock and Class D common stock issued by the Corporation and the number of LLC Interests owned by the holders of such Class C common stock and Class D common stock. In August 2024, the Corporation issued 41,705 shares of Class A common stock as restricted stock, subject to vesting and forfeiture terms, pursuant to the Tradeweb Markets Inc. 2019 Omnibus Equity Incentive Plan. TWM LLC will issue corresponding LLC Interests to the Corporation only if, when and to the extent the restricted shares of Class A common stock vest. See Note 4 – Acquisitions.</w:t>
      </w:r>
    </w:p>
    <w:p>
      <w:pPr>
        <w:spacing w:after="0" w:line="173"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135</w:t>
      </w:r>
    </w:p>
    <w:p>
      <w:pPr>
        <w:sectPr>
          <w:pgSz w:w="12060" w:h="15660" w:orient="portrait"/>
          <w:cols w:equalWidth="0" w:num="1">
            <w:col w:w="10450"/>
          </w:cols>
          <w:pgMar w:left="810" w:top="748" w:right="800" w:bottom="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Redemptions and Exchanges of LLC Interests</w:t>
      </w:r>
    </w:p>
    <w:p>
      <w:pPr>
        <w:spacing w:after="0" w:line="21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Programs</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On February 4, 2021, the Company announced that its board of directors authorized a share repurchase program (the “2021 Share Repurchase Program”), primarily to offset annual dilution from stock-based compensation plans. The 2021 Share Repurchase Program authorized the purchase of up to $150.0 million of the Company’s Class A common stock at the Company’s discretion through the end of fiscal year 2023. The 2021 Share Repurchase Program was effected through regular open-market purchases (which included repurchase plans designed to comply with Rule 10b5-1). The amounts and timing of the repurchases were subject to general market conditions and the prevailing price and trading volumes of the Company’s Class A common stock. The 2021 Share Repurchase Program did not require the Company to acquire a specific number of shares and was able to be suspended, amended or discontinued at any time.</w:t>
      </w:r>
    </w:p>
    <w:p>
      <w:pPr>
        <w:spacing w:after="0" w:line="17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The Company began buying back shares pursuant to the 2021 Share Repurchase Program during the second quarter of 2021. During the year ended December 31, 2022, the Company acquired a total of 959,869 shares of Class A common stock, respectively, at an average price of $77.43, for purchases totaling $74.3 million, which completed the authorized repurchases pursuant to the 2021 Share Repurchase Program.</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December 5, 2022, the Company announced that its board of directors authorized a new share repurchase program (the “2022 Share Repurchase Program”),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years ended December 31, 2024, 2023 and 2022, the Company acquired a total of 478,915, 485,730 and 387,198 shares of Class A common stock, at an average price of $125.07, $72.48 and $64.57, respectively, for purchases totaling $59.9 million, $35.2 million and $25.0 million, respectively, pursuant to the 2022 Share Repurchase Program.</w:t>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repurchased pursuant to the 2021 and 2022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2024, a total of $179.9 million remained available for repurchase pursuant to the 2022 Share Repurchase Program.</w:t>
      </w:r>
    </w:p>
    <w:p>
      <w:pPr>
        <w:spacing w:after="0" w:line="16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For shares repurchased pursuant to the 2021 and 2022 Share Repurchase Programs, the excess of the repurchase price paid over the par value of the Class A common stock is recorded as a reduction to retained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Share Repurchases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years ended December 31, 2024, 2023 and 2022, the Company withheld 485,745, 715,101 and 1,074,467 shares,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of Class A common stock from employee stock option, PRSU and RSU awards, at an average price per share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$98.72, $72.02 and $94.64, respectively, and an aggregate value of $48.0 million, $51.5 million and $101.7 million, respectively,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the price of the Class A common stock on the date the relevant withholding occurred.</w:t>
      </w:r>
    </w:p>
    <w:p>
      <w:pPr>
        <w:spacing w:after="0" w:line="19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These shares are withheld in order for the Company to cover the employee payroll tax withholding obligations upon the exercise of stock options and settlement of RSUs and PRSUs and such shares were not withheld in connection with the share repurchase programs discussed above.</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060" w:h="15660" w:orient="portrait"/>
          <w:cols w:equalWidth="0" w:num="1">
            <w:col w:w="10420"/>
          </w:cols>
          <w:pgMar w:left="820" w:top="741" w:right="820" w:bottom="0" w:gutter="0" w:footer="0" w:header="0"/>
          <w:type w:val="continuous"/>
        </w:sectPr>
      </w:pPr>
    </w:p>
    <w:bookmarkStart w:id="146" w:name="page147"/>
    <w:bookmarkEnd w:id="146"/>
    <w:p>
      <w:pPr>
        <w:ind w:left="730" w:hanging="730"/>
        <w:spacing w:after="0"/>
        <w:tabs>
          <w:tab w:leader="none" w:pos="73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Non-Controlling Interests</w:t>
      </w:r>
    </w:p>
    <w:p>
      <w:pPr>
        <w:spacing w:after="0" w:line="217"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20"/>
          <w:szCs w:val="20"/>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Tradeweb Markets LLC:</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54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1"/>
        </w:trPr>
        <w:tc>
          <w:tcPr>
            <w:tcW w:w="5240" w:type="dxa"/>
            <w:vAlign w:val="bottom"/>
          </w:tcPr>
          <w:p>
            <w:pPr>
              <w:spacing w:after="0"/>
              <w:rPr>
                <w:sz w:val="14"/>
                <w:szCs w:val="14"/>
                <w:color w:val="auto"/>
              </w:rPr>
            </w:pPr>
          </w:p>
        </w:tc>
        <w:tc>
          <w:tcPr>
            <w:tcW w:w="124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40" w:type="dxa"/>
            <w:vAlign w:val="bottom"/>
          </w:tcPr>
          <w:p>
            <w:pPr>
              <w:jc w:val="right"/>
              <w:ind w:right="15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4"/>
                <w:szCs w:val="14"/>
                <w:color w:val="auto"/>
              </w:rPr>
            </w:pPr>
          </w:p>
        </w:tc>
        <w:tc>
          <w:tcPr>
            <w:tcW w:w="1240" w:type="dxa"/>
            <w:vAlign w:val="bottom"/>
          </w:tcPr>
          <w:p>
            <w:pPr>
              <w:jc w:val="right"/>
              <w:ind w:right="375"/>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60" w:type="dxa"/>
            <w:vAlign w:val="bottom"/>
          </w:tcPr>
          <w:p>
            <w:pPr>
              <w:jc w:val="right"/>
              <w:ind w:right="17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r>
      <w:tr>
        <w:trPr>
          <w:trHeight w:val="214"/>
        </w:trPr>
        <w:tc>
          <w:tcPr>
            <w:tcW w:w="5240" w:type="dxa"/>
            <w:vAlign w:val="bottom"/>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Tradeweb Markets Inc.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212,869,038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212,023,979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90.2 %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non-controlling interests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23,073,538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23,077,973</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LLC Interests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235,942,576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235,101,952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5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5810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3">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188"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55" w:lineRule="exact"/>
        <w:rPr>
          <w:sz w:val="20"/>
          <w:szCs w:val="20"/>
          <w:color w:val="auto"/>
        </w:rPr>
      </w:pPr>
    </w:p>
    <w:p>
      <w:pPr>
        <w:ind w:left="10" w:right="4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impact on Tradeweb Market Inc.’s equity due to changes in the Corporation’s ownership interest in TWM LLC:</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 and Transfers (to) from the Non-</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Controlling Interests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4"/>
        </w:trPr>
        <w:tc>
          <w:tcPr>
            <w:tcW w:w="6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20" w:type="dxa"/>
            <w:vAlign w:val="bottom"/>
            <w:gridSpan w:val="6"/>
          </w:tcPr>
          <w:p>
            <w:pPr>
              <w:jc w:val="center"/>
              <w:ind w:left="567"/>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309,338</w:t>
            </w:r>
          </w:p>
        </w:tc>
        <w:tc>
          <w:tcPr>
            <w:tcW w:w="0" w:type="dxa"/>
            <w:vAlign w:val="bottom"/>
          </w:tcPr>
          <w:p>
            <w:pPr>
              <w:spacing w:after="0"/>
              <w:rPr>
                <w:sz w:val="1"/>
                <w:szCs w:val="1"/>
                <w:color w:val="auto"/>
              </w:rPr>
            </w:pPr>
          </w:p>
        </w:tc>
      </w:tr>
      <w:tr>
        <w:trPr>
          <w:trHeight w:val="264"/>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Transfers (to) from non-controlling interests: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80" w:type="dxa"/>
            <w:vAlign w:val="bottom"/>
            <w:gridSpan w:val="2"/>
          </w:tcPr>
          <w:p>
            <w:pPr>
              <w:ind w:left="260"/>
              <w:spacing w:after="0" w:line="225" w:lineRule="exact"/>
              <w:rPr>
                <w:sz w:val="20"/>
                <w:szCs w:val="20"/>
                <w:color w:val="auto"/>
              </w:rPr>
            </w:pPr>
            <w:r>
              <w:rPr>
                <w:rFonts w:ascii="Times New Roman" w:cs="Times New Roman" w:eastAsia="Times New Roman" w:hAnsi="Times New Roman"/>
                <w:sz w:val="20"/>
                <w:szCs w:val="20"/>
                <w:color w:val="auto"/>
              </w:rPr>
              <w:t>Increase/(decrease) in Tradeweb Markets Inc.’s additional paid-in capital as</w:t>
            </w: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77,767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108,679</w:t>
            </w:r>
          </w:p>
        </w:tc>
        <w:tc>
          <w:tcPr>
            <w:tcW w:w="0" w:type="dxa"/>
            <w:vAlign w:val="bottom"/>
          </w:tcPr>
          <w:p>
            <w:pPr>
              <w:spacing w:after="0"/>
              <w:rPr>
                <w:sz w:val="1"/>
                <w:szCs w:val="1"/>
                <w:color w:val="auto"/>
              </w:rPr>
            </w:pPr>
          </w:p>
        </w:tc>
      </w:tr>
      <w:tr>
        <w:trPr>
          <w:trHeight w:val="264"/>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a result of ownership changes in TWM LLC</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Net transfers (to) from non-controlling interests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77,767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108,679</w:t>
            </w:r>
          </w:p>
        </w:tc>
        <w:tc>
          <w:tcPr>
            <w:tcW w:w="0" w:type="dxa"/>
            <w:vAlign w:val="bottom"/>
          </w:tcPr>
          <w:p>
            <w:pPr>
              <w:spacing w:after="0"/>
              <w:rPr>
                <w:sz w:val="1"/>
                <w:szCs w:val="1"/>
                <w:color w:val="auto"/>
              </w:rPr>
            </w:pPr>
          </w:p>
        </w:tc>
      </w:tr>
      <w:tr>
        <w:trPr>
          <w:trHeight w:val="181"/>
        </w:trPr>
        <w:tc>
          <w:tcPr>
            <w:tcW w:w="65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20"/>
                <w:szCs w:val="20"/>
                <w:color w:val="auto"/>
              </w:rPr>
              <w:t>Change from net income attributable to Tradeweb Markets Inc. and transfers</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500,658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442,633</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418,017</w:t>
            </w:r>
          </w:p>
        </w:tc>
        <w:tc>
          <w:tcPr>
            <w:tcW w:w="0" w:type="dxa"/>
            <w:vAlign w:val="bottom"/>
          </w:tcPr>
          <w:p>
            <w:pPr>
              <w:spacing w:after="0"/>
              <w:rPr>
                <w:sz w:val="1"/>
                <w:szCs w:val="1"/>
                <w:color w:val="auto"/>
              </w:rPr>
            </w:pPr>
          </w:p>
        </w:tc>
      </w:tr>
      <w:tr>
        <w:trPr>
          <w:trHeight w:val="244"/>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 from non-controlling interests</w:t>
            </w:r>
          </w:p>
        </w:tc>
        <w:tc>
          <w:tcPr>
            <w:tcW w:w="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6654800" cy="1171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4">
                      <a:extLst>
                        <a:ext uri="{28A0092B-C50C-407E-A947-70E740481C1C}"/>
                      </a:extLst>
                    </a:blip>
                    <a:srcRect/>
                    <a:stretch>
                      <a:fillRect/>
                    </a:stretch>
                  </pic:blipFill>
                  <pic:spPr bwMode="auto">
                    <a:xfrm>
                      <a:off x="0" y="0"/>
                      <a:ext cx="6654800" cy="1171575"/>
                    </a:xfrm>
                    <a:prstGeom prst="rect">
                      <a:avLst/>
                    </a:prstGeom>
                    <a:noFill/>
                  </pic:spPr>
                </pic:pic>
              </a:graphicData>
            </a:graphic>
          </wp:anchor>
        </w:drawing>
      </w:r>
    </w:p>
    <w:p>
      <w:pPr>
        <w:spacing w:after="0" w:line="181" w:lineRule="exact"/>
        <w:rPr>
          <w:sz w:val="20"/>
          <w:szCs w:val="20"/>
          <w:color w:val="auto"/>
        </w:rPr>
      </w:pPr>
    </w:p>
    <w:p>
      <w:pPr>
        <w:ind w:left="730" w:hanging="730"/>
        <w:spacing w:after="0"/>
        <w:tabs>
          <w:tab w:leader="none" w:pos="73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 Plans</w:t>
      </w:r>
    </w:p>
    <w:p>
      <w:pPr>
        <w:spacing w:after="0" w:line="217"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stock options, restricted stock units (“RSUs”), RSAs and dividend equivalent rights. The awards may have performance-based and/or time-based vesting conditions. Stock options have a maximum contractual term of 10 years.</w:t>
      </w:r>
    </w:p>
    <w:p>
      <w:pPr>
        <w:spacing w:after="0" w:line="164" w:lineRule="exact"/>
        <w:rPr>
          <w:sz w:val="20"/>
          <w:szCs w:val="20"/>
          <w:color w:val="auto"/>
        </w:rPr>
      </w:pPr>
    </w:p>
    <w:p>
      <w:pPr>
        <w:ind w:left="10" w:right="160"/>
        <w:spacing w:after="0" w:line="255" w:lineRule="auto"/>
        <w:rPr>
          <w:sz w:val="20"/>
          <w:szCs w:val="20"/>
          <w:color w:val="auto"/>
        </w:rPr>
      </w:pPr>
      <w:r>
        <w:rPr>
          <w:rFonts w:ascii="Times New Roman" w:cs="Times New Roman" w:eastAsia="Times New Roman" w:hAnsi="Times New Roman"/>
          <w:sz w:val="20"/>
          <w:szCs w:val="20"/>
          <w:color w:val="auto"/>
        </w:rPr>
        <w:t>In connection with organizational changes, on June 17, 2024, the Company determined that the employment of Thomas Pluta, former President of the Company, would terminate effective September 30, 2024. As of June 17, 2024, there was approximately $4.4 million in total unamortized stock-based compensation associated with equity awards previously granted to Mr. Pluta that was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w:t>
      </w:r>
    </w:p>
    <w:p>
      <w:pPr>
        <w:spacing w:after="0" w:line="170" w:lineRule="exact"/>
        <w:rPr>
          <w:sz w:val="20"/>
          <w:szCs w:val="20"/>
          <w:color w:val="auto"/>
        </w:rPr>
      </w:pPr>
    </w:p>
    <w:p>
      <w:pPr>
        <w:ind w:left="10" w:right="220"/>
        <w:spacing w:after="0" w:line="275" w:lineRule="auto"/>
        <w:rPr>
          <w:sz w:val="20"/>
          <w:szCs w:val="20"/>
          <w:color w:val="auto"/>
        </w:rPr>
      </w:pPr>
      <w:r>
        <w:rPr>
          <w:rFonts w:ascii="Times New Roman" w:cs="Times New Roman" w:eastAsia="Times New Roman" w:hAnsi="Times New Roman"/>
          <w:sz w:val="19"/>
          <w:szCs w:val="19"/>
          <w:color w:val="auto"/>
        </w:rPr>
        <w:t>On February 16, 2022, the Company announced that Mr. Olesky would retire as Chief Executive Officer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w:t>
      </w:r>
    </w:p>
    <w:p>
      <w:pPr>
        <w:sectPr>
          <w:pgSz w:w="12060" w:h="15660" w:orient="portrait"/>
          <w:cols w:equalWidth="0" w:num="1">
            <w:col w:w="10450"/>
          </w:cols>
          <w:pgMar w:left="810" w:top="741" w:right="800" w:bottom="0" w:gutter="0" w:footer="0" w:header="0"/>
        </w:sectPr>
      </w:pPr>
    </w:p>
    <w:p>
      <w:pPr>
        <w:spacing w:after="0" w:line="3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137</w:t>
      </w:r>
    </w:p>
    <w:p>
      <w:pPr>
        <w:sectPr>
          <w:pgSz w:w="12060" w:h="15660" w:orient="portrait"/>
          <w:cols w:equalWidth="0" w:num="1">
            <w:col w:w="10450"/>
          </w:cols>
          <w:pgMar w:left="810" w:top="741" w:right="800" w:bottom="0" w:gutter="0" w:footer="0" w:header="0"/>
          <w:type w:val="continuous"/>
        </w:sectPr>
      </w:pPr>
    </w:p>
    <w:bookmarkStart w:id="147" w:name="page148"/>
    <w:bookmarkEnd w:id="147"/>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were granted to Mr. Olesky and immediately recognized into expense upon grant. During the year ended December 31, 2022, the Company recorded a total of $15.0 million in accelerated stock-based compensation expenses and related payroll that would not have been recognized if Mr. Olesky had not announced his retirement.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PRSU</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Performance-based restricted stock units that are promises to issue actual shares of Class A common stock based on the financial performance of the Company are referred to as “PRSUs”. PRSUs generally cliff vest on January 1 of the third calendar year from the calendar year of the date of grant. The fair value of PRSUs is calculated on the grant date using the stock price of the Class A common stock. The number of shares a participant will receive upon vesting is determined by a performance modifier, which is adjusted as a result of the financial performance of the Company. For PRSU awards granted during 2024, the financial performance of the Company will be determined based on the compound annual growth rate over a three-year performance period beginning on January 1 in the year of grant. For PRSU awards granted during 2023 and prior, the financial performance of the Company was determined based on the financial performance of the Company in the grant year, and any earned awards that remain outstanding are subject to time-based vesting conditions. The performance modifier for PRSUs can vary between 0% (minimum) and 250% (maximum) of the target (100%) award amount for PRSU awards granted during 2024 and 2023. PRSUs granted during 2022 and prior had a 200% maximum performance modifier.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PRSUs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Grant-Date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PRSUs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PRSUs outstanding at December 31, 2023</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1,271,913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74.34</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201,546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104.66</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(396,518)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74.30</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Performance adjustment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69.56</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80.10</w:t>
            </w:r>
          </w:p>
        </w:tc>
        <w:tc>
          <w:tcPr>
            <w:tcW w:w="0" w:type="dxa"/>
            <w:vAlign w:val="bottom"/>
          </w:tcPr>
          <w:p>
            <w:pPr>
              <w:spacing w:after="0"/>
              <w:rPr>
                <w:sz w:val="1"/>
                <w:szCs w:val="1"/>
                <w:color w:val="auto"/>
              </w:rPr>
            </w:pP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PRSUs outstanding at December 31, 2024</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1,041,538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80.03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PRSU awards: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gridSpan w:val="6"/>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PRSU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35,707</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30,645</w:t>
            </w:r>
          </w:p>
        </w:tc>
        <w:tc>
          <w:tcPr>
            <w:tcW w:w="0" w:type="dxa"/>
            <w:vAlign w:val="bottom"/>
          </w:tcPr>
          <w:p>
            <w:pPr>
              <w:spacing w:after="0"/>
              <w:rPr>
                <w:sz w:val="1"/>
                <w:szCs w:val="1"/>
                <w:color w:val="auto"/>
              </w:rPr>
            </w:pP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(9,960)</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-2642235</wp:posOffset>
            </wp:positionV>
            <wp:extent cx="6654800" cy="1123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5">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387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6">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PRSUs granted during the years ended December 31, 2023 and 2022 was $69.56 and $83.74, respectively.</w:t>
      </w:r>
    </w:p>
    <w:p>
      <w:pPr>
        <w:spacing w:after="0" w:line="14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The total fair value of PRSUs vested during the years ended December 31, 2024, 2023 and 2022 was $35.4 million, $46.2 million and $152.8 million, respectively.</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060" w:h="15660" w:orient="portrait"/>
          <w:cols w:equalWidth="0" w:num="1">
            <w:col w:w="10440"/>
          </w:cols>
          <w:pgMar w:left="820" w:top="748" w:right="80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i w:val="1"/>
          <w:iCs w:val="1"/>
          <w:color w:val="auto"/>
        </w:rPr>
        <w:t>PSU</w:t>
      </w:r>
    </w:p>
    <w:p>
      <w:pPr>
        <w:spacing w:after="0" w:line="2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Performance-based restricted stock units that are promises to issue actual shares of Class A common stock based on market conditions are referred to as “PSUs”. PSUs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the PSUs granted on March 15, 2024 and 2023 was estimated using the Monte Carlo simulation model and is recognized as compensation expense on a straight-line basis over the vesting period for the entire award, regardless of the number of shares received by the participant at vesting.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PSUs is presented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Grant-Date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PSUs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PSUs outstanding at December 31, 2023</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98.33</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149.00</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Performance adjustment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118.97</w:t>
            </w:r>
          </w:p>
        </w:tc>
        <w:tc>
          <w:tcPr>
            <w:tcW w:w="0" w:type="dxa"/>
            <w:vAlign w:val="bottom"/>
          </w:tcPr>
          <w:p>
            <w:pPr>
              <w:spacing w:after="0"/>
              <w:rPr>
                <w:sz w:val="1"/>
                <w:szCs w:val="1"/>
                <w:color w:val="auto"/>
              </w:rPr>
            </w:pP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PSUs outstanding at December 31, 2024</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312,058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110.69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PSU awards: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6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gridSpan w:val="6"/>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PSU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-2569210</wp:posOffset>
            </wp:positionV>
            <wp:extent cx="6654800" cy="11239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7">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387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8">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weighted-average grant-date fair value of PSUs granted during the year ended December 31, 2023 was $98.33. There were no PSUs granted during the year ended December 31,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PSUs vested during the years ended December 31, 2023 and 2022.</w:t>
      </w:r>
    </w:p>
    <w:p>
      <w:pPr>
        <w:spacing w:after="0" w:line="2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significant assumptions used to estimate the fair value of PSUs estimated using the Monte Carlo simulation model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15, 2024</w:t>
            </w:r>
          </w:p>
        </w:tc>
        <w:tc>
          <w:tcPr>
            <w:tcW w:w="6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March 15, 2023</w:t>
            </w:r>
          </w:p>
        </w:tc>
      </w:tr>
      <w:tr>
        <w:trPr>
          <w:trHeight w:val="217"/>
        </w:trPr>
        <w:tc>
          <w:tcPr>
            <w:tcW w:w="7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PSU Grant</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PSU Grant</w:t>
            </w:r>
          </w:p>
        </w:tc>
      </w:tr>
      <w:tr>
        <w:trPr>
          <w:trHeight w:val="262"/>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Maturity (years)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5"/>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Annualized Volatility</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28.81 %</w:t>
            </w:r>
          </w:p>
        </w:tc>
      </w:tr>
      <w:tr>
        <w:trPr>
          <w:trHeight w:val="285"/>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5683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9">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p>
      <w:pPr>
        <w:spacing w:after="0" w:line="21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w:t>
      </w:r>
    </w:p>
    <w:p>
      <w:pPr>
        <w:spacing w:after="0" w:line="154"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9"/>
          <w:szCs w:val="19"/>
          <w:color w:val="auto"/>
        </w:rPr>
        <w:t>The grant-date fair value of the time-based options related to the Special Option Award and the July 2019 Grants are amortized into expense over the requisite service period on a straight-line basis, with each tranche separately measured. The grant-date fair</w:t>
      </w:r>
    </w:p>
    <w:p>
      <w:pPr>
        <w:sectPr>
          <w:pgSz w:w="12060" w:h="15660" w:orient="portrait"/>
          <w:cols w:equalWidth="0" w:num="1">
            <w:col w:w="10440"/>
          </w:cols>
          <w:pgMar w:left="820" w:top="744" w:right="80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139</w:t>
      </w:r>
    </w:p>
    <w:p>
      <w:pPr>
        <w:sectPr>
          <w:pgSz w:w="12060" w:h="15660" w:orient="portrait"/>
          <w:cols w:equalWidth="0" w:num="1">
            <w:col w:w="10440"/>
          </w:cols>
          <w:pgMar w:left="820" w:top="744" w:right="800" w:bottom="0" w:gutter="0" w:footer="0" w:header="0"/>
          <w:type w:val="continuous"/>
        </w:sectPr>
      </w:pPr>
    </w:p>
    <w:bookmarkStart w:id="149" w:name="page150"/>
    <w:bookmarkEnd w:id="149"/>
    <w:p>
      <w:pPr>
        <w:ind w:right="20"/>
        <w:spacing w:after="0" w:line="286" w:lineRule="auto"/>
        <w:rPr>
          <w:sz w:val="20"/>
          <w:szCs w:val="20"/>
          <w:color w:val="auto"/>
        </w:rPr>
      </w:pPr>
      <w:r>
        <w:rPr>
          <w:rFonts w:ascii="Times New Roman" w:cs="Times New Roman" w:eastAsia="Times New Roman" w:hAnsi="Times New Roman"/>
          <w:sz w:val="20"/>
          <w:szCs w:val="20"/>
          <w:color w:val="auto"/>
        </w:rPr>
        <w:t>value of the time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December 2019 Grants are amortized into expense on a straight-line basis over the requisite service period for the entire award.</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condition. If in a reporting period it is determined that the achievement of a performance target for a performance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tranche is not probable, then no expense is recognized for that tranche and any expenses already recognized relating to that tranche in prior reporting periods are reversed in the current reporting period.</w:t>
      </w:r>
    </w:p>
    <w:p>
      <w:pPr>
        <w:spacing w:after="0" w:line="16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auto"/>
        </w:rPr>
        <w:t>The Company can elect to net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options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7"/>
        </w:trPr>
        <w:tc>
          <w:tcPr>
            <w:tcW w:w="6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2023</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1,012,176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24.37</w:t>
            </w: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Exercised</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(669,165)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26.31</w:t>
            </w: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Expired</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2024</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343,011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20.59</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9"/>
        </w:trPr>
        <w:tc>
          <w:tcPr>
            <w:tcW w:w="6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options outstanding as of December 31, 2024 were fully vested and exercisable.</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options awards: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6"/>
        </w:trPr>
        <w:tc>
          <w:tcPr>
            <w:tcW w:w="6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20"/>
        </w:trPr>
        <w:tc>
          <w:tcPr>
            <w:tcW w:w="6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74"/>
        </w:trPr>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gridSpan w:val="6"/>
          </w:tcPr>
          <w:p>
            <w:pPr>
              <w:jc w:val="center"/>
              <w:ind w:left="68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40" w:type="dxa"/>
            <w:vAlign w:val="bottom"/>
          </w:tcPr>
          <w:p>
            <w:pPr>
              <w:spacing w:after="0"/>
              <w:rPr>
                <w:sz w:val="23"/>
                <w:szCs w:val="23"/>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compensation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2,097</w:t>
            </w: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-2721610</wp:posOffset>
            </wp:positionV>
            <wp:extent cx="6654800" cy="11239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20">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options granted during the years ended December 31, 2023 and 2022.</w:t>
      </w:r>
    </w:p>
    <w:p>
      <w:pPr>
        <w:spacing w:after="0" w:line="21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The total intrinsic value of options exercised during the years ended December 31, 2024, 2023 and 2022 was $53.3 million, $77.4 million and $59.3 million, respectively.</w:t>
      </w:r>
    </w:p>
    <w:p>
      <w:pPr>
        <w:spacing w:after="0" w:line="14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The total intrinsic value of all options outstanding as of December 31, 2024 was $37.8 million. The weighted average remaining contractual life of all options outstanding as of December 31, 2024 was 3.8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RSUs and RSAs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RSUs are promises to issue shares of Class A common stock at the end of a vesting period. RSAs are issued shares of restricted Class A common stock that are released to an employee at the end of a vesting period. RSUs granted to employees generally vest one-third each year over a three-year period. RSAs vest at the end of a two-year period. RSUs granted to non-employee directors generally vest after one year. The fair value of RSUs and RSAs is calculated on the grant date using the stock price of the Class A common stock. The grant-date fair value of RSUs and RSAs is amortized into expense on a straight-line basis over the requisite service period for the entire award, with compensation cost recognized to date at least equal to the measured cost of vested tranches.</w:t>
      </w:r>
    </w:p>
    <w:p>
      <w:pPr>
        <w:sectPr>
          <w:pgSz w:w="12060" w:h="15660" w:orient="portrait"/>
          <w:cols w:equalWidth="0" w:num="1">
            <w:col w:w="10440"/>
          </w:cols>
          <w:pgMar w:left="820" w:top="7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140</w:t>
      </w:r>
    </w:p>
    <w:p>
      <w:pPr>
        <w:sectPr>
          <w:pgSz w:w="12060" w:h="15660" w:orient="portrait"/>
          <w:cols w:equalWidth="0" w:num="1">
            <w:col w:w="10440"/>
          </w:cols>
          <w:pgMar w:left="820" w:top="744" w:right="800" w:bottom="0" w:gutter="0" w:footer="0" w:header="0"/>
          <w:type w:val="continuous"/>
        </w:sectPr>
      </w:pPr>
    </w:p>
    <w:bookmarkStart w:id="150" w:name="page151"/>
    <w:bookmarkEnd w:id="150"/>
    <w:p>
      <w:pPr>
        <w:ind w:left="10"/>
        <w:spacing w:after="0"/>
        <w:rPr>
          <w:sz w:val="20"/>
          <w:szCs w:val="20"/>
          <w:color w:val="auto"/>
        </w:rPr>
      </w:pPr>
      <w:r>
        <w:rPr>
          <w:rFonts w:ascii="Times New Roman" w:cs="Times New Roman" w:eastAsia="Times New Roman" w:hAnsi="Times New Roman"/>
          <w:sz w:val="20"/>
          <w:szCs w:val="20"/>
          <w:color w:val="auto"/>
        </w:rPr>
        <w:t>A summary of the Company’s outstanding RSUs and RSAs is presented below:</w:t>
      </w:r>
    </w:p>
    <w:p>
      <w:pPr>
        <w:spacing w:after="0" w:line="294" w:lineRule="exact"/>
        <w:rPr>
          <w:sz w:val="20"/>
          <w:szCs w:val="20"/>
          <w:color w:val="auto"/>
        </w:rPr>
      </w:pPr>
    </w:p>
    <w:tbl>
      <w:tblPr>
        <w:tblLayout w:type="fixed"/>
        <w:tblInd w:w="5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Grant-Date</w:t>
            </w:r>
          </w:p>
        </w:tc>
      </w:tr>
      <w:tr>
        <w:trPr>
          <w:trHeight w:val="217"/>
        </w:trPr>
        <w:tc>
          <w:tcPr>
            <w:tcW w:w="7840" w:type="dxa"/>
            <w:vAlign w:val="bottom"/>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RSU and RSAs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6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RSUs outstanding at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1,023,384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73.35</w:t>
            </w:r>
          </w:p>
        </w:tc>
      </w:tr>
      <w:tr>
        <w:trPr>
          <w:trHeight w:val="310"/>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Granted</w:t>
            </w:r>
            <w:r>
              <w:rPr>
                <w:rFonts w:ascii="Times New Roman" w:cs="Times New Roman" w:eastAsia="Times New Roman" w:hAnsi="Times New Roman"/>
                <w:sz w:val="26"/>
                <w:szCs w:val="26"/>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610,477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106.45</w:t>
            </w:r>
          </w:p>
        </w:tc>
      </w:tr>
      <w:tr>
        <w:trPr>
          <w:trHeight w:val="260"/>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(467,214)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74.52</w:t>
            </w:r>
          </w:p>
        </w:tc>
      </w:tr>
      <w:tr>
        <w:trPr>
          <w:trHeight w:val="288"/>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86.00</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RSUs and RSAs outstanding at December 31,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1,163,899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90.21</w:t>
            </w:r>
          </w:p>
        </w:tc>
      </w:tr>
      <w:tr>
        <w:trPr>
          <w:trHeight w:val="20"/>
        </w:trPr>
        <w:tc>
          <w:tcPr>
            <w:tcW w:w="7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942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2">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pacing w:after="0" w:line="100" w:lineRule="exact"/>
        <w:rPr>
          <w:sz w:val="20"/>
          <w:szCs w:val="20"/>
          <w:color w:val="auto"/>
        </w:rPr>
      </w:pPr>
    </w:p>
    <w:p>
      <w:pPr>
        <w:ind w:left="350" w:hanging="350"/>
        <w:spacing w:after="0"/>
        <w:tabs>
          <w:tab w:leader="none" w:pos="35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closing of the ICD Acquisition, on August 1, 2024, the Corporation issued and sold 41,705 RSAs with a grant date fair value of</w:t>
      </w:r>
    </w:p>
    <w:p>
      <w:pPr>
        <w:spacing w:after="0" w:line="24" w:lineRule="exact"/>
        <w:rPr>
          <w:rFonts w:ascii="Times New Roman" w:cs="Times New Roman" w:eastAsia="Times New Roman" w:hAnsi="Times New Roman"/>
          <w:sz w:val="16"/>
          <w:szCs w:val="16"/>
          <w:color w:val="auto"/>
        </w:rPr>
      </w:pPr>
    </w:p>
    <w:p>
      <w:pPr>
        <w:ind w:left="370" w:right="4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$111.68 per share. The RSAs issued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information about RSU and RSA awards: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20" w:type="dxa"/>
            <w:vAlign w:val="bottom"/>
            <w:gridSpan w:val="6"/>
          </w:tcPr>
          <w:p>
            <w:pPr>
              <w:jc w:val="center"/>
              <w:ind w:left="53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RSU and RSA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33,902</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3">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jc w:val="both"/>
        <w:ind w:left="10" w:right="4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RSUs granted during the years ended December 31, 2023 and 2022 was $69.70 and $80.27, respectively. There were no RSAs granted during the years ended December 31, 2023 and 2022.</w:t>
      </w:r>
    </w:p>
    <w:p>
      <w:pPr>
        <w:spacing w:after="0" w:line="141" w:lineRule="exact"/>
        <w:rPr>
          <w:sz w:val="20"/>
          <w:szCs w:val="20"/>
          <w:color w:val="auto"/>
        </w:rPr>
      </w:pPr>
    </w:p>
    <w:p>
      <w:pPr>
        <w:ind w:left="10" w:right="200"/>
        <w:spacing w:after="0" w:line="309" w:lineRule="auto"/>
        <w:rPr>
          <w:sz w:val="20"/>
          <w:szCs w:val="20"/>
          <w:color w:val="auto"/>
        </w:rPr>
      </w:pPr>
      <w:r>
        <w:rPr>
          <w:rFonts w:ascii="Times New Roman" w:cs="Times New Roman" w:eastAsia="Times New Roman" w:hAnsi="Times New Roman"/>
          <w:sz w:val="19"/>
          <w:szCs w:val="19"/>
          <w:color w:val="auto"/>
        </w:rPr>
        <w:t>The total fair value of RSUs vested during the years ended December 31, 2024, 2023 and 2022 was $48.2 million, $30.7 million and $25.6 million, respectively. There were no RSAs vested during the years ended December 31, 2024, 2023 and 2022.</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Compensation Expense</w:t>
      </w:r>
    </w:p>
    <w:p>
      <w:pPr>
        <w:spacing w:after="0" w:line="214"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The Company records stock-based compensation expense for employees and directors in the consolidated statements of income, as a component of employee compensation and benefits. A summary of the Company’s total stock-based compensation expense relating to its PRSUs, PSUs, RSUs, RSAs and options, including the accelerated stock-based compensation expense discussed above, is presented below:</w:t>
      </w:r>
    </w:p>
    <w:p>
      <w:pPr>
        <w:spacing w:after="0" w:line="238"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89,649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66,644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right="180"/>
        <w:spacing w:after="0" w:line="309" w:lineRule="auto"/>
        <w:rPr>
          <w:sz w:val="20"/>
          <w:szCs w:val="20"/>
          <w:color w:val="auto"/>
        </w:rPr>
      </w:pPr>
      <w:r>
        <w:rPr>
          <w:rFonts w:ascii="Times New Roman" w:cs="Times New Roman" w:eastAsia="Times New Roman" w:hAnsi="Times New Roman"/>
          <w:sz w:val="19"/>
          <w:szCs w:val="19"/>
          <w:color w:val="auto"/>
        </w:rPr>
        <w:t>The stock-based compensation expense above excludes $2.3 million, $1.5 million and $0.9 million of stock-based compensation expense capitalized to software development costs during the years ended December 31, 2024, 2023 and 2022, respectively.</w:t>
      </w:r>
    </w:p>
    <w:p>
      <w:pPr>
        <w:spacing w:after="0" w:line="117"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related to unvested stock-based compensation arrangements and the expected recognition period are as follows:</w:t>
      </w:r>
    </w:p>
    <w:p>
      <w:pPr>
        <w:spacing w:after="0" w:line="19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PRSUs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PSUs</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274"/>
        </w:trPr>
        <w:tc>
          <w:tcPr>
            <w:tcW w:w="5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unrecognized compensation cost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48,108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15,285</w:t>
            </w:r>
          </w:p>
        </w:tc>
        <w:tc>
          <w:tcPr>
            <w:tcW w:w="98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58,207</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recognition period (in years)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5">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141</w:t>
      </w:r>
    </w:p>
    <w:p>
      <w:pPr>
        <w:sectPr>
          <w:pgSz w:w="12060" w:h="15660" w:orient="portrait"/>
          <w:cols w:equalWidth="0" w:num="1">
            <w:col w:w="10450"/>
          </w:cols>
          <w:pgMar w:left="810" w:top="748" w:right="800" w:bottom="0" w:gutter="0" w:footer="0" w:header="0"/>
          <w:type w:val="continuous"/>
        </w:sectPr>
      </w:pPr>
    </w:p>
    <w:bookmarkStart w:id="151" w:name="page152"/>
    <w:bookmarkEnd w:id="151"/>
    <w:p>
      <w:pPr>
        <w:ind w:left="730" w:hanging="730"/>
        <w:spacing w:after="0"/>
        <w:tabs>
          <w:tab w:leader="none" w:pos="73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Company enters into transactions with its affiliates from time to time which are considered to be related party transactions.</w:t>
      </w:r>
    </w:p>
    <w:p>
      <w:pPr>
        <w:spacing w:after="0" w:line="222"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auto"/>
        </w:rPr>
        <w:t>As of December 31, 2024 and 2023, the following balances with such affiliates were included in the consolidated statements of financial condition in the following line items: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6654800" cy="11112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6">
                      <a:extLst>
                        <a:ext uri="{28A0092B-C50C-407E-A947-70E740481C1C}"/>
                      </a:extLst>
                    </a:blip>
                    <a:srcRect/>
                    <a:stretch>
                      <a:fillRect/>
                    </a:stretch>
                  </pic:blipFill>
                  <pic:spPr bwMode="auto">
                    <a:xfrm>
                      <a:off x="0" y="0"/>
                      <a:ext cx="6654800" cy="1111250"/>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Receivable and due from affiliates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Other assets</w:t>
      </w:r>
    </w:p>
    <w:p>
      <w:pPr>
        <w:spacing w:after="0" w:line="55" w:lineRule="exact"/>
        <w:rPr>
          <w:sz w:val="20"/>
          <w:szCs w:val="20"/>
          <w:color w:val="auto"/>
        </w:rPr>
      </w:pPr>
    </w:p>
    <w:p>
      <w:pPr>
        <w:ind w:left="50" w:right="2660"/>
        <w:spacing w:after="0" w:line="297" w:lineRule="auto"/>
        <w:rPr>
          <w:sz w:val="20"/>
          <w:szCs w:val="20"/>
          <w:color w:val="auto"/>
        </w:rPr>
      </w:pPr>
      <w:r>
        <w:rPr>
          <w:rFonts w:ascii="Times New Roman" w:cs="Times New Roman" w:eastAsia="Times New Roman" w:hAnsi="Times New Roman"/>
          <w:sz w:val="20"/>
          <w:szCs w:val="20"/>
          <w:color w:val="auto"/>
        </w:rPr>
        <w:t>Accounts payable, accrued expenses and other liabilities Deferred revenue</w:t>
      </w:r>
    </w:p>
    <w:p>
      <w:pPr>
        <w:spacing w:after="0" w:line="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Payable and due to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26670</wp:posOffset>
                </wp:positionV>
                <wp:extent cx="161925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pt" to="124.5pt,2.1pt" o:allowincell="f" strokecolor="#000000" strokeweight="1pt"/>
            </w:pict>
          </mc:Fallback>
        </mc:AlternateContent>
      </w:r>
    </w:p>
    <w:p>
      <w:pPr>
        <w:spacing w:after="0" w:line="36" w:lineRule="exact"/>
        <w:rPr>
          <w:sz w:val="20"/>
          <w:szCs w:val="20"/>
          <w:color w:val="auto"/>
        </w:rPr>
      </w:pPr>
    </w:p>
    <w:p>
      <w:pPr>
        <w:jc w:val="both"/>
        <w:ind w:left="40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26670</wp:posOffset>
                </wp:positionV>
                <wp:extent cx="79057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pt" to="59.2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26670</wp:posOffset>
                </wp:positionV>
                <wp:extent cx="79057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2.1pt" to="124.5pt,2.1pt" o:allowincell="f" strokecolor="#000000" strokeweight="1pt"/>
            </w:pict>
          </mc:Fallback>
        </mc:AlternateContent>
      </w:r>
    </w:p>
    <w:p>
      <w:pPr>
        <w:spacing w:after="0" w:line="9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4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w:t>
            </w:r>
          </w:p>
        </w:tc>
      </w:tr>
      <w:tr>
        <w:trPr>
          <w:trHeight w:val="285"/>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8,094</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85"/>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5"/>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r>
      <w:tr>
        <w:trPr>
          <w:trHeight w:val="285"/>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6,508</w:t>
            </w:r>
          </w:p>
        </w:tc>
      </w:tr>
      <w:tr>
        <w:trPr>
          <w:trHeight w:val="285"/>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w:t>
            </w:r>
          </w:p>
        </w:tc>
      </w:tr>
    </w:tbl>
    <w:p>
      <w:pPr>
        <w:spacing w:after="0" w:line="200" w:lineRule="exact"/>
        <w:rPr>
          <w:sz w:val="20"/>
          <w:szCs w:val="20"/>
          <w:color w:val="auto"/>
        </w:rPr>
      </w:pPr>
    </w:p>
    <w:p>
      <w:pPr>
        <w:sectPr>
          <w:pgSz w:w="12060" w:h="15660" w:orient="portrait"/>
          <w:cols w:equalWidth="0" w:num="2">
            <w:col w:w="7230" w:space="720"/>
            <w:col w:w="2500"/>
          </w:cols>
          <w:pgMar w:left="810" w:top="741" w:right="800" w:bottom="0" w:gutter="0" w:footer="0" w:header="0"/>
          <w:type w:val="continuous"/>
        </w:sectPr>
      </w:pP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following balances with such affiliates were included in the consolidated statements of income in the following line items:</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6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Subscription fees</w:t>
      </w:r>
    </w:p>
    <w:p>
      <w:pPr>
        <w:spacing w:after="0" w:line="36"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 xml:space="preserve">LSEG market data fees </w:t>
      </w:r>
      <w:r>
        <w:rPr>
          <w:rFonts w:ascii="Times New Roman" w:cs="Times New Roman" w:eastAsia="Times New Roman" w:hAnsi="Times New Roman"/>
          <w:sz w:val="26"/>
          <w:szCs w:val="26"/>
          <w:color w:val="auto"/>
          <w:vertAlign w:val="superscript"/>
        </w:rPr>
        <w:t>(1)</w:t>
      </w:r>
    </w:p>
    <w:p>
      <w:pPr>
        <w:spacing w:after="0" w:line="2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Other fees</w:t>
      </w:r>
    </w:p>
    <w:p>
      <w:pPr>
        <w:spacing w:after="0" w:line="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6"/>
          <w:szCs w:val="26"/>
          <w:b w:val="1"/>
          <w:bCs w:val="1"/>
          <w:color w:val="auto"/>
          <w:vertAlign w:val="superscript"/>
        </w:rPr>
        <w:t>(2)</w:t>
      </w:r>
    </w:p>
    <w:p>
      <w:pPr>
        <w:spacing w:after="0" w:line="3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9"/>
          <w:szCs w:val="19"/>
          <w:color w:val="auto"/>
        </w:rPr>
        <w:t>Employee compensation and benefits</w:t>
      </w:r>
    </w:p>
    <w:p>
      <w:pPr>
        <w:spacing w:after="0" w:line="4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Technology and communications</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General and administrative</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Professional fees</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Occupancy</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44792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7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192.5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573"/>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1,308</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82,145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62,721</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464</w:t>
            </w:r>
          </w:p>
        </w:tc>
      </w:tr>
      <w:tr>
        <w:trPr>
          <w:trHeight w:val="570"/>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613</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4,713</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291</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w:t>
            </w:r>
          </w:p>
        </w:tc>
      </w:tr>
      <w:tr>
        <w:trPr>
          <w:trHeight w:val="285"/>
        </w:trPr>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-1813560</wp:posOffset>
            </wp:positionV>
            <wp:extent cx="6654800" cy="18351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7">
                      <a:extLst>
                        <a:ext uri="{28A0092B-C50C-407E-A947-70E740481C1C}"/>
                      </a:extLst>
                    </a:blip>
                    <a:srcRect/>
                    <a:stretch>
                      <a:fillRect/>
                    </a:stretch>
                  </pic:blipFill>
                  <pic:spPr bwMode="auto">
                    <a:xfrm>
                      <a:off x="0" y="0"/>
                      <a:ext cx="6654800" cy="1835150"/>
                    </a:xfrm>
                    <a:prstGeom prst="rect">
                      <a:avLst/>
                    </a:prstGeom>
                    <a:noFill/>
                  </pic:spPr>
                </pic:pic>
              </a:graphicData>
            </a:graphic>
          </wp:anchor>
        </w:drawing>
      </w:r>
    </w:p>
    <w:p>
      <w:pPr>
        <w:spacing w:after="0" w:line="163" w:lineRule="exact"/>
        <w:rPr>
          <w:sz w:val="20"/>
          <w:szCs w:val="20"/>
          <w:color w:val="auto"/>
        </w:rPr>
      </w:pPr>
    </w:p>
    <w:p>
      <w:pPr>
        <w:sectPr>
          <w:pgSz w:w="12060" w:h="15660" w:orient="portrait"/>
          <w:cols w:equalWidth="0" w:num="2">
            <w:col w:w="5870" w:space="720"/>
            <w:col w:w="3860"/>
          </w:cols>
          <w:pgMar w:left="810" w:top="741" w:right="800" w:bottom="0" w:gutter="0" w:footer="0" w:header="0"/>
          <w:type w:val="continuous"/>
        </w:sectPr>
      </w:pPr>
    </w:p>
    <w:p>
      <w:pPr>
        <w:ind w:left="370" w:right="280" w:hanging="370"/>
        <w:spacing w:after="0" w:line="261" w:lineRule="auto"/>
        <w:tabs>
          <w:tab w:leader="none" w:pos="3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70" w:right="600" w:hanging="370"/>
        <w:spacing w:after="0" w:line="260" w:lineRule="auto"/>
        <w:tabs>
          <w:tab w:leader="none" w:pos="3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agreements with LSEG to provide the Company with certain market data, office space, finance, human resources and other administrative services.</w:t>
      </w:r>
    </w:p>
    <w:p>
      <w:pPr>
        <w:spacing w:after="0" w:line="157" w:lineRule="exact"/>
        <w:rPr>
          <w:sz w:val="20"/>
          <w:szCs w:val="20"/>
          <w:color w:val="auto"/>
        </w:rPr>
      </w:pPr>
    </w:p>
    <w:p>
      <w:pPr>
        <w:jc w:val="both"/>
        <w:ind w:left="10" w:right="5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$3.1 million of previously accrued expenses payable to affiliates of LSEG were waived and the liabilities were reversed through an increase to additional paid-in capital. There were no reversals of accrued expenses payable to affiliates during the years ended December 31, 2024 and 2023.</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142</w:t>
      </w:r>
    </w:p>
    <w:p>
      <w:pPr>
        <w:sectPr>
          <w:pgSz w:w="12060" w:h="15660" w:orient="portrait"/>
          <w:cols w:equalWidth="0" w:num="1">
            <w:col w:w="10450"/>
          </w:cols>
          <w:pgMar w:left="810" w:top="741" w:right="800" w:bottom="0" w:gutter="0" w:footer="0" w:header="0"/>
          <w:type w:val="continuous"/>
        </w:sectPr>
      </w:pPr>
    </w:p>
    <w:bookmarkStart w:id="152" w:name="page153"/>
    <w:bookmarkEnd w:id="152"/>
    <w:p>
      <w:pPr>
        <w:ind w:left="730" w:hanging="730"/>
        <w:spacing w:after="0"/>
        <w:tabs>
          <w:tab w:leader="none" w:pos="73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 and Other Assets</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and Other Assets Measured at Fair Value</w:t>
      </w:r>
    </w:p>
    <w:p>
      <w:pPr>
        <w:spacing w:after="0" w:line="214"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The Company’s financial instruments and other assets measured at fair value on the consolidated statements of financial condition as of December 31, 2024 and 2023 have been categorized based upon the fair value hierarchy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 of December 31, 2024</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4"/>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equivalents – Money market funds and other highly liquid</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1,117,133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1,117,133</w:t>
            </w:r>
          </w:p>
        </w:tc>
        <w:tc>
          <w:tcPr>
            <w:tcW w:w="0" w:type="dxa"/>
            <w:vAlign w:val="bottom"/>
          </w:tcPr>
          <w:p>
            <w:pPr>
              <w:spacing w:after="0"/>
              <w:rPr>
                <w:sz w:val="1"/>
                <w:szCs w:val="1"/>
                <w:color w:val="auto"/>
              </w:rPr>
            </w:pPr>
          </w:p>
        </w:tc>
      </w:tr>
      <w:tr>
        <w:trPr>
          <w:trHeight w:val="205"/>
        </w:trPr>
        <w:tc>
          <w:tcPr>
            <w:tcW w:w="52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Receivable and due from affiliates – Foreign exchange</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7,844</w:t>
            </w:r>
          </w:p>
        </w:tc>
        <w:tc>
          <w:tcPr>
            <w:tcW w:w="0" w:type="dxa"/>
            <w:vAlign w:val="bottom"/>
          </w:tcPr>
          <w:p>
            <w:pPr>
              <w:spacing w:after="0"/>
              <w:rPr>
                <w:sz w:val="1"/>
                <w:szCs w:val="1"/>
                <w:color w:val="auto"/>
              </w:rPr>
            </w:pPr>
          </w:p>
        </w:tc>
      </w:tr>
      <w:tr>
        <w:trPr>
          <w:trHeight w:val="260"/>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derivative contracts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Digital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Canton Coins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Investment in available for sale debt securities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10,354</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1,117,133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1,136,183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equivalents – Money market funds and other highly liquid</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1,543,644</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1,543,644</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1,543,644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 xml:space="preserve">Payable and due to affiliates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Foreign exchange derivative</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6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775</w:t>
            </w:r>
          </w:p>
        </w:tc>
        <w:tc>
          <w:tcPr>
            <w:tcW w:w="0" w:type="dxa"/>
            <w:vAlign w:val="bottom"/>
          </w:tcPr>
          <w:p>
            <w:pPr>
              <w:spacing w:after="0"/>
              <w:rPr>
                <w:sz w:val="1"/>
                <w:szCs w:val="1"/>
                <w:color w:val="auto"/>
              </w:rPr>
            </w:pPr>
          </w:p>
        </w:tc>
      </w:tr>
      <w:tr>
        <w:trPr>
          <w:trHeight w:val="26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contracts</w:t>
            </w:r>
          </w:p>
        </w:tc>
        <w:tc>
          <w:tcPr>
            <w:tcW w:w="1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-3279140</wp:posOffset>
            </wp:positionV>
            <wp:extent cx="6654800" cy="3286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8">
                      <a:extLst>
                        <a:ext uri="{28A0092B-C50C-407E-A947-70E740481C1C}"/>
                      </a:extLst>
                    </a:blip>
                    <a:srcRect/>
                    <a:stretch>
                      <a:fillRect/>
                    </a:stretch>
                  </pic:blipFill>
                  <pic:spPr bwMode="auto">
                    <a:xfrm>
                      <a:off x="0" y="0"/>
                      <a:ext cx="6654800" cy="3286125"/>
                    </a:xfrm>
                    <a:prstGeom prst="rect">
                      <a:avLst/>
                    </a:prstGeom>
                    <a:noFill/>
                  </pic:spPr>
                </pic:pic>
              </a:graphicData>
            </a:graphic>
          </wp:anchor>
        </w:drawing>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214"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auto"/>
        </w:rPr>
        <w:t>The Company’s cash equivalents are classified within level 1 of the fair value hierarchy because they are valued using quoted market prices in active markets.</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Investments in Available-for-Sale Debt Securities</w:t>
      </w:r>
    </w:p>
    <w:p>
      <w:pPr>
        <w:spacing w:after="0" w:line="214" w:lineRule="exact"/>
        <w:rPr>
          <w:sz w:val="20"/>
          <w:szCs w:val="20"/>
          <w:color w:val="auto"/>
        </w:rPr>
      </w:pPr>
    </w:p>
    <w:p>
      <w:pPr>
        <w:ind w:left="10" w:right="20"/>
        <w:spacing w:after="0" w:line="252" w:lineRule="auto"/>
        <w:rPr>
          <w:sz w:val="20"/>
          <w:szCs w:val="20"/>
          <w:color w:val="auto"/>
        </w:rPr>
      </w:pPr>
      <w:r>
        <w:rPr>
          <w:rFonts w:ascii="Times New Roman" w:cs="Times New Roman" w:eastAsia="Times New Roman" w:hAnsi="Times New Roman"/>
          <w:sz w:val="20"/>
          <w:szCs w:val="20"/>
          <w:color w:val="auto"/>
        </w:rPr>
        <w:t>In April 2024, the Company made an investment in a convertible note with a principal amount and original amortized cost basis of $10.0 million.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consolidated statements of financial condition at a fair value and amortized cost basis of $10.4 million as of December 31, 2024. There were no fair value adjustments or credit losses recorded on the convertible note during the year ended December 31,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143</w:t>
      </w:r>
    </w:p>
    <w:p>
      <w:pPr>
        <w:sectPr>
          <w:pgSz w:w="12060" w:h="15660" w:orient="portrait"/>
          <w:cols w:equalWidth="0" w:num="1">
            <w:col w:w="10450"/>
          </w:cols>
          <w:pgMar w:left="810" w:top="741" w:right="80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Assets - Canton Coins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Canton Network is a public-permissioned blockchain network designed with privacy and controls to facilitate the exchange of regulated financial assets. The Canton Network’s Global Synchronizer includes a utility token, a digital asset called the Canton Coin, which is used to pay traffic fees for using the Global Synchronizer, the Canton Network’s decentralized interoperability infrastructure. Beginning in 2024, the Company earns Canton Coins for its function as a Super Validator and Validator on the Global Synchronizer, and then generally holds the Canton Coins on its balance sheet for investment purposes and to pay any fees associated with its Canton Network activity. As of December 31, 2024, Canton Coins may only be transferred to other approved participants on the Canton Network and there is no public market for Canton Coins.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Canton Coin holdings as of December 31, 2024:</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20"/>
        </w:trPr>
        <w:tc>
          <w:tcPr>
            <w:tcW w:w="6540" w:type="dxa"/>
            <w:vAlign w:val="bottom"/>
          </w:tcPr>
          <w:p>
            <w:pPr>
              <w:spacing w:after="0"/>
              <w:rPr>
                <w:sz w:val="19"/>
                <w:szCs w:val="19"/>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4"/>
        </w:trPr>
        <w:tc>
          <w:tcPr>
            <w:tcW w:w="6540" w:type="dxa"/>
            <w:vAlign w:val="bottom"/>
          </w:tcPr>
          <w:p>
            <w:pPr>
              <w:spacing w:after="0"/>
              <w:rPr>
                <w:sz w:val="23"/>
                <w:szCs w:val="23"/>
                <w:color w:val="auto"/>
              </w:rPr>
            </w:pPr>
          </w:p>
        </w:tc>
        <w:tc>
          <w:tcPr>
            <w:tcW w:w="38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coins and dollars in thousands)</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Canton coins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1,189,928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654800" cy="206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The Company’s Canton Coin holdings are classified within level 3 of the fair value hierarchy because the valuation requires assumptions that are both significant and unobservable. The Company utilized the assistance of a third-party valuation specialist to determine the fair value of its Canton Coins. Because of the lack of a public market, the fair value was determined using a combination of a development cost approach and a market approach. The Company’s valuation of its Canton Coins is highly subjective. As the Company held 1.2 billion Canton Coins as of December 31, 2024, a significant increase or decrease in either the estimated development costs or market price, the weighting of the development cost versus the market approaches, or the discount for lack of marketability applied could have resulted in a significant change to the fair value measurement.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Level 3 Roll forward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a summary of the changes in fair value for level 3 assets: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6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Investment in</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92"/>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7"/>
              </w:rPr>
              <w:t>Sale Debt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6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Digital Assets</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Level 3 Assets</w:t>
            </w:r>
          </w:p>
        </w:tc>
      </w:tr>
      <w:tr>
        <w:trPr>
          <w:trHeight w:val="238"/>
        </w:trPr>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center"/>
              <w:ind w:left="708"/>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60" w:type="dxa"/>
            <w:vAlign w:val="bottom"/>
          </w:tcPr>
          <w:p>
            <w:pPr>
              <w:spacing w:after="0"/>
              <w:rPr>
                <w:sz w:val="20"/>
                <w:szCs w:val="20"/>
                <w:color w:val="auto"/>
              </w:rPr>
            </w:pPr>
          </w:p>
        </w:tc>
      </w:tr>
      <w:tr>
        <w:trPr>
          <w:trHeight w:val="27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11,020</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gains included in other income (loss), net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186</w:t>
            </w: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gains (losses) included in other comprehensive</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income</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1"/>
                <w:szCs w:val="21"/>
                <w:color w:val="auto"/>
              </w:rPr>
            </w:pPr>
          </w:p>
        </w:tc>
        <w:tc>
          <w:tcPr>
            <w:tcW w:w="30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11,206</w:t>
            </w:r>
          </w:p>
        </w:tc>
      </w:tr>
      <w:tr>
        <w:trPr>
          <w:trHeight w:val="20"/>
        </w:trPr>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-1269365</wp:posOffset>
            </wp:positionV>
            <wp:extent cx="6654800" cy="127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0">
                      <a:extLst>
                        <a:ext uri="{28A0092B-C50C-407E-A947-70E740481C1C}"/>
                      </a:extLst>
                    </a:blip>
                    <a:srcRect/>
                    <a:stretch>
                      <a:fillRect/>
                    </a:stretch>
                  </pic:blipFill>
                  <pic:spPr bwMode="auto">
                    <a:xfrm>
                      <a:off x="0" y="0"/>
                      <a:ext cx="6654800" cy="1276350"/>
                    </a:xfrm>
                    <a:prstGeom prst="rect">
                      <a:avLst/>
                    </a:prstGeom>
                    <a:noFill/>
                  </pic:spPr>
                </pic:pic>
              </a:graphicData>
            </a:graphic>
          </wp:anchor>
        </w:drawing>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unrealized gains relating to level 3 assets held at December 31, 2024 totaling $0.2 million, included as a component of other income (loss), net on the accompanying consolidated statements of income.</w:t>
      </w:r>
    </w:p>
    <w:p>
      <w:pPr>
        <w:spacing w:after="0" w:line="155"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20"/>
          <w:szCs w:val="20"/>
          <w:color w:val="auto"/>
        </w:rPr>
        <w:t>There were no material realized gains or realized losses recorded on the disposition of digital assets during the year ended December 31, 2024. There was no digital asset activity during 2023.</w:t>
      </w:r>
    </w:p>
    <w:p>
      <w:pPr>
        <w:sectPr>
          <w:pgSz w:w="12060" w:h="15660" w:orient="portrait"/>
          <w:cols w:equalWidth="0" w:num="1">
            <w:col w:w="10440"/>
          </w:cols>
          <w:pgMar w:left="820" w:top="7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144</w:t>
      </w:r>
    </w:p>
    <w:p>
      <w:pPr>
        <w:sectPr>
          <w:pgSz w:w="12060" w:h="15660" w:orient="portrait"/>
          <w:cols w:equalWidth="0" w:num="1">
            <w:col w:w="10440"/>
          </w:cols>
          <w:pgMar w:left="820" w:top="744" w:right="800" w:bottom="0" w:gutter="0" w:footer="0" w:header="0"/>
          <w:type w:val="continuous"/>
        </w:sectPr>
      </w:pPr>
    </w:p>
    <w:bookmarkStart w:id="154" w:name="page155"/>
    <w:bookmarkEnd w:id="154"/>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Derivative Contracts</w:t>
      </w:r>
    </w:p>
    <w:p>
      <w:pPr>
        <w:spacing w:after="0" w:line="214"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December 31, 2024 and 2023,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w:t>
      </w:r>
    </w:p>
    <w:p>
      <w:pPr>
        <w:spacing w:after="0" w:line="170" w:lineRule="exact"/>
        <w:rPr>
          <w:sz w:val="20"/>
          <w:szCs w:val="20"/>
          <w:color w:val="auto"/>
        </w:rPr>
      </w:pPr>
    </w:p>
    <w:p>
      <w:pPr>
        <w:ind w:left="10" w:right="68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aggregate U.S. dollar equivalent notional amount of the Company’s foreign exchange derivative contracts not designated as hedges for accounting purposes:</w:t>
      </w:r>
    </w:p>
    <w:p>
      <w:pPr>
        <w:spacing w:after="0" w:line="216"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161925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522pt,2.1pt" o:allowincell="f" strokecolor="#000000" strokeweight="1pt"/>
            </w:pict>
          </mc:Fallback>
        </mc:AlternateContent>
      </w:r>
    </w:p>
    <w:p>
      <w:pPr>
        <w:spacing w:after="0" w:line="36" w:lineRule="exact"/>
        <w:rPr>
          <w:sz w:val="20"/>
          <w:szCs w:val="20"/>
          <w:color w:val="auto"/>
        </w:rPr>
      </w:pPr>
    </w:p>
    <w:p>
      <w:pPr>
        <w:jc w:val="both"/>
        <w:ind w:left="8350"/>
        <w:spacing w:after="0"/>
        <w:tabs>
          <w:tab w:leader="none" w:pos="963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7905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456.7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26670</wp:posOffset>
                </wp:positionV>
                <wp:extent cx="7905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75pt,2.1pt" to="522pt,2.1pt" o:allowincell="f" strokecolor="#000000" strokeweight="1pt"/>
            </w:pict>
          </mc:Fallback>
        </mc:AlternateContent>
      </w:r>
    </w:p>
    <w:p>
      <w:pPr>
        <w:spacing w:after="0" w:line="9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654800" cy="2063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3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14" w:lineRule="exact"/>
        <w:rPr>
          <w:sz w:val="20"/>
          <w:szCs w:val="20"/>
          <w:color w:val="auto"/>
        </w:rPr>
      </w:pPr>
    </w:p>
    <w:p>
      <w:pPr>
        <w:ind w:left="50"/>
        <w:spacing w:after="0"/>
        <w:tabs>
          <w:tab w:leader="none" w:pos="7930" w:val="left"/>
          <w:tab w:leader="none" w:pos="8390" w:val="left"/>
          <w:tab w:leader="none" w:pos="9230" w:val="left"/>
          <w:tab w:leader="none" w:pos="9690" w:val="left"/>
        </w:tabs>
        <w:rPr>
          <w:sz w:val="20"/>
          <w:szCs w:val="20"/>
          <w:color w:val="auto"/>
        </w:rPr>
      </w:pPr>
      <w:r>
        <w:rPr>
          <w:rFonts w:ascii="Times New Roman" w:cs="Times New Roman" w:eastAsia="Times New Roman" w:hAnsi="Times New Roman"/>
          <w:sz w:val="20"/>
          <w:szCs w:val="20"/>
          <w:color w:val="auto"/>
        </w:rPr>
        <w:t>Foreign currency forward contracts – Gross notional amount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238,182</w:t>
        <w:tab/>
        <w:t>$</w:t>
      </w:r>
      <w:r>
        <w:rPr>
          <w:sz w:val="20"/>
          <w:szCs w:val="20"/>
          <w:color w:val="auto"/>
        </w:rPr>
        <w:tab/>
      </w:r>
      <w:r>
        <w:rPr>
          <w:rFonts w:ascii="Times New Roman" w:cs="Times New Roman" w:eastAsia="Times New Roman" w:hAnsi="Times New Roman"/>
          <w:sz w:val="19"/>
          <w:szCs w:val="19"/>
          <w:color w:val="auto"/>
        </w:rPr>
        <w:t>192,877</w:t>
      </w:r>
    </w:p>
    <w:p>
      <w:pPr>
        <w:spacing w:after="0" w:line="302"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auto"/>
        </w:rPr>
        <w:t>The Company’s foreign exchange derivative contracts are not designated as hedges for accounting purposes and changes in the fair value of these contracts during the period are recognized in the consolidated statements of income. The total realized and unrealized gains (losses) on foreign exchange derivative contracts recorded within the consolidated statements of income are as follows:</w:t>
      </w:r>
    </w:p>
    <w:p>
      <w:pPr>
        <w:sectPr>
          <w:pgSz w:w="12060" w:h="15660" w:orient="portrait"/>
          <w:cols w:equalWidth="0" w:num="1">
            <w:col w:w="10450"/>
          </w:cols>
          <w:pgMar w:left="810" w:top="7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 w:right="140"/>
        <w:spacing w:after="0" w:line="263" w:lineRule="auto"/>
        <w:rPr>
          <w:sz w:val="20"/>
          <w:szCs w:val="20"/>
          <w:color w:val="auto"/>
        </w:rPr>
      </w:pPr>
      <w:r>
        <w:rPr>
          <w:rFonts w:ascii="Times New Roman" w:cs="Times New Roman" w:eastAsia="Times New Roman" w:hAnsi="Times New Roman"/>
          <w:sz w:val="20"/>
          <w:szCs w:val="20"/>
          <w:color w:val="auto"/>
        </w:rPr>
        <w:t>Foreign currency forward contracts not designated in accounting hedge relationship – General and administrative (expenses)/income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6654800" cy="654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2">
                      <a:extLst>
                        <a:ext uri="{28A0092B-C50C-407E-A947-70E740481C1C}"/>
                      </a:extLst>
                    </a:blip>
                    <a:srcRect/>
                    <a:stretch>
                      <a:fillRect/>
                    </a:stretch>
                  </pic:blipFill>
                  <pic:spPr bwMode="auto">
                    <a:xfrm>
                      <a:off x="0" y="0"/>
                      <a:ext cx="6654800" cy="654050"/>
                    </a:xfrm>
                    <a:prstGeom prst="rect">
                      <a:avLst/>
                    </a:prstGeom>
                    <a:noFill/>
                  </pic:spPr>
                </pic:pic>
              </a:graphicData>
            </a:graphic>
          </wp:anchor>
        </w:drawing>
      </w:r>
    </w:p>
    <w:p>
      <w:pPr>
        <w:ind w:left="50"/>
        <w:spacing w:after="0" w:line="233" w:lineRule="auto"/>
        <w:rPr>
          <w:sz w:val="20"/>
          <w:szCs w:val="20"/>
          <w:color w:val="auto"/>
        </w:rPr>
      </w:pPr>
      <w:r>
        <w:rPr>
          <w:rFonts w:ascii="Times New Roman" w:cs="Times New Roman" w:eastAsia="Times New Roman" w:hAnsi="Times New Roman"/>
          <w:sz w:val="20"/>
          <w:szCs w:val="20"/>
          <w:color w:val="auto"/>
        </w:rPr>
        <w:t xml:space="preserve">Foreign currency call option contract not designated in accounting hedge relationship – Other income/(loss)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44792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7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192.5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6"/>
        </w:trPr>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536"/>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14,966</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4,871</w:t>
            </w:r>
          </w:p>
        </w:tc>
      </w:tr>
      <w:tr>
        <w:trPr>
          <w:trHeight w:val="465"/>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r>
    </w:tbl>
    <w:p>
      <w:pPr>
        <w:spacing w:after="0" w:line="163" w:lineRule="exact"/>
        <w:rPr>
          <w:sz w:val="20"/>
          <w:szCs w:val="20"/>
          <w:color w:val="auto"/>
        </w:rPr>
      </w:pPr>
    </w:p>
    <w:p>
      <w:pPr>
        <w:sectPr>
          <w:pgSz w:w="12060" w:h="15660" w:orient="portrait"/>
          <w:cols w:equalWidth="0" w:num="2">
            <w:col w:w="5890" w:space="700"/>
            <w:col w:w="3860"/>
          </w:cols>
          <w:pgMar w:left="810" w:top="744" w:right="800" w:bottom="0" w:gutter="0" w:footer="0" w:header="0"/>
          <w:type w:val="continuous"/>
        </w:sectPr>
      </w:pPr>
    </w:p>
    <w:p>
      <w:pPr>
        <w:ind w:left="370" w:right="160" w:hanging="370"/>
        <w:spacing w:after="0" w:line="283" w:lineRule="auto"/>
        <w:tabs>
          <w:tab w:leader="none" w:pos="37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ectPr>
          <w:pgSz w:w="12060" w:h="15660" w:orient="portrait"/>
          <w:cols w:equalWidth="0" w:num="1">
            <w:col w:w="10450"/>
          </w:cols>
          <w:pgMar w:left="810" w:top="744"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145</w:t>
      </w:r>
    </w:p>
    <w:p>
      <w:pPr>
        <w:sectPr>
          <w:pgSz w:w="12060" w:h="15660" w:orient="portrait"/>
          <w:cols w:equalWidth="0" w:num="1">
            <w:col w:w="10450"/>
          </w:cols>
          <w:pgMar w:left="810" w:top="744" w:right="800" w:bottom="0" w:gutter="0" w:footer="0" w:header="0"/>
          <w:type w:val="continuous"/>
        </w:sectPr>
      </w:pPr>
    </w:p>
    <w:bookmarkStart w:id="155" w:name="page156"/>
    <w:bookmarkEnd w:id="155"/>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Not Measured at Fair Value</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Company’s financial instruments not measured at fair value on the consolidated statements of financial condition as of</w:t>
      </w:r>
    </w:p>
    <w:p>
      <w:pPr>
        <w:spacing w:after="0" w:line="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2024 and 2023 have been categorized based upon the fair value hierarchy as follows:</w:t>
      </w:r>
    </w:p>
    <w:p>
      <w:pPr>
        <w:sectPr>
          <w:pgSz w:w="12060" w:h="15660" w:orient="portrait"/>
          <w:cols w:equalWidth="0" w:num="1">
            <w:col w:w="10450"/>
          </w:cols>
          <w:pgMar w:left="810" w:top="7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 w:right="1140"/>
        <w:spacing w:after="0" w:line="297" w:lineRule="auto"/>
        <w:rPr>
          <w:sz w:val="20"/>
          <w:szCs w:val="20"/>
          <w:color w:val="auto"/>
        </w:rPr>
      </w:pPr>
      <w:r>
        <w:rPr>
          <w:rFonts w:ascii="Times New Roman" w:cs="Times New Roman" w:eastAsia="Times New Roman" w:hAnsi="Times New Roman"/>
          <w:sz w:val="20"/>
          <w:szCs w:val="20"/>
          <w:color w:val="auto"/>
        </w:rPr>
        <w:t xml:space="preserve">As of December 31, 2024 </w:t>
      </w:r>
      <w:r>
        <w:rPr>
          <w:rFonts w:ascii="Times New Roman" w:cs="Times New Roman" w:eastAsia="Times New Roman" w:hAnsi="Times New Roman"/>
          <w:sz w:val="20"/>
          <w:szCs w:val="20"/>
          <w:b w:val="1"/>
          <w:bCs w:val="1"/>
          <w:i w:val="1"/>
          <w:iCs w:val="1"/>
          <w:color w:val="auto"/>
        </w:rPr>
        <w:t>Assets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Fair Value</w:t>
            </w:r>
          </w:p>
        </w:tc>
      </w:tr>
    </w:tbl>
    <w:p>
      <w:pPr>
        <w:spacing w:after="0" w:line="10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14605</wp:posOffset>
            </wp:positionV>
            <wp:extent cx="6654800" cy="25304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33">
                      <a:extLst>
                        <a:ext uri="{28A0092B-C50C-407E-A947-70E740481C1C}"/>
                      </a:extLst>
                    </a:blip>
                    <a:srcRect/>
                    <a:stretch>
                      <a:fillRect/>
                    </a:stretch>
                  </pic:blipFill>
                  <pic:spPr bwMode="auto">
                    <a:xfrm>
                      <a:off x="0" y="0"/>
                      <a:ext cx="6654800" cy="2530475"/>
                    </a:xfrm>
                    <a:prstGeom prst="rect">
                      <a:avLst/>
                    </a:prstGeom>
                    <a:noFill/>
                  </pic:spPr>
                </pic:pic>
              </a:graphicData>
            </a:graphic>
          </wp:anchor>
        </w:drawing>
      </w:r>
    </w:p>
    <w:p>
      <w:pPr>
        <w:spacing w:after="0" w:line="339" w:lineRule="exact"/>
        <w:rPr>
          <w:sz w:val="20"/>
          <w:szCs w:val="20"/>
          <w:color w:val="auto"/>
        </w:rPr>
      </w:pPr>
    </w:p>
    <w:p>
      <w:pPr>
        <w:sectPr>
          <w:pgSz w:w="12060" w:h="15660" w:orient="portrait"/>
          <w:cols w:equalWidth="0" w:num="2">
            <w:col w:w="3250" w:space="720"/>
            <w:col w:w="6480"/>
          </w:cols>
          <w:pgMar w:left="810" w:top="744" w:right="800" w:bottom="0" w:gutter="0" w:footer="0" w:header="0"/>
          <w:type w:val="continuous"/>
        </w:sectPr>
      </w:pPr>
    </w:p>
    <w:tbl>
      <w:tblPr>
        <w:tblLayout w:type="fixed"/>
        <w:tblInd w:w="10" w:type="dxa"/>
        <w:tblCellMar>
          <w:top w:w="0" w:type="dxa"/>
          <w:left w:w="0" w:type="dxa"/>
          <w:bottom w:w="0" w:type="dxa"/>
          <w:right w:w="0" w:type="dxa"/>
        </w:tblCellMar>
      </w:tblP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0" w:type="dxa"/>
            <w:vAlign w:val="bottom"/>
          </w:tcPr>
          <w:p>
            <w:pPr>
              <w:spacing w:after="0"/>
              <w:rPr>
                <w:sz w:val="1"/>
                <w:szCs w:val="1"/>
                <w:color w:val="auto"/>
              </w:rPr>
            </w:pPr>
          </w:p>
        </w:tc>
      </w:t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clearing organizations</w:t>
            </w: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Accounts receivable</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0" w:type="dxa"/>
            <w:vAlign w:val="bottom"/>
          </w:tcPr>
          <w:p>
            <w:pPr>
              <w:spacing w:after="0"/>
              <w:rPr>
                <w:sz w:val="1"/>
                <w:szCs w:val="1"/>
                <w:color w:val="auto"/>
              </w:rPr>
            </w:pPr>
          </w:p>
        </w:tc>
      </w:tr>
      <w:tr>
        <w:trPr>
          <w:trHeight w:val="26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571,862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278,871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290,073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571,862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vMerge w:val="restart"/>
          </w:tcPr>
          <w:p>
            <w:pPr>
              <w:spacing w:after="0"/>
              <w:rPr>
                <w:sz w:val="17"/>
                <w:szCs w:val="17"/>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0" w:type="dxa"/>
            <w:vAlign w:val="bottom"/>
          </w:tcPr>
          <w:p>
            <w:pPr>
              <w:spacing w:after="0"/>
              <w:rPr>
                <w:sz w:val="1"/>
                <w:szCs w:val="1"/>
                <w:color w:val="auto"/>
              </w:rPr>
            </w:pPr>
          </w:p>
        </w:tc>
      </w:tr>
      <w:tr>
        <w:trPr>
          <w:trHeight w:val="268"/>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163,824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163,824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163,824</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381,178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381,178</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381,178</w:t>
            </w:r>
          </w:p>
        </w:tc>
        <w:tc>
          <w:tcPr>
            <w:tcW w:w="0" w:type="dxa"/>
            <w:vAlign w:val="bottom"/>
          </w:tcPr>
          <w:p>
            <w:pPr>
              <w:spacing w:after="0"/>
              <w:rPr>
                <w:sz w:val="1"/>
                <w:szCs w:val="1"/>
                <w:color w:val="auto"/>
              </w:rPr>
            </w:pPr>
          </w:p>
        </w:tc>
      </w:t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clearing organizations</w:t>
            </w: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36,806</w:t>
            </w: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Accounts receivable</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168,407</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0" w:type="dxa"/>
            <w:vAlign w:val="bottom"/>
          </w:tcPr>
          <w:p>
            <w:pPr>
              <w:spacing w:after="0"/>
              <w:rPr>
                <w:sz w:val="1"/>
                <w:szCs w:val="1"/>
                <w:color w:val="auto"/>
              </w:rPr>
            </w:pPr>
          </w:p>
        </w:tc>
      </w:tr>
      <w:tr>
        <w:trPr>
          <w:trHeight w:val="26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752,641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200,630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549,585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752,641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Securities sold under agreements to</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0" w:type="dxa"/>
            <w:vAlign w:val="bottom"/>
          </w:tcPr>
          <w:p>
            <w:pPr>
              <w:spacing w:after="0"/>
              <w:rPr>
                <w:sz w:val="1"/>
                <w:szCs w:val="1"/>
                <w:color w:val="auto"/>
              </w:rPr>
            </w:pPr>
          </w:p>
        </w:tc>
      </w:tr>
      <w:tr>
        <w:trPr>
          <w:trHeight w:val="265"/>
        </w:trPr>
        <w:tc>
          <w:tcPr>
            <w:tcW w:w="3960" w:type="dxa"/>
            <w:vAlign w:val="bottom"/>
            <w:gridSpan w:val="2"/>
          </w:tcPr>
          <w:p>
            <w:pPr>
              <w:ind w:left="40"/>
              <w:spacing w:after="0" w:line="265" w:lineRule="exact"/>
              <w:rPr>
                <w:sz w:val="20"/>
                <w:szCs w:val="20"/>
                <w:color w:val="auto"/>
              </w:rPr>
            </w:pPr>
            <w:r>
              <w:rPr>
                <w:rFonts w:ascii="Times New Roman" w:cs="Times New Roman" w:eastAsia="Times New Roman" w:hAnsi="Times New Roman"/>
                <w:sz w:val="20"/>
                <w:szCs w:val="20"/>
                <w:color w:val="auto"/>
              </w:rPr>
              <w:t>repurchase</w:t>
            </w:r>
            <w:r>
              <w:rPr>
                <w:rFonts w:ascii="Times New Roman" w:cs="Times New Roman" w:eastAsia="Times New Roman" w:hAnsi="Times New Roman"/>
                <w:sz w:val="26"/>
                <w:szCs w:val="26"/>
                <w:color w:val="auto"/>
                <w:vertAlign w:val="superscript"/>
              </w:rPr>
              <w:t>(1)</w:t>
            </w:r>
          </w:p>
        </w:tc>
        <w:tc>
          <w:tcPr>
            <w:tcW w:w="34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500" w:type="dxa"/>
            <w:vAlign w:val="bottom"/>
            <w:gridSpan w:val="2"/>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96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351,864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351,864</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351,864</w:t>
            </w:r>
          </w:p>
        </w:tc>
        <w:tc>
          <w:tcPr>
            <w:tcW w:w="0" w:type="dxa"/>
            <w:vAlign w:val="bottom"/>
          </w:tcPr>
          <w:p>
            <w:pPr>
              <w:spacing w:after="0"/>
              <w:rPr>
                <w:sz w:val="1"/>
                <w:szCs w:val="1"/>
                <w:color w:val="auto"/>
              </w:rPr>
            </w:pPr>
          </w:p>
        </w:tc>
      </w:tr>
      <w:tr>
        <w:trPr>
          <w:trHeight w:val="26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373,476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373,476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373,476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-2660015</wp:posOffset>
            </wp:positionV>
            <wp:extent cx="6654800" cy="26670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4">
                      <a:extLst>
                        <a:ext uri="{28A0092B-C50C-407E-A947-70E740481C1C}"/>
                      </a:extLst>
                    </a:blip>
                    <a:srcRect/>
                    <a:stretch>
                      <a:fillRect/>
                    </a:stretch>
                  </pic:blipFill>
                  <pic:spPr bwMode="auto">
                    <a:xfrm>
                      <a:off x="0" y="0"/>
                      <a:ext cx="6654800" cy="2667000"/>
                    </a:xfrm>
                    <a:prstGeom prst="rect">
                      <a:avLst/>
                    </a:prstGeom>
                    <a:noFill/>
                  </pic:spPr>
                </pic:pic>
              </a:graphicData>
            </a:graphic>
          </wp:anchor>
        </w:drawing>
      </w:r>
    </w:p>
    <w:p>
      <w:pPr>
        <w:spacing w:after="0" w:line="100" w:lineRule="exact"/>
        <w:rPr>
          <w:sz w:val="20"/>
          <w:szCs w:val="20"/>
          <w:color w:val="auto"/>
        </w:rPr>
      </w:pPr>
    </w:p>
    <w:p>
      <w:pPr>
        <w:ind w:left="370" w:right="100" w:hanging="370"/>
        <w:spacing w:after="0" w:line="266" w:lineRule="auto"/>
        <w:tabs>
          <w:tab w:leader="none" w:pos="35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Treasury securities with a fair value of $21.6 million collateralized the securities sold under agreements to repurchase liability. The liability amounts presented represent the gross liability and are not offset on the consolidated statement of financial condition. The securities sold under agreements to repurchase liability were subsequently settled on January 2, 2024.</w:t>
      </w:r>
    </w:p>
    <w:p>
      <w:pPr>
        <w:spacing w:after="0" w:line="152" w:lineRule="exact"/>
        <w:rPr>
          <w:sz w:val="20"/>
          <w:szCs w:val="20"/>
          <w:color w:val="auto"/>
        </w:rPr>
      </w:pPr>
    </w:p>
    <w:p>
      <w:pPr>
        <w:ind w:left="10" w:right="240"/>
        <w:spacing w:after="0" w:line="258" w:lineRule="auto"/>
        <w:rPr>
          <w:sz w:val="20"/>
          <w:szCs w:val="20"/>
          <w:color w:val="auto"/>
        </w:rPr>
      </w:pPr>
      <w:r>
        <w:rPr>
          <w:rFonts w:ascii="Times New Roman" w:cs="Times New Roman" w:eastAsia="Times New Roman" w:hAnsi="Times New Roman"/>
          <w:sz w:val="20"/>
          <w:szCs w:val="20"/>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Non-recurring Fair Value Measurements</w:t>
      </w:r>
    </w:p>
    <w:p>
      <w:pPr>
        <w:spacing w:after="0" w:line="219" w:lineRule="exact"/>
        <w:rPr>
          <w:sz w:val="20"/>
          <w:szCs w:val="20"/>
          <w:color w:val="auto"/>
        </w:rPr>
      </w:pPr>
    </w:p>
    <w:p>
      <w:pPr>
        <w:ind w:left="10" w:right="440"/>
        <w:spacing w:after="0" w:line="281" w:lineRule="auto"/>
        <w:rPr>
          <w:sz w:val="20"/>
          <w:szCs w:val="20"/>
          <w:color w:val="auto"/>
        </w:rPr>
      </w:pPr>
      <w:r>
        <w:rPr>
          <w:rFonts w:ascii="Times New Roman" w:cs="Times New Roman" w:eastAsia="Times New Roman" w:hAnsi="Times New Roman"/>
          <w:sz w:val="20"/>
          <w:szCs w:val="20"/>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ectPr>
          <w:pgSz w:w="12060" w:h="15660" w:orient="portrait"/>
          <w:cols w:equalWidth="0" w:num="1">
            <w:col w:w="10450"/>
          </w:cols>
          <w:pgMar w:left="810" w:top="744" w:right="800" w:bottom="0" w:gutter="0" w:footer="0" w:header="0"/>
          <w:type w:val="continuous"/>
        </w:sectPr>
      </w:pPr>
    </w:p>
    <w:p>
      <w:pPr>
        <w:spacing w:after="0" w:line="35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146</w:t>
      </w:r>
    </w:p>
    <w:p>
      <w:pPr>
        <w:sectPr>
          <w:pgSz w:w="12060" w:h="15660" w:orient="portrait"/>
          <w:cols w:equalWidth="0" w:num="1">
            <w:col w:w="10450"/>
          </w:cols>
          <w:pgMar w:left="810" w:top="744" w:right="800" w:bottom="0" w:gutter="0" w:footer="0" w:header="0"/>
          <w:type w:val="continuous"/>
        </w:sectPr>
      </w:pPr>
    </w:p>
    <w:bookmarkStart w:id="156" w:name="page157"/>
    <w:bookmarkEnd w:id="156"/>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Without Readily Determinable Fair Values</w:t>
      </w:r>
    </w:p>
    <w:p>
      <w:pPr>
        <w:spacing w:after="0" w:line="219"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Included in other assets on the consolidated statements of financial condition are equity investments without readily determinable fair values of $17.8 million and $8.9 million as of December 31, 2024 and 2023, respectively. These equity investments are subject to general contractual sale restrictions that prohibit the transfer or sale of the investment without prior consent of the investee.</w:t>
      </w:r>
    </w:p>
    <w:p>
      <w:pPr>
        <w:spacing w:after="0" w:line="163"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and as of December 31, 2024, the Company recorded an impairment on a minority equity investment totaling $1.3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64"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and as of December 31, 2023, the Company recorded an impairment on a minority equity investment totaling $11.1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64" w:lineRule="exact"/>
        <w:rPr>
          <w:sz w:val="20"/>
          <w:szCs w:val="20"/>
          <w:color w:val="auto"/>
        </w:rPr>
      </w:pPr>
    </w:p>
    <w:p>
      <w:pPr>
        <w:ind w:left="10" w:right="180"/>
        <w:spacing w:after="0" w:line="309" w:lineRule="auto"/>
        <w:rPr>
          <w:sz w:val="20"/>
          <w:szCs w:val="20"/>
          <w:color w:val="auto"/>
        </w:rPr>
      </w:pPr>
      <w:r>
        <w:rPr>
          <w:rFonts w:ascii="Times New Roman" w:cs="Times New Roman" w:eastAsia="Times New Roman" w:hAnsi="Times New Roman"/>
          <w:sz w:val="19"/>
          <w:szCs w:val="19"/>
          <w:color w:val="auto"/>
        </w:rPr>
        <w:t>During the year ended December 31, 2022, the Company recognized losses totaling $1.0 million included in other income (loss) in the consolidated statements of income, related to the write-off of an investment that was determined to be uncollectible.</w:t>
      </w:r>
    </w:p>
    <w:p>
      <w:pPr>
        <w:spacing w:after="0" w:line="110" w:lineRule="exact"/>
        <w:rPr>
          <w:sz w:val="20"/>
          <w:szCs w:val="20"/>
          <w:color w:val="auto"/>
        </w:rPr>
      </w:pPr>
    </w:p>
    <w:p>
      <w:pPr>
        <w:ind w:left="730" w:hanging="730"/>
        <w:spacing w:after="0"/>
        <w:tabs>
          <w:tab w:leader="none" w:pos="73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Risk</w:t>
      </w:r>
    </w:p>
    <w:p>
      <w:pPr>
        <w:spacing w:after="0" w:line="217" w:lineRule="exact"/>
        <w:rPr>
          <w:sz w:val="20"/>
          <w:szCs w:val="20"/>
          <w:color w:val="auto"/>
        </w:rPr>
      </w:pPr>
    </w:p>
    <w:p>
      <w:pPr>
        <w:ind w:left="10" w:right="220"/>
        <w:spacing w:after="0" w:line="260" w:lineRule="auto"/>
        <w:rPr>
          <w:sz w:val="20"/>
          <w:szCs w:val="20"/>
          <w:color w:val="auto"/>
        </w:rPr>
      </w:pPr>
      <w:r>
        <w:rPr>
          <w:rFonts w:ascii="Times New Roman" w:cs="Times New Roman" w:eastAsia="Times New Roman" w:hAnsi="Times New Roman"/>
          <w:sz w:val="20"/>
          <w:szCs w:val="20"/>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63"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73"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auto"/>
        </w:rPr>
        <w:t>Prior to November 2023, the Company had used ICBC, a wholly-owned subsidiary of the Industrial and Commercial Bank of China Limited, to clear U.S. Treasury trades executed by non-FICC members on the Company’s wholesale trading platform. Under that arrangement, ICBC submitted the Company’s trades from non-FICC members to the FICC under the ICBC netting account with the FICC. Following the November 2023 ransomware attack on some ICBC operating systems, including those used to clear U.S. Treasury and repurchase agreement financings, the Company has and may continue to self-clear these U.S. Treasury trades. As a result, this increased the number of trades that settle over the fed wire, instead of FICC clearing, and accordingly the Company has experienced and may continue to experience, an increase in the number of U.S. Treasury failed settlement transactions. As of December 31, 2024, the Company recorded a $67.8 million receivable and payable from/to brokers and dealers and clearing organizations related to failed settlement transactions. All of the failed settlement transactions outstanding as of December 31, 2024 were fully settled during January 2025. As of December 31, 2023, the Company recorded a $381.2 million receivable and a $351.9 million payable from/to brokers and dealers and clearing organizations related to failed settlement transactions, entered into a repurchase transaction in the amount of $21.6 million and the Company self-funded the remaining $7.7 million difference between the fail to deliver and fail to receive. All of the failed settlement transactions and the securities sold under agreements to repurchase outstanding as of December 31, 2023 were fully settled during January 2024.</w:t>
      </w:r>
    </w:p>
    <w:p>
      <w:pPr>
        <w:spacing w:after="0" w:line="17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 If there are</w:t>
      </w:r>
    </w:p>
    <w:p>
      <w:pPr>
        <w:sectPr>
          <w:pgSz w:w="12060" w:h="15660" w:orient="portrait"/>
          <w:cols w:equalWidth="0" w:num="1">
            <w:col w:w="10430"/>
          </w:cols>
          <w:pgMar w:left="810" w:top="739" w:right="82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147</w:t>
      </w:r>
    </w:p>
    <w:p>
      <w:pPr>
        <w:sectPr>
          <w:pgSz w:w="12060" w:h="15660" w:orient="portrait"/>
          <w:cols w:equalWidth="0" w:num="1">
            <w:col w:w="10430"/>
          </w:cols>
          <w:pgMar w:left="810" w:top="739" w:right="820" w:bottom="0" w:gutter="0" w:footer="0" w:header="0"/>
          <w:type w:val="continuous"/>
        </w:sectPr>
      </w:pPr>
    </w:p>
    <w:bookmarkStart w:id="157" w:name="page158"/>
    <w:bookmarkEnd w:id="157"/>
    <w:p>
      <w:pPr>
        <w:ind w:left="10" w:right="560"/>
        <w:spacing w:after="0" w:line="281" w:lineRule="auto"/>
        <w:rPr>
          <w:sz w:val="20"/>
          <w:szCs w:val="20"/>
          <w:color w:val="auto"/>
        </w:rPr>
      </w:pPr>
      <w:r>
        <w:rPr>
          <w:rFonts w:ascii="Times New Roman" w:cs="Times New Roman" w:eastAsia="Times New Roman" w:hAnsi="Times New Roman"/>
          <w:sz w:val="20"/>
          <w:szCs w:val="20"/>
          <w:color w:val="auto"/>
        </w:rPr>
        <w:t>temporary errors or delays in the processing or settlement of transactions, the clearing broker may require, usually with two business days notice, that the Company provide cash deposits until the errors are resolved.</w:t>
      </w:r>
    </w:p>
    <w:p>
      <w:pPr>
        <w:spacing w:after="0" w:line="141"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63"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14"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Account balances are pooled based on the following risk characteristics:</w:t>
      </w:r>
    </w:p>
    <w:p>
      <w:pPr>
        <w:spacing w:after="0" w:line="30" w:lineRule="exact"/>
        <w:rPr>
          <w:sz w:val="20"/>
          <w:szCs w:val="20"/>
          <w:color w:val="auto"/>
        </w:rPr>
      </w:pPr>
    </w:p>
    <w:p>
      <w:pPr>
        <w:ind w:left="730" w:hanging="370"/>
        <w:spacing w:after="0"/>
        <w:tabs>
          <w:tab w:leader="none" w:pos="73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location</w:t>
      </w:r>
    </w:p>
    <w:p>
      <w:pPr>
        <w:spacing w:after="0" w:line="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fee type (billing type)</w:t>
      </w:r>
    </w:p>
    <w:p>
      <w:pPr>
        <w:spacing w:after="0" w:line="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entity</w:t>
      </w:r>
    </w:p>
    <w:p>
      <w:pPr>
        <w:spacing w:after="0" w:line="190" w:lineRule="exact"/>
        <w:rPr>
          <w:sz w:val="20"/>
          <w:szCs w:val="20"/>
          <w:color w:val="auto"/>
        </w:rPr>
      </w:pPr>
    </w:p>
    <w:p>
      <w:pPr>
        <w:ind w:left="10" w:right="1460"/>
        <w:spacing w:after="0" w:line="459" w:lineRule="auto"/>
        <w:rPr>
          <w:sz w:val="20"/>
          <w:szCs w:val="20"/>
          <w:color w:val="auto"/>
        </w:rPr>
      </w:pPr>
      <w:r>
        <w:rPr>
          <w:rFonts w:ascii="Times New Roman" w:cs="Times New Roman" w:eastAsia="Times New Roman" w:hAnsi="Times New Roman"/>
          <w:sz w:val="20"/>
          <w:szCs w:val="20"/>
          <w:color w:val="auto"/>
        </w:rPr>
        <w:t xml:space="preserve">An allowance for credit losses is also recognized for any credit impairment for available-for-sale debt securities. </w:t>
      </w:r>
      <w:r>
        <w:rPr>
          <w:rFonts w:ascii="Times New Roman" w:cs="Times New Roman" w:eastAsia="Times New Roman" w:hAnsi="Times New Roman"/>
          <w:sz w:val="20"/>
          <w:szCs w:val="20"/>
          <w:b w:val="1"/>
          <w:bCs w:val="1"/>
          <w:i w:val="1"/>
          <w:iCs w:val="1"/>
          <w:color w:val="auto"/>
        </w:rPr>
        <w:t>Write-Offs</w:t>
      </w: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55"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As of December 31, 2024 and 2023, the Company maintained an allowance for credit losses with regard to its receivables of $0.4 million and $0.3 million, respectively. For both of the years ended December 31, 2024 and 2023, credit loss expense was $0.2 million. For the year ended December 31, 2022, recoveries resulted in a reversal of credit loss expense of $14,000.</w:t>
      </w:r>
    </w:p>
    <w:p>
      <w:pPr>
        <w:spacing w:after="0" w:line="148" w:lineRule="exact"/>
        <w:rPr>
          <w:sz w:val="20"/>
          <w:szCs w:val="20"/>
          <w:color w:val="auto"/>
        </w:rPr>
      </w:pPr>
    </w:p>
    <w:p>
      <w:pPr>
        <w:ind w:left="730" w:hanging="730"/>
        <w:spacing w:after="0"/>
        <w:tabs>
          <w:tab w:leader="none" w:pos="73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17"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64" w:lineRule="exact"/>
        <w:rPr>
          <w:sz w:val="20"/>
          <w:szCs w:val="20"/>
          <w:color w:val="auto"/>
        </w:rPr>
      </w:pPr>
    </w:p>
    <w:p>
      <w:pPr>
        <w:ind w:left="10" w:right="30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4"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Oral argument in the appeal was held on October 3, 2023,</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148</w:t>
      </w:r>
    </w:p>
    <w:p>
      <w:pPr>
        <w:sectPr>
          <w:pgSz w:w="12060" w:h="15660" w:orient="portrait"/>
          <w:cols w:equalWidth="0" w:num="1">
            <w:col w:w="10430"/>
          </w:cols>
          <w:pgMar w:left="810" w:top="748" w:right="820" w:bottom="0" w:gutter="0" w:footer="0" w:header="0"/>
          <w:type w:val="continuous"/>
        </w:sectPr>
      </w:pPr>
    </w:p>
    <w:bookmarkStart w:id="158" w:name="page159"/>
    <w:bookmarkEnd w:id="158"/>
    <w:p>
      <w:pPr>
        <w:ind w:right="40"/>
        <w:spacing w:after="0" w:line="266" w:lineRule="auto"/>
        <w:rPr>
          <w:sz w:val="20"/>
          <w:szCs w:val="20"/>
          <w:color w:val="auto"/>
        </w:rPr>
      </w:pPr>
      <w:r>
        <w:rPr>
          <w:rFonts w:ascii="Times New Roman" w:cs="Times New Roman" w:eastAsia="Times New Roman" w:hAnsi="Times New Roman"/>
          <w:sz w:val="20"/>
          <w:szCs w:val="20"/>
          <w:color w:val="auto"/>
        </w:rPr>
        <w:t>and by order and opinion issued on February 1, 2024, the Second Circuit affirmed the District Court’s order dismissing all claims against all defendants, including the claims against the Company. All deadlines for any further avenues of appeal have expired and the Company considers the matter closed.</w:t>
      </w:r>
    </w:p>
    <w:p>
      <w:pPr>
        <w:spacing w:after="0" w:line="15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Additionally, the Company was dismissed from a class action relating to an interest rate swaps matter in 2017, but that matter continues against the remaining defendant financial institutions with respect to the case brought by certain swap execution facilities.</w:t>
      </w:r>
    </w:p>
    <w:p>
      <w:pPr>
        <w:spacing w:after="0" w:line="15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On November 21, 2023, the Company entered into a five year, $500.0 million unsecured revolving credit facility (the “2023 Revolving Credit Facility”) with a syndicate of banks, which replaced its $500.0 million secured credit facility entered into on April 8, 2019 (the “2019 Revolving Credit Facility”). The 2019 Revolving Credit Facility was scheduled to mature in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Borrowings under the 2023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7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As of both December 31, 2024 and 2023, there were $0.5 million in letters of credit issued under the 2023 Revolving Credit Facility and no borrowings outstanding.</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149</w:t>
      </w:r>
    </w:p>
    <w:p>
      <w:pPr>
        <w:sectPr>
          <w:pgSz w:w="12060" w:h="15660" w:orient="portrait"/>
          <w:cols w:equalWidth="0" w:num="1">
            <w:col w:w="10380"/>
          </w:cols>
          <w:pgMar w:left="820" w:top="748" w:right="860" w:bottom="0" w:gutter="0" w:footer="0" w:header="0"/>
          <w:type w:val="continuous"/>
        </w:sectPr>
      </w:pPr>
    </w:p>
    <w:bookmarkStart w:id="159" w:name="page160"/>
    <w:bookmarkEnd w:id="159"/>
    <w:p>
      <w:pPr>
        <w:ind w:left="730" w:hanging="730"/>
        <w:spacing w:after="0"/>
        <w:tabs>
          <w:tab w:leader="none" w:pos="73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calculations of basic and diluted earnings per share of Class A and Class B common stock for</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64"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00" w:type="dxa"/>
            <w:vAlign w:val="bottom"/>
            <w:gridSpan w:val="7"/>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0" w:type="dxa"/>
            <w:vAlign w:val="bottom"/>
          </w:tcPr>
          <w:p>
            <w:pPr>
              <w:spacing w:after="0"/>
              <w:rPr>
                <w:sz w:val="1"/>
                <w:szCs w:val="1"/>
                <w:color w:val="auto"/>
              </w:rPr>
            </w:pPr>
          </w:p>
        </w:tc>
      </w:tr>
      <w:tr>
        <w:trPr>
          <w:trHeight w:val="245"/>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Numerator:</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309,338</w:t>
            </w:r>
          </w:p>
        </w:tc>
        <w:tc>
          <w:tcPr>
            <w:tcW w:w="0" w:type="dxa"/>
            <w:vAlign w:val="bottom"/>
          </w:tcPr>
          <w:p>
            <w:pPr>
              <w:spacing w:after="0"/>
              <w:rPr>
                <w:sz w:val="1"/>
                <w:szCs w:val="1"/>
                <w:color w:val="auto"/>
              </w:rPr>
            </w:pPr>
          </w:p>
        </w:tc>
      </w:tr>
      <w:tr>
        <w:trPr>
          <w:trHeight w:val="205"/>
        </w:trPr>
        <w:tc>
          <w:tcPr>
            <w:tcW w:w="6540" w:type="dxa"/>
            <w:vAlign w:val="bottom"/>
            <w:gridSpan w:val="3"/>
          </w:tcPr>
          <w:p>
            <w:pPr>
              <w:spacing w:after="0" w:line="205" w:lineRule="exact"/>
              <w:rPr>
                <w:sz w:val="20"/>
                <w:szCs w:val="20"/>
                <w:color w:val="auto"/>
              </w:rPr>
            </w:pPr>
            <w:r>
              <w:rPr>
                <w:rFonts w:ascii="Times New Roman" w:cs="Times New Roman" w:eastAsia="Times New Roman" w:hAnsi="Times New Roman"/>
                <w:sz w:val="20"/>
                <w:szCs w:val="20"/>
                <w:color w:val="auto"/>
              </w:rPr>
              <w:t>Less: Distributed and undistributed earnings allocated to participating securities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540" w:type="dxa"/>
            <w:vAlign w:val="bottom"/>
            <w:gridSpan w:val="3"/>
          </w:tcPr>
          <w:p>
            <w:pPr>
              <w:spacing w:after="0" w:line="182" w:lineRule="exact"/>
              <w:rPr>
                <w:sz w:val="20"/>
                <w:szCs w:val="20"/>
                <w:color w:val="auto"/>
              </w:rPr>
            </w:pPr>
            <w:r>
              <w:rPr>
                <w:rFonts w:ascii="Times New Roman" w:cs="Times New Roman" w:eastAsia="Times New Roman" w:hAnsi="Times New Roman"/>
                <w:sz w:val="20"/>
                <w:szCs w:val="20"/>
                <w:color w:val="auto"/>
              </w:rPr>
              <w:t>Net income attributable to outstanding shares of Class A and Class B common</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501,118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364,399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309,094</w:t>
            </w:r>
          </w:p>
        </w:tc>
        <w:tc>
          <w:tcPr>
            <w:tcW w:w="0" w:type="dxa"/>
            <w:vAlign w:val="bottom"/>
          </w:tcPr>
          <w:p>
            <w:pPr>
              <w:spacing w:after="0"/>
              <w:rPr>
                <w:sz w:val="1"/>
                <w:szCs w:val="1"/>
                <w:color w:val="auto"/>
              </w:rPr>
            </w:pPr>
          </w:p>
        </w:tc>
      </w:tr>
      <w:tr>
        <w:trPr>
          <w:trHeight w:val="243"/>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 Basic and 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Denominator:</w:t>
            </w:r>
          </w:p>
        </w:tc>
        <w:tc>
          <w:tcPr>
            <w:tcW w:w="5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1120" w:type="dxa"/>
            <w:vAlign w:val="bottom"/>
            <w:tcBorders>
              <w:bottom w:val="single" w:sz="8" w:color="auto"/>
            </w:tcBorders>
            <w:gridSpan w:val="2"/>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213,030,056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210,796,802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w w:val="97"/>
              </w:rPr>
              <w:t>205,576,637</w:t>
            </w:r>
          </w:p>
        </w:tc>
        <w:tc>
          <w:tcPr>
            <w:tcW w:w="0" w:type="dxa"/>
            <w:vAlign w:val="bottom"/>
          </w:tcPr>
          <w:p>
            <w:pPr>
              <w:spacing w:after="0"/>
              <w:rPr>
                <w:sz w:val="1"/>
                <w:szCs w:val="1"/>
                <w:color w:val="auto"/>
              </w:rPr>
            </w:pPr>
          </w:p>
        </w:tc>
      </w:tr>
      <w:tr>
        <w:trPr>
          <w:trHeight w:val="260"/>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Dilutive effect of PRSUs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589,171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770,726</w:t>
            </w:r>
          </w:p>
        </w:tc>
        <w:tc>
          <w:tcPr>
            <w:tcW w:w="0" w:type="dxa"/>
            <w:vAlign w:val="bottom"/>
          </w:tcPr>
          <w:p>
            <w:pPr>
              <w:spacing w:after="0"/>
              <w:rPr>
                <w:sz w:val="1"/>
                <w:szCs w:val="1"/>
                <w:color w:val="auto"/>
              </w:rPr>
            </w:pPr>
          </w:p>
        </w:tc>
      </w:tr>
      <w:tr>
        <w:trPr>
          <w:trHeight w:val="285"/>
        </w:trPr>
        <w:tc>
          <w:tcPr>
            <w:tcW w:w="6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Dilutive effect of options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1,150,159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1,810,956</w:t>
            </w:r>
          </w:p>
        </w:tc>
        <w:tc>
          <w:tcPr>
            <w:tcW w:w="0" w:type="dxa"/>
            <w:vAlign w:val="bottom"/>
          </w:tcPr>
          <w:p>
            <w:pPr>
              <w:spacing w:after="0"/>
              <w:rPr>
                <w:sz w:val="1"/>
                <w:szCs w:val="1"/>
                <w:color w:val="auto"/>
              </w:rPr>
            </w:pPr>
          </w:p>
        </w:tc>
      </w:tr>
      <w:tr>
        <w:trPr>
          <w:trHeight w:val="285"/>
        </w:trPr>
        <w:tc>
          <w:tcPr>
            <w:tcW w:w="6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Dilutive effect of RSUs and RSAs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241,721</w:t>
            </w:r>
          </w:p>
        </w:tc>
        <w:tc>
          <w:tcPr>
            <w:tcW w:w="0" w:type="dxa"/>
            <w:vAlign w:val="bottom"/>
          </w:tcPr>
          <w:p>
            <w:pPr>
              <w:spacing w:after="0"/>
              <w:rPr>
                <w:sz w:val="1"/>
                <w:szCs w:val="1"/>
                <w:color w:val="auto"/>
              </w:rPr>
            </w:pPr>
          </w:p>
        </w:tc>
      </w:tr>
      <w:tr>
        <w:trPr>
          <w:trHeight w:val="288"/>
        </w:trPr>
        <w:tc>
          <w:tcPr>
            <w:tcW w:w="6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Dilutive effect of PSUs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460,653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2"/>
        </w:trPr>
        <w:tc>
          <w:tcPr>
            <w:tcW w:w="6540" w:type="dxa"/>
            <w:vAlign w:val="bottom"/>
            <w:gridSpan w:val="3"/>
          </w:tcPr>
          <w:p>
            <w:pPr>
              <w:spacing w:after="0" w:line="182"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214,924,763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212,668,808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w w:val="97"/>
              </w:rPr>
              <w:t>208,400,040</w:t>
            </w:r>
          </w:p>
        </w:tc>
        <w:tc>
          <w:tcPr>
            <w:tcW w:w="0" w:type="dxa"/>
            <w:vAlign w:val="bottom"/>
          </w:tcPr>
          <w:p>
            <w:pPr>
              <w:spacing w:after="0"/>
              <w:rPr>
                <w:sz w:val="1"/>
                <w:szCs w:val="1"/>
                <w:color w:val="auto"/>
              </w:rPr>
            </w:pPr>
          </w:p>
        </w:tc>
      </w:tr>
      <w:tr>
        <w:trPr>
          <w:trHeight w:val="243"/>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Earnings per share - Diluted</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40" w:type="dxa"/>
            <w:vAlign w:val="bottom"/>
            <w:gridSpan w:val="3"/>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1.71</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-3202940</wp:posOffset>
            </wp:positionV>
            <wp:extent cx="6667500" cy="3222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5">
                      <a:extLst>
                        <a:ext uri="{28A0092B-C50C-407E-A947-70E740481C1C}"/>
                      </a:extLst>
                    </a:blip>
                    <a:srcRect/>
                    <a:stretch>
                      <a:fillRect/>
                    </a:stretch>
                  </pic:blipFill>
                  <pic:spPr bwMode="auto">
                    <a:xfrm>
                      <a:off x="0" y="0"/>
                      <a:ext cx="6667500" cy="3222625"/>
                    </a:xfrm>
                    <a:prstGeom prst="rect">
                      <a:avLst/>
                    </a:prstGeom>
                    <a:noFill/>
                  </pic:spPr>
                </pic:pic>
              </a:graphicData>
            </a:graphic>
          </wp:anchor>
        </w:drawing>
      </w:r>
    </w:p>
    <w:p>
      <w:pPr>
        <w:spacing w:after="0" w:line="340" w:lineRule="exact"/>
        <w:rPr>
          <w:sz w:val="20"/>
          <w:szCs w:val="20"/>
          <w:color w:val="auto"/>
        </w:rPr>
      </w:pPr>
    </w:p>
    <w:p>
      <w:pPr>
        <w:ind w:left="370" w:right="140" w:hanging="370"/>
        <w:spacing w:after="0" w:line="266" w:lineRule="auto"/>
        <w:tabs>
          <w:tab w:leader="none" w:pos="37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2024, 2023 and 2022, there was a total of 165,565, 270,249 and 193,441, respectively, weighted average unvested or unsettled vested stock awards that were considered a participating security for purposes of calculating earnings per share in accordance with the two-class method.</w:t>
      </w:r>
    </w:p>
    <w:p>
      <w:pPr>
        <w:spacing w:after="0" w:line="152"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63"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6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16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20"/>
        </w:trPr>
        <w:tc>
          <w:tcPr>
            <w:tcW w:w="16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4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Anti</w:t>
            </w:r>
            <w:r>
              <w:rPr>
                <w:rFonts w:ascii="Times New Roman" w:cs="Times New Roman" w:eastAsia="Times New Roman" w:hAnsi="Times New Roman"/>
                <w:sz w:val="20"/>
                <w:szCs w:val="20"/>
                <w:b w:val="1"/>
                <w:bCs w:val="1"/>
                <w:color w:val="auto"/>
                <w:w w:val="99"/>
              </w:rPr>
              <w:t>-</w:t>
            </w:r>
            <w:r>
              <w:rPr>
                <w:rFonts w:ascii="Times New Roman" w:cs="Times New Roman" w:eastAsia="Times New Roman" w:hAnsi="Times New Roman"/>
                <w:sz w:val="20"/>
                <w:szCs w:val="20"/>
                <w:color w:val="auto"/>
                <w:w w:val="99"/>
              </w:rPr>
              <w:t>dilutive Shares:</w:t>
            </w:r>
          </w:p>
        </w:tc>
        <w:tc>
          <w:tcPr>
            <w:tcW w:w="48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0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PRSUs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RSUs and RSAs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19,551</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Interests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23,076,373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23,902,379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28,830,686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-1102360</wp:posOffset>
            </wp:positionV>
            <wp:extent cx="6680200" cy="11366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36">
                      <a:extLst>
                        <a:ext uri="{28A0092B-C50C-407E-A947-70E740481C1C}"/>
                      </a:extLst>
                    </a:blip>
                    <a:srcRect/>
                    <a:stretch>
                      <a:fillRect/>
                    </a:stretch>
                  </pic:blipFill>
                  <pic:spPr bwMode="auto">
                    <a:xfrm>
                      <a:off x="0" y="0"/>
                      <a:ext cx="6680200" cy="1136650"/>
                    </a:xfrm>
                    <a:prstGeom prst="rect">
                      <a:avLst/>
                    </a:prstGeom>
                    <a:noFill/>
                  </pic:spPr>
                </pic:pic>
              </a:graphicData>
            </a:graphic>
          </wp:anchor>
        </w:drawing>
      </w:r>
    </w:p>
    <w:p>
      <w:pPr>
        <w:spacing w:after="0" w:line="231" w:lineRule="exact"/>
        <w:rPr>
          <w:sz w:val="20"/>
          <w:szCs w:val="20"/>
          <w:color w:val="auto"/>
        </w:rPr>
      </w:pPr>
    </w:p>
    <w:p>
      <w:pPr>
        <w:jc w:val="both"/>
        <w:ind w:left="10" w:right="540"/>
        <w:spacing w:after="0" w:line="266"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ectPr>
          <w:pgSz w:w="12060" w:h="15660" w:orient="portrait"/>
          <w:cols w:equalWidth="0" w:num="1">
            <w:col w:w="10450"/>
          </w:cols>
          <w:pgMar w:left="810" w:top="741" w:right="800" w:bottom="0" w:gutter="0" w:footer="0" w:header="0"/>
        </w:sectPr>
      </w:pPr>
    </w:p>
    <w:p>
      <w:pPr>
        <w:spacing w:after="0" w:line="3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150</w:t>
      </w:r>
    </w:p>
    <w:p>
      <w:pPr>
        <w:sectPr>
          <w:pgSz w:w="12060" w:h="15660" w:orient="portrait"/>
          <w:cols w:equalWidth="0" w:num="1">
            <w:col w:w="10450"/>
          </w:cols>
          <w:pgMar w:left="810" w:top="741" w:right="800" w:bottom="0" w:gutter="0" w:footer="0" w:header="0"/>
          <w:type w:val="continuous"/>
        </w:sectPr>
      </w:pPr>
    </w:p>
    <w:bookmarkStart w:id="160" w:name="page161"/>
    <w:bookmarkEnd w:id="160"/>
    <w:p>
      <w:pPr>
        <w:ind w:left="730" w:hanging="730"/>
        <w:spacing w:after="0"/>
        <w:tabs>
          <w:tab w:leader="none" w:pos="73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Capital Requirements</w:t>
      </w:r>
    </w:p>
    <w:p>
      <w:pPr>
        <w:spacing w:after="0" w:line="217"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TWL, DW, TWD and ICDLC are subject to the Uniform Net Capital Rule 15c3-1 under the Exchange Act. TEL, TESL and ICDLT are subject to certain financial resource requirements with the FCA in the UK, TWJ is subject to certain financial resource requirements with the FCA in Japan, TWEU and TESBV are subject to certain financial resource requirements with the AFM in the Netherlands, ICDEU is subject to certain financial resource requirements with the CMVM in Portugal, YB is subject to certain financial resource requirements with ASIC in Australia and TDIFC is subject to certain financial resource requirements with DFSA in the Dubai International Financial Centre. At December 31, 2024 and 2023, the regulatory capital requirements and regulatory capital for these entities are as follows:</w:t>
      </w:r>
    </w:p>
    <w:p>
      <w:pPr>
        <w:spacing w:after="0" w:line="24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5"/>
                <w:szCs w:val="15"/>
                <w:color w:val="auto"/>
              </w:rPr>
            </w:pPr>
          </w:p>
        </w:tc>
        <w:tc>
          <w:tcPr>
            <w:tcW w:w="14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Excess Regulatory</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5"/>
                <w:szCs w:val="15"/>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Excess Regulatory</w:t>
            </w:r>
          </w:p>
        </w:tc>
      </w:tr>
      <w:tr>
        <w:trPr>
          <w:trHeight w:val="217"/>
        </w:trPr>
        <w:tc>
          <w:tcPr>
            <w:tcW w:w="1360" w:type="dxa"/>
            <w:vAlign w:val="bottom"/>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Capital</w:t>
            </w:r>
          </w:p>
        </w:tc>
      </w:tr>
      <w:tr>
        <w:trPr>
          <w:trHeight w:val="274"/>
        </w:trPr>
        <w:tc>
          <w:tcPr>
            <w:tcW w:w="1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6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TWL</w:t>
            </w:r>
          </w:p>
        </w:tc>
        <w:tc>
          <w:tcPr>
            <w:tcW w:w="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63,532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3,646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50,243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47,387</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199,775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152,739</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TWD</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46,126</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TEL</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32,499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23,653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40,220</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TWJ</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4,934</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TWEU</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6,465</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TESL</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858</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TESBV</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840</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YB</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4,191</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TDIFC</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ICDLC</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ICDLT</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ICDEU</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-2356485</wp:posOffset>
            </wp:positionV>
            <wp:extent cx="6654800" cy="23780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7">
                      <a:extLst>
                        <a:ext uri="{28A0092B-C50C-407E-A947-70E740481C1C}"/>
                      </a:extLst>
                    </a:blip>
                    <a:srcRect/>
                    <a:stretch>
                      <a:fillRect/>
                    </a:stretch>
                  </pic:blipFill>
                  <pic:spPr bwMode="auto">
                    <a:xfrm>
                      <a:off x="0" y="0"/>
                      <a:ext cx="6654800" cy="2378075"/>
                    </a:xfrm>
                    <a:prstGeom prst="rect">
                      <a:avLst/>
                    </a:prstGeom>
                    <a:noFill/>
                  </pic:spPr>
                </pic:pic>
              </a:graphicData>
            </a:graphic>
          </wp:anchor>
        </w:drawing>
      </w:r>
    </w:p>
    <w:p>
      <w:pPr>
        <w:spacing w:after="0" w:line="231"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auto"/>
        </w:rPr>
        <w:t>As SEFs, TW SEF and DW SEF are required to maintain adequate financial resources and liquid financial assets in accordance with CFTC regulations. The required and maintained financial resources and liquid financial assets at December 31, 2024 and 2023 are as follows:</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6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Required Financial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Excess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6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Required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Excess Financial</w:t>
            </w:r>
          </w:p>
        </w:tc>
      </w:tr>
      <w:tr>
        <w:trPr>
          <w:trHeight w:val="217"/>
        </w:trPr>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Resources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Resources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Resources</w:t>
            </w:r>
          </w:p>
        </w:tc>
      </w:tr>
      <w:tr>
        <w:trPr>
          <w:trHeight w:val="274"/>
        </w:trPr>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20" w:type="dxa"/>
            <w:vAlign w:val="bottom"/>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 SEF</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16,500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30,786</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 SEF</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9,062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4,640</w:t>
            </w:r>
          </w:p>
        </w:tc>
      </w:tr>
      <w:tr>
        <w:trPr>
          <w:trHeight w:val="543"/>
        </w:trPr>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Liquid Financial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Required Liquid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Excess Liquid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Liquid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Required Liquid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Excess Liquid</w:t>
            </w:r>
          </w:p>
        </w:tc>
      </w:tr>
      <w:tr>
        <w:trPr>
          <w:trHeight w:val="217"/>
        </w:trPr>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Financial 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Financial Assets</w:t>
            </w:r>
          </w:p>
        </w:tc>
      </w:tr>
      <w:tr>
        <w:trPr>
          <w:trHeight w:val="274"/>
        </w:trPr>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20" w:type="dxa"/>
            <w:vAlign w:val="bottom"/>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 SEF</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4,125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18,943</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 SEF</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2,266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6654800" cy="387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8">
                      <a:extLst>
                        <a:ext uri="{28A0092B-C50C-407E-A947-70E740481C1C}"/>
                      </a:extLst>
                    </a:blip>
                    <a:srcRect/>
                    <a:stretch>
                      <a:fillRect/>
                    </a:stretch>
                  </pic:blipFill>
                  <pic:spPr bwMode="auto">
                    <a:xfrm>
                      <a:off x="0" y="0"/>
                      <a:ext cx="6654800" cy="387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9">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151</w:t>
      </w:r>
    </w:p>
    <w:p>
      <w:pPr>
        <w:sectPr>
          <w:pgSz w:w="12060" w:h="15660" w:orient="portrait"/>
          <w:cols w:equalWidth="0" w:num="1">
            <w:col w:w="10450"/>
          </w:cols>
          <w:pgMar w:left="810" w:top="741" w:right="800" w:bottom="0" w:gutter="0" w:footer="0" w:header="0"/>
          <w:type w:val="continuous"/>
        </w:sectPr>
      </w:pPr>
    </w:p>
    <w:bookmarkStart w:id="161" w:name="page162"/>
    <w:bookmarkEnd w:id="161"/>
    <w:p>
      <w:pPr>
        <w:ind w:left="730" w:hanging="730"/>
        <w:spacing w:after="0"/>
        <w:tabs>
          <w:tab w:leader="none" w:pos="73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and Geographic Information</w:t>
      </w:r>
    </w:p>
    <w:p>
      <w:pPr>
        <w:spacing w:after="0" w:line="217"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discrete financial information is available and is regularly reviewed by the Chief Operating Decision Maker (the “CODM”) in deciding how to allocate resources to an individual segment and in assessing performance. The Company’s CODM is its Chief Executive Officer.</w:t>
      </w:r>
    </w:p>
    <w:p>
      <w:pPr>
        <w:spacing w:after="0" w:line="155" w:lineRule="exact"/>
        <w:rPr>
          <w:sz w:val="20"/>
          <w:szCs w:val="20"/>
          <w:color w:val="auto"/>
        </w:rPr>
      </w:pPr>
    </w:p>
    <w:p>
      <w:pPr>
        <w:ind w:left="10" w:right="40"/>
        <w:spacing w:after="0" w:line="252" w:lineRule="auto"/>
        <w:rPr>
          <w:sz w:val="20"/>
          <w:szCs w:val="20"/>
          <w:color w:val="auto"/>
        </w:rPr>
      </w:pPr>
      <w:r>
        <w:rPr>
          <w:rFonts w:ascii="Times New Roman" w:cs="Times New Roman" w:eastAsia="Times New Roman" w:hAnsi="Times New Roman"/>
          <w:sz w:val="20"/>
          <w:szCs w:val="20"/>
          <w:color w:val="auto"/>
        </w:rPr>
        <w:t>The Company operates electronic marketplaces for the trading of products across the rates, credit, equities and money markets asset classes and provides related pre-trade and post-trade services. The access to the Company’s electronic marketplaces includes market data, continuous pricing data refreshes and the processing and reporting of trades thereon, which are highly interrelated services. Through its electronic marketplaces, the Company facilitates trading by clients across the institutional, wholesale, retail and corporates client sectors and builds comprehensive market data sets that it is able to separately sell to customers, primarily LSEG, as incremental market data revenue. The Company’s client sectors continue to become more interwoven and the Company benefits from these cross-marketplace network effects. For example, many of the Company’s asset manager, hedge fund, insurance, central bank/sovereign entity and regional dealer clients actively trade multiple products on its platforms. In addition, many of the global commercial banks and dealers providing liquidity on the Company’s institutional platform are also active traders on the Company’s wholesale platform, and provide odd-lot inventory for the Company’s retail client sector. Because of the highly integrated nature of these marketplaces and services and the global financial markets in which the Company competes,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79" w:lineRule="exact"/>
        <w:rPr>
          <w:sz w:val="20"/>
          <w:szCs w:val="20"/>
          <w:color w:val="auto"/>
        </w:rPr>
      </w:pPr>
    </w:p>
    <w:p>
      <w:pPr>
        <w:ind w:left="10" w:right="320"/>
        <w:spacing w:after="0" w:line="260" w:lineRule="auto"/>
        <w:rPr>
          <w:sz w:val="20"/>
          <w:szCs w:val="20"/>
          <w:color w:val="auto"/>
        </w:rPr>
      </w:pPr>
      <w:r>
        <w:rPr>
          <w:rFonts w:ascii="Times New Roman" w:cs="Times New Roman" w:eastAsia="Times New Roman" w:hAnsi="Times New Roman"/>
          <w:sz w:val="20"/>
          <w:szCs w:val="20"/>
          <w:color w:val="auto"/>
        </w:rPr>
        <w:t>The CODM uses Adjusted EBITDA and consolidated net income to set budgets, evaluate margins, review actual results and in deciding whether to reinvest profits into the business, pursue acquisitions, pay dividends and/or engage in other capital management transactions. Consolidated net income is the measure of segment profit most consistent with U.S. GAAP that is regularly reviewed by the CODM to allocate resources and assess performance.</w:t>
      </w:r>
    </w:p>
    <w:p>
      <w:pPr>
        <w:spacing w:after="0" w:line="163"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20"/>
          <w:szCs w:val="20"/>
          <w:color w:val="auto"/>
        </w:rPr>
        <w:t>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consolidated statements of income.</w:t>
      </w:r>
    </w:p>
    <w:p>
      <w:pPr>
        <w:spacing w:after="0" w:line="155" w:lineRule="exact"/>
        <w:rPr>
          <w:sz w:val="20"/>
          <w:szCs w:val="20"/>
          <w:color w:val="auto"/>
        </w:rPr>
      </w:pPr>
    </w:p>
    <w:p>
      <w:pPr>
        <w:ind w:left="10" w:right="620"/>
        <w:spacing w:after="0" w:line="281" w:lineRule="auto"/>
        <w:rPr>
          <w:sz w:val="20"/>
          <w:szCs w:val="20"/>
          <w:color w:val="auto"/>
        </w:rPr>
      </w:pPr>
      <w:r>
        <w:rPr>
          <w:rFonts w:ascii="Times New Roman" w:cs="Times New Roman" w:eastAsia="Times New Roman" w:hAnsi="Times New Roman"/>
          <w:sz w:val="20"/>
          <w:szCs w:val="20"/>
          <w:color w:val="auto"/>
        </w:rPr>
        <w:t>Information regarding revenue from external customers by client sector, significant segment expenses and consolidated net income is as follows: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00" w:type="dxa"/>
            <w:vAlign w:val="bottom"/>
          </w:tcPr>
          <w:p>
            <w:pPr>
              <w:spacing w:after="0"/>
              <w:rPr>
                <w:sz w:val="23"/>
                <w:szCs w:val="23"/>
                <w:color w:val="auto"/>
              </w:rPr>
            </w:pP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9"/>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Institutional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1,035,775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797,038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719,211</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Wholesale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385,673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273,189</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Retail</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110,468</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Corporates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Market Data</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118,020</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94,074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85,913</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1,188,781</w:t>
            </w: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6"/>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592,690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460,305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432,421</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98,568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65,857</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46,561</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Professional fees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60,132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37,764</w:t>
            </w:r>
          </w:p>
        </w:tc>
      </w:tr>
      <w:tr>
        <w:trPr>
          <w:trHeight w:val="270"/>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Occupancy</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20,215</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14,726</w:t>
            </w:r>
          </w:p>
        </w:tc>
      </w:tr>
      <w:tr>
        <w:trPr>
          <w:trHeight w:val="303"/>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328,064</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271,116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231,839</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419,503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359,613</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654800" cy="2752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0">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spacing w:after="0" w:line="100" w:lineRule="exact"/>
        <w:rPr>
          <w:sz w:val="20"/>
          <w:szCs w:val="20"/>
          <w:color w:val="auto"/>
        </w:rPr>
      </w:pPr>
    </w:p>
    <w:p>
      <w:pPr>
        <w:ind w:left="370" w:right="540" w:hanging="370"/>
        <w:spacing w:after="0" w:line="282" w:lineRule="auto"/>
        <w:tabs>
          <w:tab w:leader="none" w:pos="35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depreciation and amortization, the tax receivable agreement liability adjustment, interest income, interest expense, other (income) loss, net and provision for income taxes, each as presented on the accompanying consolidated statements of income.</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152</w:t>
      </w:r>
    </w:p>
    <w:p>
      <w:pPr>
        <w:sectPr>
          <w:pgSz w:w="12060" w:h="15660" w:orient="portrait"/>
          <w:cols w:equalWidth="0" w:num="1">
            <w:col w:w="10450"/>
          </w:cols>
          <w:pgMar w:left="810" w:top="741" w:right="800" w:bottom="0" w:gutter="0" w:footer="0" w:header="0"/>
          <w:type w:val="continuous"/>
        </w:sectPr>
      </w:pPr>
    </w:p>
    <w:bookmarkStart w:id="162" w:name="page163"/>
    <w:bookmarkEnd w:id="162"/>
    <w:p>
      <w:pPr>
        <w:ind w:left="10" w:right="100"/>
        <w:spacing w:after="0" w:line="241" w:lineRule="auto"/>
        <w:rPr>
          <w:sz w:val="20"/>
          <w:szCs w:val="20"/>
          <w:color w:val="auto"/>
        </w:rPr>
      </w:pPr>
      <w:r>
        <w:rPr>
          <w:rFonts w:ascii="Times New Roman" w:cs="Times New Roman" w:eastAsia="Times New Roman" w:hAnsi="Times New Roman"/>
          <w:sz w:val="20"/>
          <w:szCs w:val="20"/>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189" w:lineRule="exact"/>
        <w:rPr>
          <w:sz w:val="20"/>
          <w:szCs w:val="20"/>
          <w:color w:val="auto"/>
        </w:rPr>
      </w:pPr>
    </w:p>
    <w:p>
      <w:pPr>
        <w:ind w:left="10" w:right="60"/>
        <w:spacing w:after="0" w:line="268" w:lineRule="auto"/>
        <w:rPr>
          <w:sz w:val="20"/>
          <w:szCs w:val="20"/>
          <w:color w:val="auto"/>
        </w:rPr>
      </w:pPr>
      <w:r>
        <w:rPr>
          <w:rFonts w:ascii="Times New Roman" w:cs="Times New Roman" w:eastAsia="Times New Roman" w:hAnsi="Times New Roman"/>
          <w:sz w:val="19"/>
          <w:szCs w:val="19"/>
          <w:color w:val="auto"/>
        </w:rPr>
        <w:t>The measure of segment assets is reported on the accompanying consolidated statements of financial condition as total consolidated assets. Total expenditures for additions to long-lived assets are as reported on the accompanying consolidated statements of cash flows. Long-lived assets are attributed to the geographic area based on the location of the particular subsidiary.</w:t>
      </w:r>
    </w:p>
    <w:p>
      <w:pPr>
        <w:spacing w:after="0" w:line="1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revenue by geographic area:</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00" w:type="dxa"/>
            <w:vAlign w:val="bottom"/>
          </w:tcPr>
          <w:p>
            <w:pPr>
              <w:spacing w:after="0"/>
              <w:rPr>
                <w:sz w:val="23"/>
                <w:szCs w:val="23"/>
                <w:color w:val="auto"/>
              </w:rPr>
            </w:pP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1,060,697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850,338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760,642</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665,252</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487,881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428,139</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1,188,781</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1">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information on the attribution of long-lived assets by geographic area:</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0"/>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4"/>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9"/>
        </w:trPr>
        <w:tc>
          <w:tcPr>
            <w:tcW w:w="6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4,777,770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3,990,070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4,044,230</w:t>
            </w:r>
          </w:p>
        </w:tc>
      </w:tr>
      <w:tr>
        <w:trPr>
          <w:trHeight w:val="288"/>
        </w:trPr>
        <w:tc>
          <w:tcPr>
            <w:tcW w:w="6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29,478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20,348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13,026</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4,807,248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4,010,418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4,057,256</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2">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81" w:lineRule="exact"/>
        <w:rPr>
          <w:sz w:val="20"/>
          <w:szCs w:val="20"/>
          <w:color w:val="auto"/>
        </w:rPr>
      </w:pPr>
    </w:p>
    <w:p>
      <w:pPr>
        <w:ind w:left="730" w:hanging="730"/>
        <w:spacing w:after="0"/>
        <w:tabs>
          <w:tab w:leader="none" w:pos="73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17" w:lineRule="exact"/>
        <w:rPr>
          <w:sz w:val="20"/>
          <w:szCs w:val="20"/>
          <w:color w:val="auto"/>
        </w:rPr>
      </w:pPr>
    </w:p>
    <w:p>
      <w:pPr>
        <w:ind w:left="10" w:right="440"/>
        <w:spacing w:after="0" w:line="266" w:lineRule="auto"/>
        <w:rPr>
          <w:sz w:val="20"/>
          <w:szCs w:val="20"/>
          <w:color w:val="auto"/>
        </w:rPr>
      </w:pPr>
      <w:r>
        <w:rPr>
          <w:rFonts w:ascii="Times New Roman" w:cs="Times New Roman" w:eastAsia="Times New Roman" w:hAnsi="Times New Roman"/>
          <w:sz w:val="20"/>
          <w:szCs w:val="20"/>
          <w:color w:val="auto"/>
        </w:rPr>
        <w:t>On February 6, 2025, the board of directors of Tradeweb Markets Inc. declared a cash dividend of $0.12 per share of Class A common stock and Class B common stock for the first quarter of 2025. This dividend will be payable on March 17, 2025 to stockholders of record as of March 3, 2025.</w:t>
      </w:r>
    </w:p>
    <w:p>
      <w:pPr>
        <w:spacing w:after="0" w:line="155"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auto"/>
        </w:rPr>
        <w:t>On February 6, 2025, Tradeweb Markets Inc., as the sole manager, approved a distribution by TWM LLC to its equityholders, including Tradeweb Markets Inc., in an aggregate amount of $75.8 million, as adjusted by required state and local tax withholdings that will be determined prior to the record date of March 3, 2025, payable on March 13, 2025.</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153</w:t>
      </w:r>
    </w:p>
    <w:p>
      <w:pPr>
        <w:sectPr>
          <w:pgSz w:w="12060" w:h="15660" w:orient="portrait"/>
          <w:cols w:equalWidth="0" w:num="1">
            <w:col w:w="10450"/>
          </w:cols>
          <w:pgMar w:left="810" w:top="748" w:right="800" w:bottom="0" w:gutter="0" w:footer="0" w:header="0"/>
          <w:type w:val="continuous"/>
        </w:sectPr>
      </w:pPr>
    </w:p>
    <w:bookmarkStart w:id="163" w:name="page164"/>
    <w:bookmarkEnd w:id="163"/>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management has evaluated, under the supervision of our Chief Executive Officer (“CEO”) and Chief Financial Officer (“CFO”), the effectiveness of our disclosure controls and procedures, as defined in Rule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15(e) of the Exchange Act,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Based on that evaluation, our CEO and CFO have concluded that our disclosure controls and procedures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1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us as defined in Rule 13a-15(f) or 15d-15(f) under the Exchange Act.</w:t>
      </w:r>
    </w:p>
    <w:p>
      <w:pPr>
        <w:spacing w:after="0" w:line="14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jc w:val="both"/>
        <w:ind w:right="580"/>
        <w:spacing w:after="0" w:line="286" w:lineRule="auto"/>
        <w:rPr>
          <w:sz w:val="20"/>
          <w:szCs w:val="20"/>
          <w:color w:val="auto"/>
        </w:rPr>
      </w:pPr>
      <w:r>
        <w:rPr>
          <w:rFonts w:ascii="Times New Roman" w:cs="Times New Roman" w:eastAsia="Times New Roman" w:hAnsi="Times New Roman"/>
          <w:sz w:val="19"/>
          <w:szCs w:val="19"/>
          <w:color w:val="auto"/>
        </w:rPr>
        <w:t>Our management, under the supervision and with the participation of our CEO and CFO, evaluated the effectiveness of our internal control over financial reporting as of December 31, 2024 using criteria established in Internal Control – Integrated Framework (2013) issued by the Committee of Sponsoring Organizations of the Treadway Commission (COSO).</w:t>
      </w:r>
    </w:p>
    <w:p>
      <w:pPr>
        <w:spacing w:after="0" w:line="1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Management, including our CEO and CFO, based on its assessment and those criteria, has concluded that our internal control over financial reporting was effective as of December 31, 2024.</w:t>
      </w:r>
    </w:p>
    <w:p>
      <w:pPr>
        <w:spacing w:after="0" w:line="14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2024 has been audited by Deloitte &amp; Touche LLP, an independent registered public accounting firm, as stated in their report which appears 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1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There were no changes to our internal control over financial reporting during the quarter ended December 31, 2024 that have materially affected, or that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None.</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2060" w:h="15660" w:orient="portrait"/>
          <w:cols w:equalWidth="0" w:num="1">
            <w:col w:w="10420"/>
          </w:cols>
          <w:pgMar w:left="820" w:top="741" w:right="820" w:bottom="0" w:gutter="0" w:footer="0" w:header="0"/>
          <w:type w:val="continuous"/>
        </w:sectPr>
      </w:pPr>
    </w:p>
    <w:bookmarkStart w:id="164" w:name="page165"/>
    <w:bookmarkEnd w:id="164"/>
    <w:p>
      <w:pPr>
        <w:ind w:left="290" w:hanging="290"/>
        <w:spacing w:after="0"/>
        <w:tabs>
          <w:tab w:leader="none" w:pos="29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Securities Trading Plans of Executive Officers and Director</w:t>
      </w:r>
      <w:r>
        <w:rPr>
          <w:rFonts w:ascii="Times New Roman" w:cs="Times New Roman" w:eastAsia="Times New Roman" w:hAnsi="Times New Roman"/>
          <w:sz w:val="20"/>
          <w:szCs w:val="20"/>
          <w:color w:val="auto"/>
        </w:rPr>
        <w:t>s</w:t>
      </w:r>
    </w:p>
    <w:p>
      <w:pPr>
        <w:spacing w:after="0" w:line="214"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December 31, 2024.</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80" w:type="dxa"/>
            <w:vAlign w:val="bottom"/>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32"/>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Number of Securities to be Purchased or Sold</w:t>
            </w:r>
          </w:p>
        </w:tc>
        <w:tc>
          <w:tcPr>
            <w:tcW w:w="158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380" w:type="dxa"/>
            <w:vAlign w:val="bottom"/>
          </w:tcPr>
          <w:p>
            <w:pPr>
              <w:jc w:val="center"/>
              <w:ind w:right="4"/>
              <w:spacing w:after="0" w:line="182" w:lineRule="exact"/>
              <w:rPr>
                <w:sz w:val="20"/>
                <w:szCs w:val="20"/>
                <w:color w:val="auto"/>
              </w:rPr>
            </w:pPr>
            <w:r>
              <w:rPr>
                <w:rFonts w:ascii="Times New Roman" w:cs="Times New Roman" w:eastAsia="Times New Roman" w:hAnsi="Times New Roman"/>
                <w:sz w:val="20"/>
                <w:szCs w:val="20"/>
                <w:color w:val="auto"/>
              </w:rPr>
              <w:t>Enrico Bruni</w:t>
            </w: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152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December 13,</w:t>
            </w:r>
          </w:p>
        </w:tc>
        <w:tc>
          <w:tcPr>
            <w:tcW w:w="48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Sale of up to 6,293 shares of Class A Common Stock.</w:t>
            </w:r>
          </w:p>
        </w:tc>
        <w:tc>
          <w:tcPr>
            <w:tcW w:w="1580" w:type="dxa"/>
            <w:vAlign w:val="bottom"/>
          </w:tcPr>
          <w:p>
            <w:pPr>
              <w:jc w:val="center"/>
              <w:ind w:left="113"/>
              <w:spacing w:after="0" w:line="182" w:lineRule="exact"/>
              <w:rPr>
                <w:sz w:val="20"/>
                <w:szCs w:val="20"/>
                <w:color w:val="auto"/>
              </w:rPr>
            </w:pPr>
            <w:r>
              <w:rPr>
                <w:rFonts w:ascii="Times New Roman" w:cs="Times New Roman" w:eastAsia="Times New Roman" w:hAnsi="Times New Roman"/>
                <w:sz w:val="20"/>
                <w:szCs w:val="20"/>
                <w:color w:val="auto"/>
              </w:rPr>
              <w:t>April 14, 2025</w:t>
            </w:r>
          </w:p>
        </w:tc>
      </w:tr>
      <w:tr>
        <w:trPr>
          <w:trHeight w:val="200"/>
        </w:trPr>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7"/>
              </w:rPr>
              <w:t>Co-Head of</w:t>
            </w:r>
          </w:p>
        </w:tc>
        <w:tc>
          <w:tcPr>
            <w:tcW w:w="1160" w:type="dxa"/>
            <w:vAlign w:val="bottom"/>
          </w:tcPr>
          <w:p>
            <w:pPr>
              <w:spacing w:after="0"/>
              <w:rPr>
                <w:sz w:val="17"/>
                <w:szCs w:val="17"/>
                <w:color w:val="auto"/>
              </w:rPr>
            </w:pPr>
          </w:p>
        </w:tc>
        <w:tc>
          <w:tcPr>
            <w:tcW w:w="15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2024</w:t>
            </w:r>
          </w:p>
        </w:tc>
        <w:tc>
          <w:tcPr>
            <w:tcW w:w="4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0"/>
        </w:trPr>
        <w:tc>
          <w:tcPr>
            <w:tcW w:w="138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Global</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4"/>
        </w:trPr>
        <w:tc>
          <w:tcPr>
            <w:tcW w:w="1380" w:type="dxa"/>
            <w:vAlign w:val="bottom"/>
          </w:tcPr>
          <w:p>
            <w:pPr>
              <w:jc w:val="center"/>
              <w:ind w:right="4"/>
              <w:spacing w:after="0"/>
              <w:rPr>
                <w:sz w:val="20"/>
                <w:szCs w:val="20"/>
                <w:color w:val="auto"/>
              </w:rPr>
            </w:pPr>
            <w:r>
              <w:rPr>
                <w:rFonts w:ascii="Times New Roman" w:cs="Times New Roman" w:eastAsia="Times New Roman" w:hAnsi="Times New Roman"/>
                <w:sz w:val="20"/>
                <w:szCs w:val="20"/>
                <w:b w:val="1"/>
                <w:bCs w:val="1"/>
                <w:i w:val="1"/>
                <w:iCs w:val="1"/>
                <w:color w:val="auto"/>
                <w:w w:val="94"/>
              </w:rPr>
              <w:t>Markets</w:t>
            </w: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-555625</wp:posOffset>
            </wp:positionV>
            <wp:extent cx="6654800" cy="587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3">
                      <a:extLst>
                        <a:ext uri="{28A0092B-C50C-407E-A947-70E740481C1C}"/>
                      </a:extLst>
                    </a:blip>
                    <a:srcRect/>
                    <a:stretch>
                      <a:fillRect/>
                    </a:stretch>
                  </pic:blipFill>
                  <pic:spPr bwMode="auto">
                    <a:xfrm>
                      <a:off x="0" y="0"/>
                      <a:ext cx="6654800" cy="587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-542925</wp:posOffset>
                </wp:positionV>
                <wp:extent cx="250507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7499pt" to="197.25pt,-42.7499pt" o:allowincell="f" strokecolor="#000000" strokeweight="0pt"/>
            </w:pict>
          </mc:Fallback>
        </mc:AlternateContent>
      </w:r>
    </w:p>
    <w:p>
      <w:pPr>
        <w:spacing w:after="0" w:line="160" w:lineRule="exact"/>
        <w:rPr>
          <w:sz w:val="20"/>
          <w:szCs w:val="20"/>
          <w:color w:val="auto"/>
        </w:rPr>
      </w:pPr>
    </w:p>
    <w:p>
      <w:pPr>
        <w:ind w:left="370" w:right="240" w:hanging="370"/>
        <w:spacing w:after="0" w:line="282" w:lineRule="auto"/>
        <w:tabs>
          <w:tab w:leader="none" w:pos="37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trading arrangement may also expire on such earlier date as all such transactions under the trading arrangement are completed or at such time as such trading arrangement is otherwise terminated in accordance with its terms.</w:t>
      </w:r>
    </w:p>
    <w:p>
      <w:pPr>
        <w:spacing w:after="0" w:line="140"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During the three months ended December 31, 2024, none of our directors or executive officers adopted, modified or terminated a non-Rule 10b5-1 trading arrangement (as defined in Item 408 of Regulation S-K).</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ectPr>
          <w:pgSz w:w="12060" w:h="15660" w:orient="portrait"/>
          <w:cols w:equalWidth="0" w:num="1">
            <w:col w:w="10450"/>
          </w:cols>
          <w:pgMar w:left="810" w:top="7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155</w:t>
      </w:r>
    </w:p>
    <w:p>
      <w:pPr>
        <w:sectPr>
          <w:pgSz w:w="12060" w:h="15660" w:orient="portrait"/>
          <w:cols w:equalWidth="0" w:num="1">
            <w:col w:w="10450"/>
          </w:cols>
          <w:pgMar w:left="810" w:top="744" w:right="800" w:bottom="0" w:gutter="0" w:footer="0" w:header="0"/>
          <w:type w:val="continuous"/>
        </w:sectPr>
      </w:pPr>
    </w:p>
    <w:bookmarkStart w:id="165" w:name="page166"/>
    <w:bookmarkEnd w:id="165"/>
    <w:p>
      <w:pPr>
        <w:ind w:left="48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information required by this item, including the information required by Item 408(b) of Regulation S-K related to our insider trading policies and procedures,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4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SECURITIES OWNERSHIP OF CERTAIN BENEFICIAL OWNERS AND MANAGEMENT AND RELATED STOCKHOLDER MATTERS.</w:t>
      </w:r>
    </w:p>
    <w:p>
      <w:pPr>
        <w:spacing w:after="0" w:line="13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ectPr>
          <w:pgSz w:w="12060" w:h="15660" w:orient="portrait"/>
          <w:cols w:equalWidth="0" w:num="1">
            <w:col w:w="10340"/>
          </w:cols>
          <w:pgMar w:left="820" w:top="74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156</w:t>
      </w:r>
    </w:p>
    <w:p>
      <w:pPr>
        <w:sectPr>
          <w:pgSz w:w="12060" w:h="15660" w:orient="portrait"/>
          <w:cols w:equalWidth="0" w:num="1">
            <w:col w:w="10340"/>
          </w:cols>
          <w:pgMar w:left="820" w:top="741" w:right="900" w:bottom="0" w:gutter="0" w:footer="0" w:header="0"/>
          <w:type w:val="continuous"/>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ITEM 15. EXHIBITS AND FINANCIAL STATEMENT SCHEDULES.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1. Financial Statements.</w:t>
      </w:r>
    </w:p>
    <w:p>
      <w:pPr>
        <w:spacing w:after="0" w:line="21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101010"/>
        </w:rPr>
        <w:t>The financial statements are set forth under Part II, Item 8. – “Financial Statements and Supplementary Data” of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2. Financial Statement Schedules.</w:t>
      </w:r>
    </w:p>
    <w:p>
      <w:pPr>
        <w:spacing w:after="0" w:line="21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10101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3.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The following exhibits are filed or furnished as a part of this Annual Report on Form 10-K:</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80" w:type="dxa"/>
            <w:vAlign w:val="bottom"/>
            <w:gridSpan w:val="25"/>
          </w:tcPr>
          <w:p>
            <w:pPr>
              <w:ind w:left="12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720" w:type="dxa"/>
            <w:vAlign w:val="bottom"/>
            <w:tcBorders>
              <w:top w:val="single" w:sz="8" w:color="auto"/>
              <w:bottom w:val="single" w:sz="8" w:color="282828"/>
            </w:tcBorders>
            <w:gridSpan w:val="16"/>
          </w:tcPr>
          <w:p>
            <w:pPr>
              <w:spacing w:after="0" w:line="198" w:lineRule="exact"/>
              <w:rPr>
                <w:sz w:val="20"/>
                <w:szCs w:val="20"/>
                <w:color w:val="auto"/>
              </w:rPr>
            </w:pPr>
            <w:r>
              <w:rPr>
                <w:rFonts w:ascii="Times New Roman" w:cs="Times New Roman" w:eastAsia="Times New Roman" w:hAnsi="Times New Roman"/>
                <w:sz w:val="20"/>
                <w:szCs w:val="20"/>
                <w:color w:val="282828"/>
              </w:rPr>
              <w:t>Purchase Agreement, dated April 5, 2024, by and between ICD Intermediate Holdco 1, LLC, ICD Holdings,</w:t>
            </w:r>
          </w:p>
        </w:tc>
        <w:tc>
          <w:tcPr>
            <w:tcW w:w="340" w:type="dxa"/>
            <w:vAlign w:val="bottom"/>
            <w:tcBorders>
              <w:top w:val="single" w:sz="8" w:color="auto"/>
            </w:tcBorders>
            <w:gridSpan w:val="1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60" w:type="dxa"/>
            <w:vAlign w:val="bottom"/>
            <w:tcBorders>
              <w:bottom w:val="single" w:sz="8" w:color="282828"/>
            </w:tcBorders>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LLC, Stellus Capital Investment Corporation, Parthenon Investors V ICD Holdco AIV, LP, SCIC - ICD Blocker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80" w:type="dxa"/>
            <w:vAlign w:val="bottom"/>
            <w:tcBorders>
              <w:bottom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1, Inc., Parthenon Investors V ICD Blocker, Inc., Tradeweb Markets LLC, ICD Holdings, LLC, in its capacity</w:t>
            </w:r>
          </w:p>
        </w:tc>
        <w:tc>
          <w:tcPr>
            <w:tcW w:w="18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80" w:type="dxa"/>
            <w:vAlign w:val="bottom"/>
            <w:tcBorders>
              <w:bottom w:val="single" w:sz="8" w:color="282828"/>
            </w:tcBorders>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as the initial Seller Representative thereunder, and Tradeweb Markets Inc., solely for purposes of Section 10.21</w:t>
            </w: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bottom w:val="single" w:sz="8" w:color="282828"/>
            </w:tcBorders>
            <w:gridSpan w:val="22"/>
          </w:tcPr>
          <w:p>
            <w:pPr>
              <w:spacing w:after="0" w:line="220" w:lineRule="exact"/>
              <w:rPr>
                <w:sz w:val="20"/>
                <w:szCs w:val="20"/>
                <w:color w:val="auto"/>
              </w:rPr>
            </w:pPr>
            <w:r>
              <w:rPr>
                <w:rFonts w:ascii="Times New Roman" w:cs="Times New Roman" w:eastAsia="Times New Roman" w:hAnsi="Times New Roman"/>
                <w:sz w:val="20"/>
                <w:szCs w:val="20"/>
                <w:color w:val="282828"/>
              </w:rPr>
              <w:t>thereof (incorporated by reference to Exhibit 2.1 to the Company’s Current Report on Form 8-K filed on April</w:t>
            </w:r>
          </w:p>
        </w:tc>
        <w:tc>
          <w:tcPr>
            <w:tcW w:w="16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8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9"/>
              </w:rPr>
              <w:t>8, 2024 (File No. 001-38860)).</w:t>
            </w:r>
          </w:p>
        </w:tc>
        <w:tc>
          <w:tcPr>
            <w:tcW w:w="6580" w:type="dxa"/>
            <w:vAlign w:val="bottom"/>
            <w:gridSpan w:val="2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rPr>
              <w:t>Amended and Restated Certificate of Incorporation of Tradeweb Markets Inc. (incorporated by reference to</w:t>
            </w:r>
          </w:p>
        </w:tc>
        <w:tc>
          <w:tcPr>
            <w:tcW w:w="400" w:type="dxa"/>
            <w:vAlign w:val="bottom"/>
            <w:gridSpan w:val="1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80" w:type="dxa"/>
            <w:vAlign w:val="bottom"/>
            <w:tcBorders>
              <w:bottom w:val="single" w:sz="8" w:color="282828"/>
            </w:tcBorders>
            <w:gridSpan w:val="12"/>
          </w:tcPr>
          <w:p>
            <w:pPr>
              <w:spacing w:after="0" w:line="220" w:lineRule="exact"/>
              <w:rPr>
                <w:sz w:val="20"/>
                <w:szCs w:val="20"/>
                <w:color w:val="auto"/>
              </w:rPr>
            </w:pPr>
            <w:r>
              <w:rPr>
                <w:rFonts w:ascii="Times New Roman" w:cs="Times New Roman" w:eastAsia="Times New Roman" w:hAnsi="Times New Roman"/>
                <w:sz w:val="20"/>
                <w:szCs w:val="20"/>
                <w:color w:val="282828"/>
                <w:w w:val="99"/>
              </w:rPr>
              <w:t>Exhibit 3.1 to the Company’s Current Report on Form 8-K filed on April 9, 2019 (File No. 001-38860)).</w:t>
            </w:r>
          </w:p>
        </w:tc>
        <w:tc>
          <w:tcPr>
            <w:tcW w:w="680" w:type="dxa"/>
            <w:vAlign w:val="bottom"/>
            <w:gridSpan w:val="1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50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rPr>
              <w:t>Amended and Restated Bylaws of Tradeweb Markets Inc. (incorporated by reference to Exhibit 3.2 to the</w:t>
            </w:r>
          </w:p>
        </w:tc>
        <w:tc>
          <w:tcPr>
            <w:tcW w:w="560" w:type="dxa"/>
            <w:vAlign w:val="bottom"/>
            <w:gridSpan w:val="1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40" w:type="dxa"/>
            <w:vAlign w:val="bottom"/>
            <w:tcBorders>
              <w:bottom w:val="single" w:sz="8" w:color="282828"/>
            </w:tcBorders>
            <w:gridSpan w:val="7"/>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Current Report on Form 8-K filed on April 9, 2019 (File No. 001-38860)).</w:t>
            </w:r>
          </w:p>
        </w:tc>
        <w:tc>
          <w:tcPr>
            <w:tcW w:w="212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8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Specimen Common Stock Certificate of Tradeweb Markets Inc. (incorporated by reference to Exhibit 4.1 to the</w:t>
            </w:r>
          </w:p>
        </w:tc>
        <w:tc>
          <w:tcPr>
            <w:tcW w:w="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40" w:type="dxa"/>
            <w:vAlign w:val="bottom"/>
            <w:tcBorders>
              <w:bottom w:val="single" w:sz="8" w:color="282828"/>
            </w:tcBorders>
            <w:gridSpan w:val="6"/>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Registration Statement on Form S-1 (File No. 333-230115)).</w:t>
            </w:r>
          </w:p>
        </w:tc>
        <w:tc>
          <w:tcPr>
            <w:tcW w:w="322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6"/>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0" w:type="dxa"/>
            <w:vAlign w:val="bottom"/>
            <w:tcBorders>
              <w:bottom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rPr>
              <w:t>Description of Securities Registered Pursuant to Section 12 of the Securities Exchange Act of 1934</w:t>
            </w:r>
          </w:p>
        </w:tc>
        <w:tc>
          <w:tcPr>
            <w:tcW w:w="106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282828"/>
            </w:tcBorders>
            <w:gridSpan w:val="20"/>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4.2 to the Company’s Annual Report on Form 10-K/A filed on March 4,</w:t>
            </w:r>
          </w:p>
        </w:tc>
        <w:tc>
          <w:tcPr>
            <w:tcW w:w="20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rPr>
              <w:t>2020 (File No. 001-38860)).</w:t>
            </w:r>
          </w:p>
        </w:tc>
        <w:tc>
          <w:tcPr>
            <w:tcW w:w="6740" w:type="dxa"/>
            <w:vAlign w:val="bottom"/>
            <w:gridSpan w:val="2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rPr>
              <w:t>Stockholders Agreement, dated as of April 8, 2019, by and among Tradeweb Markets Inc., Refinitiv US PME</w:t>
            </w:r>
          </w:p>
        </w:tc>
        <w:tc>
          <w:tcPr>
            <w:tcW w:w="22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60" w:type="dxa"/>
            <w:vAlign w:val="bottom"/>
            <w:tcBorders>
              <w:bottom w:val="single" w:sz="8" w:color="282828"/>
            </w:tcBorders>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LLC and Refinitiv Parent Limited (incorporated by reference to Exhibit 10.1 to the Company’s Quarterly Report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tcBorders>
              <w:bottom w:val="single" w:sz="8" w:color="282828"/>
            </w:tcBorders>
            <w:gridSpan w:val="5"/>
          </w:tcPr>
          <w:p>
            <w:pPr>
              <w:spacing w:after="0" w:line="220" w:lineRule="exact"/>
              <w:rPr>
                <w:sz w:val="20"/>
                <w:szCs w:val="20"/>
                <w:color w:val="auto"/>
              </w:rPr>
            </w:pPr>
            <w:r>
              <w:rPr>
                <w:rFonts w:ascii="Times New Roman" w:cs="Times New Roman" w:eastAsia="Times New Roman" w:hAnsi="Times New Roman"/>
                <w:sz w:val="20"/>
                <w:szCs w:val="20"/>
                <w:color w:val="282828"/>
                <w:w w:val="99"/>
              </w:rPr>
              <w:t>on Form 10-Q filed on May 20, 2019 (File No. 001-38860)).</w:t>
            </w:r>
          </w:p>
        </w:tc>
        <w:tc>
          <w:tcPr>
            <w:tcW w:w="420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8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Registration Rights Agreement, dated as of April 8, 2019, by and among Tradeweb Markets Inc., the Refinitiv</w:t>
            </w:r>
          </w:p>
        </w:tc>
        <w:tc>
          <w:tcPr>
            <w:tcW w:w="18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00" w:type="dxa"/>
            <w:vAlign w:val="bottom"/>
            <w:tcBorders>
              <w:bottom w:val="single" w:sz="8" w:color="282828"/>
            </w:tcBorders>
            <w:gridSpan w:val="11"/>
          </w:tcPr>
          <w:p>
            <w:pPr>
              <w:spacing w:after="0" w:line="220" w:lineRule="exact"/>
              <w:rPr>
                <w:sz w:val="20"/>
                <w:szCs w:val="20"/>
                <w:color w:val="auto"/>
              </w:rPr>
            </w:pPr>
            <w:r>
              <w:rPr>
                <w:rFonts w:ascii="Times New Roman" w:cs="Times New Roman" w:eastAsia="Times New Roman" w:hAnsi="Times New Roman"/>
                <w:sz w:val="20"/>
                <w:szCs w:val="20"/>
                <w:color w:val="282828"/>
              </w:rPr>
              <w:t>Holders (as defined therein), the Bank Holders (as defined therein) and the other holders of Registrable</w:t>
            </w:r>
          </w:p>
        </w:tc>
        <w:tc>
          <w:tcPr>
            <w:tcW w:w="76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80" w:type="dxa"/>
            <w:vAlign w:val="bottom"/>
            <w:tcBorders>
              <w:bottom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Securities (as defined therein) party thereto from time to time (incorporated by reference to Exhibit 10.2 to the</w:t>
            </w:r>
          </w:p>
        </w:tc>
        <w:tc>
          <w:tcPr>
            <w:tcW w:w="18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282828"/>
            </w:tcBorders>
            <w:gridSpan w:val="8"/>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Quarterly Report on Form 10-Q filed on May 20, 2019 (File No. 001-38860)).</w:t>
            </w:r>
          </w:p>
        </w:tc>
        <w:tc>
          <w:tcPr>
            <w:tcW w:w="1820" w:type="dxa"/>
            <w:vAlign w:val="bottom"/>
            <w:gridSpan w:val="2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2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Fifth Amended and Restated LLC Agreement of Tradeweb Markets LLC (incorporated by reference to Exhibit</w:t>
            </w:r>
          </w:p>
        </w:tc>
        <w:tc>
          <w:tcPr>
            <w:tcW w:w="14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40" w:type="dxa"/>
            <w:vAlign w:val="bottom"/>
            <w:tcBorders>
              <w:bottom w:val="single" w:sz="8" w:color="282828"/>
            </w:tcBorders>
            <w:gridSpan w:val="10"/>
          </w:tcPr>
          <w:p>
            <w:pPr>
              <w:spacing w:after="0" w:line="220" w:lineRule="exact"/>
              <w:rPr>
                <w:sz w:val="20"/>
                <w:szCs w:val="20"/>
                <w:color w:val="auto"/>
              </w:rPr>
            </w:pPr>
            <w:r>
              <w:rPr>
                <w:rFonts w:ascii="Times New Roman" w:cs="Times New Roman" w:eastAsia="Times New Roman" w:hAnsi="Times New Roman"/>
                <w:sz w:val="20"/>
                <w:szCs w:val="20"/>
                <w:color w:val="282828"/>
                <w:w w:val="99"/>
              </w:rPr>
              <w:t>10.</w:t>
            </w:r>
            <w:r>
              <w:rPr>
                <w:rFonts w:ascii="Times New Roman" w:cs="Times New Roman" w:eastAsia="Times New Roman" w:hAnsi="Times New Roman"/>
                <w:sz w:val="20"/>
                <w:szCs w:val="20"/>
                <w:u w:val="single" w:color="auto"/>
                <w:color w:val="282828"/>
                <w:w w:val="99"/>
              </w:rPr>
              <w:t>3</w:t>
            </w:r>
            <w:r>
              <w:rPr>
                <w:rFonts w:ascii="Times New Roman" w:cs="Times New Roman" w:eastAsia="Times New Roman" w:hAnsi="Times New Roman"/>
                <w:sz w:val="20"/>
                <w:szCs w:val="20"/>
                <w:color w:val="282828"/>
                <w:w w:val="99"/>
              </w:rPr>
              <w:t xml:space="preserve"> to the Company’s Quarterly Report on Form 10-Q filed on May 20, 2019 (File No. 001-38860)).</w:t>
            </w:r>
          </w:p>
        </w:tc>
        <w:tc>
          <w:tcPr>
            <w:tcW w:w="92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60" w:type="dxa"/>
            <w:vAlign w:val="bottom"/>
            <w:tcBorders>
              <w:bottom w:val="single" w:sz="8" w:color="282828"/>
            </w:tcBorders>
            <w:gridSpan w:val="28"/>
          </w:tcPr>
          <w:p>
            <w:pPr>
              <w:spacing w:after="0"/>
              <w:rPr>
                <w:sz w:val="20"/>
                <w:szCs w:val="20"/>
                <w:color w:val="auto"/>
              </w:rPr>
            </w:pPr>
            <w:r>
              <w:rPr>
                <w:rFonts w:ascii="Times New Roman" w:cs="Times New Roman" w:eastAsia="Times New Roman" w:hAnsi="Times New Roman"/>
                <w:sz w:val="20"/>
                <w:szCs w:val="20"/>
                <w:color w:val="282828"/>
              </w:rPr>
              <w:t>Tax Receivable Agreement, dated as of April 8, 2019, by and among Tradeweb Markets Inc., Tradeweb Markets</w:t>
            </w:r>
          </w:p>
        </w:tc>
        <w:tc>
          <w:tcPr>
            <w:tcW w:w="20" w:type="dxa"/>
            <w:vAlign w:val="bottom"/>
            <w:tcBorders>
              <w:bottom w:val="single" w:sz="8" w:color="282828"/>
            </w:tcBorders>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tcBorders>
              <w:bottom w:val="single" w:sz="8" w:color="282828"/>
            </w:tcBorders>
            <w:gridSpan w:val="24"/>
          </w:tcPr>
          <w:p>
            <w:pPr>
              <w:spacing w:after="0" w:line="220" w:lineRule="exact"/>
              <w:rPr>
                <w:sz w:val="20"/>
                <w:szCs w:val="20"/>
                <w:color w:val="auto"/>
              </w:rPr>
            </w:pPr>
            <w:r>
              <w:rPr>
                <w:rFonts w:ascii="Times New Roman" w:cs="Times New Roman" w:eastAsia="Times New Roman" w:hAnsi="Times New Roman"/>
                <w:sz w:val="20"/>
                <w:szCs w:val="20"/>
                <w:color w:val="282828"/>
              </w:rPr>
              <w:t>LLC and the members of Tradeweb Markets LLC from time to time party thereto (incorporated by reference to</w:t>
            </w:r>
          </w:p>
        </w:tc>
        <w:tc>
          <w:tcPr>
            <w:tcW w:w="1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282828"/>
            </w:tcBorders>
            <w:gridSpan w:val="17"/>
          </w:tcPr>
          <w:p>
            <w:pPr>
              <w:spacing w:after="0" w:line="220" w:lineRule="exact"/>
              <w:rPr>
                <w:sz w:val="20"/>
                <w:szCs w:val="20"/>
                <w:color w:val="auto"/>
              </w:rPr>
            </w:pPr>
            <w:r>
              <w:rPr>
                <w:rFonts w:ascii="Times New Roman" w:cs="Times New Roman" w:eastAsia="Times New Roman" w:hAnsi="Times New Roman"/>
                <w:sz w:val="20"/>
                <w:szCs w:val="20"/>
                <w:color w:val="282828"/>
                <w:w w:val="99"/>
              </w:rPr>
              <w:t>Exhibit 10.4 to the Company’s Quarterly Report on Form 10-Q filed on May 20, 2019 (File No. 001-38860)).</w:t>
            </w:r>
          </w:p>
        </w:tc>
        <w:tc>
          <w:tcPr>
            <w:tcW w:w="28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40" w:type="dxa"/>
            <w:vAlign w:val="bottom"/>
            <w:tcBorders>
              <w:bottom w:val="single" w:sz="8" w:color="282828"/>
            </w:tcBorders>
            <w:gridSpan w:val="14"/>
          </w:tcPr>
          <w:p>
            <w:pPr>
              <w:spacing w:after="0"/>
              <w:rPr>
                <w:sz w:val="20"/>
                <w:szCs w:val="20"/>
                <w:color w:val="auto"/>
              </w:rPr>
            </w:pPr>
            <w:r>
              <w:rPr>
                <w:rFonts w:ascii="Times New Roman" w:cs="Times New Roman" w:eastAsia="Times New Roman" w:hAnsi="Times New Roman"/>
                <w:sz w:val="20"/>
                <w:szCs w:val="20"/>
                <w:color w:val="282828"/>
              </w:rPr>
              <w:t>Restrictive Covenant Agreement, dated as of April 8, 2019, by and among the Refinitiv Entities (as defined</w:t>
            </w:r>
          </w:p>
        </w:tc>
        <w:tc>
          <w:tcPr>
            <w:tcW w:w="420" w:type="dxa"/>
            <w:vAlign w:val="bottom"/>
            <w:gridSpan w:val="14"/>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282828"/>
            </w:tcBorders>
            <w:gridSpan w:val="20"/>
          </w:tcPr>
          <w:p>
            <w:pPr>
              <w:spacing w:after="0" w:line="220" w:lineRule="exact"/>
              <w:rPr>
                <w:sz w:val="20"/>
                <w:szCs w:val="20"/>
                <w:color w:val="auto"/>
              </w:rPr>
            </w:pPr>
            <w:r>
              <w:rPr>
                <w:rFonts w:ascii="Times New Roman" w:cs="Times New Roman" w:eastAsia="Times New Roman" w:hAnsi="Times New Roman"/>
                <w:sz w:val="20"/>
                <w:szCs w:val="20"/>
                <w:color w:val="282828"/>
              </w:rPr>
              <w:t>therein), Tradeweb Markets LLC and Tradeweb Markets Inc. (incorporated by reference to Exhibit 10.5 to the</w:t>
            </w:r>
          </w:p>
        </w:tc>
        <w:tc>
          <w:tcPr>
            <w:tcW w:w="20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282828"/>
            </w:tcBorders>
            <w:gridSpan w:val="8"/>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Quarterly Report on Form 10-Q filed on May 20, 2019 (File No. 001-38860)).</w:t>
            </w:r>
          </w:p>
        </w:tc>
        <w:tc>
          <w:tcPr>
            <w:tcW w:w="1820" w:type="dxa"/>
            <w:vAlign w:val="bottom"/>
            <w:gridSpan w:val="2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900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Form of Indemnification Agreement (incorporated by reference to Exhibit 10.16 to the Company’s Registration</w:t>
            </w:r>
          </w:p>
        </w:tc>
        <w:tc>
          <w:tcPr>
            <w:tcW w:w="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9"/>
              </w:rPr>
              <w:t>Statement on Form S-1 (File No. 333-230115)).</w:t>
            </w:r>
          </w:p>
        </w:tc>
        <w:tc>
          <w:tcPr>
            <w:tcW w:w="5220" w:type="dxa"/>
            <w:vAlign w:val="bottom"/>
            <w:gridSpan w:val="2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8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Master Data License Agreement, effective as of November 1, 2023, between Tradeweb Markets LLC, Refinitiv</w:t>
            </w:r>
          </w:p>
        </w:tc>
        <w:tc>
          <w:tcPr>
            <w:tcW w:w="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282828"/>
            </w:tcBorders>
            <w:gridSpan w:val="27"/>
          </w:tcPr>
          <w:p>
            <w:pPr>
              <w:spacing w:after="0" w:line="220" w:lineRule="exact"/>
              <w:rPr>
                <w:sz w:val="20"/>
                <w:szCs w:val="20"/>
                <w:color w:val="auto"/>
              </w:rPr>
            </w:pPr>
            <w:r>
              <w:rPr>
                <w:rFonts w:ascii="Times New Roman" w:cs="Times New Roman" w:eastAsia="Times New Roman" w:hAnsi="Times New Roman"/>
                <w:sz w:val="20"/>
                <w:szCs w:val="20"/>
                <w:color w:val="282828"/>
              </w:rPr>
              <w:t>US LLC and Refinitiv US Organization LLC and related Data Schedules, as of November 1, 2023 (incorporated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282828"/>
            </w:tcBorders>
            <w:gridSpan w:val="18"/>
          </w:tcPr>
          <w:p>
            <w:pPr>
              <w:spacing w:after="0" w:line="220" w:lineRule="exact"/>
              <w:rPr>
                <w:sz w:val="20"/>
                <w:szCs w:val="20"/>
                <w:color w:val="auto"/>
              </w:rPr>
            </w:pPr>
            <w:r>
              <w:rPr>
                <w:rFonts w:ascii="Times New Roman" w:cs="Times New Roman" w:eastAsia="Times New Roman" w:hAnsi="Times New Roman"/>
                <w:sz w:val="20"/>
                <w:szCs w:val="20"/>
                <w:color w:val="282828"/>
              </w:rPr>
              <w:t>by reference to Exhibit 10.36 to the Company’s Annual Report on Form 10-K filed on February 9, 2024 (File</w:t>
            </w:r>
          </w:p>
        </w:tc>
        <w:tc>
          <w:tcPr>
            <w:tcW w:w="26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6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-5786120</wp:posOffset>
                </wp:positionV>
                <wp:extent cx="79057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0">
                          <a:solidFill>
                            <a:srgbClr val="10101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55.5999pt" to="61.75pt,-455.5999pt" o:allowincell="f" strokecolor="#101010" strokeweight="0pt"/>
            </w:pict>
          </mc:Fallback>
        </mc:AlternateContent>
        <mc:AlternateContent>
          <mc:Choice Requires="wps">
            <w:drawing>
              <wp:anchor simplePos="0" relativeHeight="251657728" behindDoc="1" locked="0" layoutInCell="0" allowOverlap="1">
                <wp:simplePos x="0" y="0"/>
                <wp:positionH relativeFrom="column">
                  <wp:posOffset>822325</wp:posOffset>
                </wp:positionH>
                <wp:positionV relativeFrom="paragraph">
                  <wp:posOffset>-5786120</wp:posOffset>
                </wp:positionV>
                <wp:extent cx="58007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0725" cy="4763"/>
                        </a:xfrm>
                        <a:prstGeom prst="line">
                          <a:avLst/>
                        </a:prstGeom>
                        <a:solidFill>
                          <a:srgbClr val="FFFFFF"/>
                        </a:solidFill>
                        <a:ln w="0">
                          <a:solidFill>
                            <a:srgbClr val="10101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75pt,-455.5999pt" to="521.5pt,-455.5999pt" o:allowincell="f" strokecolor="#101010" strokeweight="0pt"/>
            </w:pict>
          </mc:Fallback>
        </mc:AlternateContent>
      </w:r>
    </w:p>
    <w:p>
      <w:pPr>
        <w:sectPr>
          <w:pgSz w:w="12060" w:h="15660" w:orient="portrait"/>
          <w:cols w:equalWidth="0" w:num="1">
            <w:col w:w="10440"/>
          </w:cols>
          <w:pgMar w:left="82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157</w:t>
      </w:r>
    </w:p>
    <w:p>
      <w:pPr>
        <w:sectPr>
          <w:pgSz w:w="12060" w:h="15660" w:orient="portrait"/>
          <w:cols w:equalWidth="0" w:num="1">
            <w:col w:w="10440"/>
          </w:cols>
          <w:pgMar w:left="820" w:top="741" w:right="800" w:bottom="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60" w:type="dxa"/>
            <w:vAlign w:val="bottom"/>
            <w:gridSpan w:val="32"/>
          </w:tcPr>
          <w:p>
            <w:pPr>
              <w:ind w:left="14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282828"/>
            </w:tcBorders>
            <w:gridSpan w:val="22"/>
          </w:tcPr>
          <w:p>
            <w:pPr>
              <w:spacing w:after="0" w:line="198" w:lineRule="exact"/>
              <w:rPr>
                <w:sz w:val="20"/>
                <w:szCs w:val="20"/>
                <w:color w:val="auto"/>
              </w:rPr>
            </w:pPr>
            <w:r>
              <w:rPr>
                <w:rFonts w:ascii="Times New Roman" w:cs="Times New Roman" w:eastAsia="Times New Roman" w:hAnsi="Times New Roman"/>
                <w:sz w:val="20"/>
                <w:szCs w:val="20"/>
                <w:color w:val="282828"/>
              </w:rPr>
              <w:t>Credit Agreement, dated as of November 21, 2023, by and among Tradeweb Markets LLC, the lenders party</w:t>
            </w:r>
          </w:p>
        </w:tc>
        <w:tc>
          <w:tcPr>
            <w:tcW w:w="300" w:type="dxa"/>
            <w:vAlign w:val="bottom"/>
            <w:tcBorders>
              <w:top w:val="single" w:sz="8" w:color="auto"/>
            </w:tcBorders>
            <w:gridSpan w:val="1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00" w:type="dxa"/>
            <w:vAlign w:val="bottom"/>
            <w:tcBorders>
              <w:bottom w:val="single" w:sz="8" w:color="282828"/>
            </w:tcBorders>
            <w:gridSpan w:val="15"/>
          </w:tcPr>
          <w:p>
            <w:pPr>
              <w:spacing w:after="0" w:line="220" w:lineRule="exact"/>
              <w:rPr>
                <w:sz w:val="20"/>
                <w:szCs w:val="20"/>
                <w:color w:val="auto"/>
              </w:rPr>
            </w:pPr>
            <w:r>
              <w:rPr>
                <w:rFonts w:ascii="Times New Roman" w:cs="Times New Roman" w:eastAsia="Times New Roman" w:hAnsi="Times New Roman"/>
                <w:sz w:val="20"/>
                <w:szCs w:val="20"/>
                <w:color w:val="282828"/>
              </w:rPr>
              <w:t>thereto, Citibank, N.A., as administrative agent, issuing bank and swing line lender, and Citigroup Global</w:t>
            </w:r>
          </w:p>
        </w:tc>
        <w:tc>
          <w:tcPr>
            <w:tcW w:w="540" w:type="dxa"/>
            <w:vAlign w:val="bottom"/>
            <w:gridSpan w:val="19"/>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282828"/>
            </w:tcBorders>
            <w:gridSpan w:val="26"/>
          </w:tcPr>
          <w:p>
            <w:pPr>
              <w:spacing w:after="0" w:line="220" w:lineRule="exact"/>
              <w:rPr>
                <w:sz w:val="20"/>
                <w:szCs w:val="20"/>
                <w:color w:val="auto"/>
              </w:rPr>
            </w:pPr>
            <w:r>
              <w:rPr>
                <w:rFonts w:ascii="Times New Roman" w:cs="Times New Roman" w:eastAsia="Times New Roman" w:hAnsi="Times New Roman"/>
                <w:sz w:val="20"/>
                <w:szCs w:val="20"/>
                <w:color w:val="282828"/>
              </w:rPr>
              <w:t>Markets Inc., J.P. Morgan Chase Bank, N.A. and Morgan Stanley Senior Funding, Inc., as joint lead arrangers</w:t>
            </w:r>
          </w:p>
        </w:tc>
        <w:tc>
          <w:tcPr>
            <w:tcW w:w="180" w:type="dxa"/>
            <w:vAlign w:val="bottom"/>
            <w:gridSpan w:val="8"/>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282828"/>
            </w:tcBorders>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and joint bookrunners (incorporated by reference to Exhibit 10.1 to the Company’s Current Report on Form 8-K</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4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9"/>
              </w:rPr>
              <w:t>filed on November 21, 2023 (File No. 001-38860)).</w:t>
            </w:r>
          </w:p>
        </w:tc>
        <w:tc>
          <w:tcPr>
            <w:tcW w:w="4900" w:type="dxa"/>
            <w:vAlign w:val="bottom"/>
            <w:gridSpan w:val="31"/>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8800" w:type="dxa"/>
            <w:vAlign w:val="bottom"/>
            <w:tcBorders>
              <w:bottom w:val="single" w:sz="8" w:color="282828"/>
            </w:tcBorders>
            <w:gridSpan w:val="24"/>
          </w:tcPr>
          <w:p>
            <w:pPr>
              <w:spacing w:after="0"/>
              <w:rPr>
                <w:sz w:val="20"/>
                <w:szCs w:val="20"/>
                <w:color w:val="auto"/>
              </w:rPr>
            </w:pPr>
            <w:r>
              <w:rPr>
                <w:rFonts w:ascii="Times New Roman" w:cs="Times New Roman" w:eastAsia="Times New Roman" w:hAnsi="Times New Roman"/>
                <w:sz w:val="20"/>
                <w:szCs w:val="20"/>
                <w:color w:val="282828"/>
              </w:rPr>
              <w:t>Amended and Restated Tradeweb Markets Inc. 2018 Share Option Plan (incorporated by reference to Exhibit</w:t>
            </w:r>
          </w:p>
        </w:tc>
        <w:tc>
          <w:tcPr>
            <w:tcW w:w="240" w:type="dxa"/>
            <w:vAlign w:val="bottom"/>
            <w:gridSpan w:val="10"/>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40" w:type="dxa"/>
            <w:vAlign w:val="bottom"/>
            <w:tcBorders>
              <w:bottom w:val="single" w:sz="8" w:color="282828"/>
            </w:tcBorders>
            <w:gridSpan w:val="11"/>
          </w:tcPr>
          <w:p>
            <w:pPr>
              <w:spacing w:after="0" w:line="220" w:lineRule="exact"/>
              <w:rPr>
                <w:sz w:val="20"/>
                <w:szCs w:val="20"/>
                <w:color w:val="auto"/>
              </w:rPr>
            </w:pPr>
            <w:r>
              <w:rPr>
                <w:rFonts w:ascii="Times New Roman" w:cs="Times New Roman" w:eastAsia="Times New Roman" w:hAnsi="Times New Roman"/>
                <w:sz w:val="20"/>
                <w:szCs w:val="20"/>
                <w:color w:val="282828"/>
                <w:w w:val="99"/>
              </w:rPr>
              <w:t>10.</w:t>
            </w:r>
            <w:r>
              <w:rPr>
                <w:rFonts w:ascii="Times New Roman" w:cs="Times New Roman" w:eastAsia="Times New Roman" w:hAnsi="Times New Roman"/>
                <w:sz w:val="20"/>
                <w:szCs w:val="20"/>
                <w:u w:val="single" w:color="auto"/>
                <w:color w:val="282828"/>
                <w:w w:val="99"/>
              </w:rPr>
              <w:t>8</w:t>
            </w:r>
            <w:r>
              <w:rPr>
                <w:rFonts w:ascii="Times New Roman" w:cs="Times New Roman" w:eastAsia="Times New Roman" w:hAnsi="Times New Roman"/>
                <w:sz w:val="20"/>
                <w:szCs w:val="20"/>
                <w:color w:val="282828"/>
                <w:w w:val="99"/>
              </w:rPr>
              <w:t xml:space="preserve"> to the Company’s Quarterly Report on Form 10-Q filed on May 20, 2019 (File No. 001-38860)).</w:t>
            </w:r>
          </w:p>
        </w:tc>
        <w:tc>
          <w:tcPr>
            <w:tcW w:w="900" w:type="dxa"/>
            <w:vAlign w:val="bottom"/>
            <w:gridSpan w:val="2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882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Form of Option Agreement under the Amended and Restated Tradeweb Markets Inc. 2018 Share Option Plan</w:t>
            </w:r>
          </w:p>
        </w:tc>
        <w:tc>
          <w:tcPr>
            <w:tcW w:w="220" w:type="dxa"/>
            <w:vAlign w:val="bottom"/>
            <w:gridSpan w:val="9"/>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10.11 to the Company’s Registration Statement on Form S-1 (File No.</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top w:val="single" w:sz="8" w:color="282828"/>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9"/>
              </w:rPr>
              <w:t>333-230115)).</w:t>
            </w:r>
          </w:p>
        </w:tc>
        <w:tc>
          <w:tcPr>
            <w:tcW w:w="1120" w:type="dxa"/>
            <w:vAlign w:val="bottom"/>
            <w:tcBorders>
              <w:top w:val="single" w:sz="8" w:color="282828"/>
            </w:tcBorders>
          </w:tcPr>
          <w:p>
            <w:pPr>
              <w:spacing w:after="0"/>
              <w:rPr>
                <w:sz w:val="19"/>
                <w:szCs w:val="19"/>
                <w:color w:val="auto"/>
              </w:rPr>
            </w:pPr>
          </w:p>
        </w:tc>
        <w:tc>
          <w:tcPr>
            <w:tcW w:w="1860" w:type="dxa"/>
            <w:vAlign w:val="bottom"/>
            <w:tcBorders>
              <w:top w:val="single" w:sz="8" w:color="282828"/>
            </w:tcBorders>
          </w:tcPr>
          <w:p>
            <w:pPr>
              <w:spacing w:after="0"/>
              <w:rPr>
                <w:sz w:val="19"/>
                <w:szCs w:val="19"/>
                <w:color w:val="auto"/>
              </w:rPr>
            </w:pPr>
          </w:p>
        </w:tc>
        <w:tc>
          <w:tcPr>
            <w:tcW w:w="40" w:type="dxa"/>
            <w:vAlign w:val="bottom"/>
            <w:tcBorders>
              <w:top w:val="single" w:sz="8" w:color="282828"/>
            </w:tcBorders>
          </w:tcPr>
          <w:p>
            <w:pPr>
              <w:spacing w:after="0"/>
              <w:rPr>
                <w:sz w:val="19"/>
                <w:szCs w:val="19"/>
                <w:color w:val="auto"/>
              </w:rPr>
            </w:pPr>
          </w:p>
        </w:tc>
        <w:tc>
          <w:tcPr>
            <w:tcW w:w="1040" w:type="dxa"/>
            <w:vAlign w:val="bottom"/>
            <w:tcBorders>
              <w:top w:val="single" w:sz="8" w:color="282828"/>
            </w:tcBorders>
          </w:tcPr>
          <w:p>
            <w:pPr>
              <w:spacing w:after="0"/>
              <w:rPr>
                <w:sz w:val="19"/>
                <w:szCs w:val="19"/>
                <w:color w:val="auto"/>
              </w:rPr>
            </w:pPr>
          </w:p>
        </w:tc>
        <w:tc>
          <w:tcPr>
            <w:tcW w:w="22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760" w:type="dxa"/>
            <w:vAlign w:val="bottom"/>
            <w:tcBorders>
              <w:top w:val="single" w:sz="8" w:color="282828"/>
            </w:tcBorders>
          </w:tcPr>
          <w:p>
            <w:pPr>
              <w:spacing w:after="0"/>
              <w:rPr>
                <w:sz w:val="19"/>
                <w:szCs w:val="19"/>
                <w:color w:val="auto"/>
              </w:rPr>
            </w:pPr>
          </w:p>
        </w:tc>
        <w:tc>
          <w:tcPr>
            <w:tcW w:w="98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840" w:type="dxa"/>
            <w:vAlign w:val="bottom"/>
            <w:tcBorders>
              <w:top w:val="single" w:sz="8" w:color="282828"/>
            </w:tcBorders>
          </w:tcPr>
          <w:p>
            <w:pPr>
              <w:spacing w:after="0"/>
              <w:rPr>
                <w:sz w:val="19"/>
                <w:szCs w:val="19"/>
                <w:color w:val="auto"/>
              </w:rPr>
            </w:pPr>
          </w:p>
        </w:tc>
        <w:tc>
          <w:tcPr>
            <w:tcW w:w="180" w:type="dxa"/>
            <w:vAlign w:val="bottom"/>
            <w:tcBorders>
              <w:top w:val="single" w:sz="8" w:color="282828"/>
            </w:tcBorders>
          </w:tcPr>
          <w:p>
            <w:pPr>
              <w:spacing w:after="0"/>
              <w:rPr>
                <w:sz w:val="19"/>
                <w:szCs w:val="19"/>
                <w:color w:val="auto"/>
              </w:rPr>
            </w:pPr>
          </w:p>
        </w:tc>
        <w:tc>
          <w:tcPr>
            <w:tcW w:w="8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8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10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8940" w:type="dxa"/>
            <w:vAlign w:val="bottom"/>
            <w:tcBorders>
              <w:bottom w:val="single" w:sz="8" w:color="282828"/>
            </w:tcBorders>
            <w:gridSpan w:val="29"/>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(incorporated by reference to Exhibit 10.10 to the</w:t>
            </w:r>
          </w:p>
        </w:tc>
        <w:tc>
          <w:tcPr>
            <w:tcW w:w="100" w:type="dxa"/>
            <w:vAlign w:val="bottom"/>
            <w:gridSpan w:val="5"/>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282828"/>
            </w:tcBorders>
            <w:gridSpan w:val="9"/>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Quarterly Report on Form 10-Q filed on May 20, 2019 (File No. 001-38860)).</w:t>
            </w:r>
          </w:p>
        </w:tc>
        <w:tc>
          <w:tcPr>
            <w:tcW w:w="1800" w:type="dxa"/>
            <w:vAlign w:val="bottom"/>
            <w:gridSpan w:val="25"/>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8320" w:type="dxa"/>
            <w:vAlign w:val="bottom"/>
            <w:tcBorders>
              <w:bottom w:val="single" w:sz="8" w:color="282828"/>
            </w:tcBorders>
            <w:gridSpan w:val="12"/>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PRSU Award Agreement (Form of PRSU</w:t>
            </w:r>
          </w:p>
        </w:tc>
        <w:tc>
          <w:tcPr>
            <w:tcW w:w="720" w:type="dxa"/>
            <w:vAlign w:val="bottom"/>
            <w:gridSpan w:val="2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33"/>
          </w:tcPr>
          <w:p>
            <w:pPr>
              <w:spacing w:after="0" w:line="220" w:lineRule="exact"/>
              <w:rPr>
                <w:sz w:val="20"/>
                <w:szCs w:val="20"/>
                <w:color w:val="auto"/>
              </w:rPr>
            </w:pPr>
            <w:r>
              <w:rPr>
                <w:rFonts w:ascii="Times New Roman" w:cs="Times New Roman" w:eastAsia="Times New Roman" w:hAnsi="Times New Roman"/>
                <w:sz w:val="20"/>
                <w:szCs w:val="20"/>
                <w:color w:val="282828"/>
              </w:rPr>
              <w:t>Agreement for Messrs. Olesky and Hult) (incorporated by reference to Exhibit 10.3 to the Company’s Quarterly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shd w:val="clear" w:color="auto" w:fill="282828"/>
          </w:tcPr>
          <w:p>
            <w:pPr>
              <w:spacing w:after="0" w:line="20" w:lineRule="exact"/>
              <w:rPr>
                <w:sz w:val="1"/>
                <w:szCs w:val="1"/>
                <w:color w:val="auto"/>
              </w:rPr>
            </w:pPr>
          </w:p>
        </w:tc>
        <w:tc>
          <w:tcPr>
            <w:tcW w:w="1900" w:type="dxa"/>
            <w:vAlign w:val="bottom"/>
            <w:gridSpan w:val="2"/>
            <w:shd w:val="clear" w:color="auto" w:fill="282828"/>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10.13†</w:t>
            </w:r>
          </w:p>
        </w:tc>
        <w:tc>
          <w:tcPr>
            <w:tcW w:w="8320" w:type="dxa"/>
            <w:vAlign w:val="bottom"/>
            <w:tcBorders>
              <w:bottom w:val="single" w:sz="8" w:color="282828"/>
            </w:tcBorders>
            <w:gridSpan w:val="12"/>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PRSU Award Agreement (Form of PRSU</w:t>
            </w:r>
          </w:p>
        </w:tc>
        <w:tc>
          <w:tcPr>
            <w:tcW w:w="720" w:type="dxa"/>
            <w:vAlign w:val="bottom"/>
            <w:gridSpan w:val="2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33"/>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10.4 to the Company’s Quarterly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10.14†</w:t>
            </w:r>
          </w:p>
        </w:tc>
        <w:tc>
          <w:tcPr>
            <w:tcW w:w="2280" w:type="dxa"/>
            <w:vAlign w:val="bottom"/>
            <w:gridSpan w:val="2"/>
            <w:shd w:val="clear" w:color="auto" w:fill="282828"/>
          </w:tcPr>
          <w:p>
            <w:pPr>
              <w:spacing w:after="0" w:line="20" w:lineRule="exact"/>
              <w:rPr>
                <w:sz w:val="1"/>
                <w:szCs w:val="1"/>
                <w:color w:val="auto"/>
              </w:rPr>
            </w:pPr>
          </w:p>
        </w:tc>
        <w:tc>
          <w:tcPr>
            <w:tcW w:w="1900" w:type="dxa"/>
            <w:vAlign w:val="bottom"/>
            <w:gridSpan w:val="2"/>
            <w:shd w:val="clear" w:color="auto" w:fill="282828"/>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40" w:type="dxa"/>
            <w:vAlign w:val="bottom"/>
            <w:gridSpan w:val="3"/>
            <w:vMerge w:val="continue"/>
          </w:tcPr>
          <w:p>
            <w:pPr>
              <w:spacing w:after="0"/>
              <w:rPr>
                <w:sz w:val="23"/>
                <w:szCs w:val="23"/>
                <w:color w:val="auto"/>
              </w:rPr>
            </w:pPr>
          </w:p>
        </w:tc>
        <w:tc>
          <w:tcPr>
            <w:tcW w:w="854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rPr>
              <w:t>Form of Director RSU Agreement under the Tradeweb Markets Inc. 2019 Omnibus Equity Incentive Plan</w:t>
            </w:r>
          </w:p>
        </w:tc>
        <w:tc>
          <w:tcPr>
            <w:tcW w:w="500" w:type="dxa"/>
            <w:vAlign w:val="bottom"/>
            <w:gridSpan w:val="17"/>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40" w:type="dxa"/>
            <w:vAlign w:val="bottom"/>
            <w:gridSpan w:val="34"/>
          </w:tcPr>
          <w:p>
            <w:pPr>
              <w:spacing w:after="0" w:line="180" w:lineRule="exact"/>
              <w:rPr>
                <w:sz w:val="20"/>
                <w:szCs w:val="20"/>
                <w:color w:val="auto"/>
              </w:rPr>
            </w:pPr>
            <w:r>
              <w:rPr>
                <w:rFonts w:ascii="Times New Roman" w:cs="Times New Roman" w:eastAsia="Times New Roman" w:hAnsi="Times New Roman"/>
                <w:sz w:val="20"/>
                <w:szCs w:val="20"/>
                <w:color w:val="282828"/>
              </w:rPr>
              <w:t>(incorporated by reference to Exhibit 10.11 to the Company’s Quarterly Report on Form 10-Q filed on May 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Borders>
              <w:top w:val="single" w:sz="8" w:color="282828"/>
              <w:bottom w:val="single" w:sz="8" w:color="282828"/>
            </w:tcBorders>
            <w:gridSpan w:val="2"/>
          </w:tcPr>
          <w:p>
            <w:pPr>
              <w:spacing w:after="0" w:line="180" w:lineRule="exact"/>
              <w:rPr>
                <w:sz w:val="20"/>
                <w:szCs w:val="20"/>
                <w:color w:val="auto"/>
              </w:rPr>
            </w:pPr>
            <w:r>
              <w:rPr>
                <w:rFonts w:ascii="Times New Roman" w:cs="Times New Roman" w:eastAsia="Times New Roman" w:hAnsi="Times New Roman"/>
                <w:sz w:val="20"/>
                <w:szCs w:val="20"/>
                <w:color w:val="282828"/>
                <w:w w:val="99"/>
              </w:rPr>
              <w:t>2019 (File No. 001-38860)).</w:t>
            </w:r>
          </w:p>
        </w:tc>
        <w:tc>
          <w:tcPr>
            <w:tcW w:w="6700" w:type="dxa"/>
            <w:vAlign w:val="bottom"/>
            <w:tcBorders>
              <w:top w:val="single" w:sz="8" w:color="282828"/>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9040" w:type="dxa"/>
            <w:vAlign w:val="bottom"/>
            <w:gridSpan w:val="3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Restricted Stock Unit Award Agreement (Form of</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20" w:type="dxa"/>
            <w:vAlign w:val="bottom"/>
            <w:tcBorders>
              <w:top w:val="single" w:sz="8" w:color="282828"/>
            </w:tcBorders>
            <w:gridSpan w:val="32"/>
          </w:tcPr>
          <w:p>
            <w:pPr>
              <w:spacing w:after="0" w:line="180" w:lineRule="exact"/>
              <w:rPr>
                <w:sz w:val="20"/>
                <w:szCs w:val="20"/>
                <w:color w:val="auto"/>
              </w:rPr>
            </w:pPr>
            <w:r>
              <w:rPr>
                <w:rFonts w:ascii="Times New Roman" w:cs="Times New Roman" w:eastAsia="Times New Roman" w:hAnsi="Times New Roman"/>
                <w:sz w:val="20"/>
                <w:szCs w:val="20"/>
                <w:color w:val="282828"/>
              </w:rPr>
              <w:t>RSU Agreement for Messrs. Olesky and Hult) (incorporated by reference to Exhibit 10.1 to the Company’s</w:t>
            </w: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60" w:type="dxa"/>
            <w:vAlign w:val="bottom"/>
            <w:tcBorders>
              <w:top w:val="single" w:sz="8" w:color="282828"/>
            </w:tcBorders>
            <w:gridSpan w:val="19"/>
          </w:tcPr>
          <w:p>
            <w:pPr>
              <w:spacing w:after="0" w:line="180" w:lineRule="exact"/>
              <w:rPr>
                <w:sz w:val="20"/>
                <w:szCs w:val="20"/>
                <w:color w:val="auto"/>
              </w:rPr>
            </w:pPr>
            <w:r>
              <w:rPr>
                <w:rFonts w:ascii="Times New Roman" w:cs="Times New Roman" w:eastAsia="Times New Roman" w:hAnsi="Times New Roman"/>
                <w:sz w:val="20"/>
                <w:szCs w:val="20"/>
                <w:color w:val="282828"/>
              </w:rPr>
              <w:t>Quarterly Report on Form 10-Q filed on May 12, 2020 (File No. 001-38860)).</w:t>
            </w: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4180" w:type="dxa"/>
            <w:vAlign w:val="bottom"/>
            <w:gridSpan w:val="4"/>
            <w:shd w:val="clear" w:color="auto" w:fill="282828"/>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280" w:type="dxa"/>
            <w:vAlign w:val="bottom"/>
            <w:gridSpan w:val="2"/>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40" w:type="dxa"/>
            <w:vAlign w:val="bottom"/>
            <w:gridSpan w:val="3"/>
            <w:vMerge w:val="continue"/>
          </w:tcPr>
          <w:p>
            <w:pPr>
              <w:spacing w:after="0"/>
              <w:rPr>
                <w:sz w:val="22"/>
                <w:szCs w:val="22"/>
                <w:color w:val="auto"/>
              </w:rPr>
            </w:pPr>
          </w:p>
        </w:tc>
        <w:tc>
          <w:tcPr>
            <w:tcW w:w="9040" w:type="dxa"/>
            <w:vAlign w:val="bottom"/>
            <w:gridSpan w:val="3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Restricted Stock Unit Award Agreement (Form of</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20" w:type="dxa"/>
            <w:vAlign w:val="bottom"/>
            <w:tcBorders>
              <w:top w:val="single" w:sz="8" w:color="282828"/>
            </w:tcBorders>
            <w:gridSpan w:val="32"/>
          </w:tcPr>
          <w:p>
            <w:pPr>
              <w:spacing w:after="0" w:line="180" w:lineRule="exact"/>
              <w:rPr>
                <w:sz w:val="20"/>
                <w:szCs w:val="20"/>
                <w:color w:val="auto"/>
              </w:rPr>
            </w:pPr>
            <w:r>
              <w:rPr>
                <w:rFonts w:ascii="Times New Roman" w:cs="Times New Roman" w:eastAsia="Times New Roman" w:hAnsi="Times New Roman"/>
                <w:sz w:val="20"/>
                <w:szCs w:val="20"/>
                <w:color w:val="282828"/>
              </w:rPr>
              <w:t>RSU Agreement for other Executive Officers) (incorporated by reference to Exhibit 10.2 to the Company’s</w:t>
            </w: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40" w:type="dxa"/>
            <w:vAlign w:val="bottom"/>
            <w:tcBorders>
              <w:top w:val="single" w:sz="8" w:color="282828"/>
            </w:tcBorders>
            <w:gridSpan w:val="18"/>
          </w:tcPr>
          <w:p>
            <w:pPr>
              <w:spacing w:after="0" w:line="180" w:lineRule="exact"/>
              <w:rPr>
                <w:sz w:val="20"/>
                <w:szCs w:val="20"/>
                <w:color w:val="auto"/>
              </w:rPr>
            </w:pPr>
            <w:r>
              <w:rPr>
                <w:rFonts w:ascii="Times New Roman" w:cs="Times New Roman" w:eastAsia="Times New Roman" w:hAnsi="Times New Roman"/>
                <w:sz w:val="20"/>
                <w:szCs w:val="20"/>
                <w:color w:val="282828"/>
              </w:rPr>
              <w:t>Quarterly Report on Form 10-Q filed on May 12, 2020 (File No. 001-38860)).</w:t>
            </w: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4180" w:type="dxa"/>
            <w:vAlign w:val="bottom"/>
            <w:gridSpan w:val="4"/>
            <w:shd w:val="clear" w:color="auto" w:fill="282828"/>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280" w:type="dxa"/>
            <w:vAlign w:val="bottom"/>
            <w:gridSpan w:val="2"/>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40" w:type="dxa"/>
            <w:vAlign w:val="bottom"/>
            <w:gridSpan w:val="3"/>
            <w:vMerge w:val="continue"/>
          </w:tcPr>
          <w:p>
            <w:pPr>
              <w:spacing w:after="0"/>
              <w:rPr>
                <w:sz w:val="22"/>
                <w:szCs w:val="22"/>
                <w:color w:val="auto"/>
              </w:rPr>
            </w:pPr>
          </w:p>
        </w:tc>
        <w:tc>
          <w:tcPr>
            <w:tcW w:w="9040" w:type="dxa"/>
            <w:vAlign w:val="bottom"/>
            <w:gridSpan w:val="3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Performance Stock Unit Award Agreement (Form</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0" w:type="dxa"/>
            <w:vAlign w:val="bottom"/>
            <w:tcBorders>
              <w:top w:val="single" w:sz="8" w:color="282828"/>
            </w:tcBorders>
            <w:gridSpan w:val="31"/>
          </w:tcPr>
          <w:p>
            <w:pPr>
              <w:spacing w:after="0" w:line="180" w:lineRule="exact"/>
              <w:rPr>
                <w:sz w:val="20"/>
                <w:szCs w:val="20"/>
                <w:color w:val="auto"/>
              </w:rPr>
            </w:pPr>
            <w:r>
              <w:rPr>
                <w:rFonts w:ascii="Times New Roman" w:cs="Times New Roman" w:eastAsia="Times New Roman" w:hAnsi="Times New Roman"/>
                <w:sz w:val="20"/>
                <w:szCs w:val="20"/>
                <w:color w:val="282828"/>
              </w:rPr>
              <w:t>of PSU Agreement for Mr. Hult) (incorporated by reference to Exhibit 10.31 to the Company’s Annual Report</w:t>
            </w: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20" w:type="dxa"/>
            <w:vAlign w:val="bottom"/>
            <w:tcBorders>
              <w:top w:val="single" w:sz="8" w:color="282828"/>
              <w:bottom w:val="single" w:sz="8" w:color="282828"/>
            </w:tcBorders>
            <w:gridSpan w:val="5"/>
          </w:tcPr>
          <w:p>
            <w:pPr>
              <w:spacing w:after="0" w:line="180" w:lineRule="exact"/>
              <w:rPr>
                <w:sz w:val="20"/>
                <w:szCs w:val="20"/>
                <w:color w:val="auto"/>
              </w:rPr>
            </w:pPr>
            <w:r>
              <w:rPr>
                <w:rFonts w:ascii="Times New Roman" w:cs="Times New Roman" w:eastAsia="Times New Roman" w:hAnsi="Times New Roman"/>
                <w:sz w:val="20"/>
                <w:szCs w:val="20"/>
                <w:color w:val="282828"/>
                <w:w w:val="99"/>
              </w:rPr>
              <w:t>on Form 10-K filed on February 24, 2023 (File No. 001-38860)).</w:t>
            </w:r>
          </w:p>
        </w:tc>
        <w:tc>
          <w:tcPr>
            <w:tcW w:w="3700" w:type="dxa"/>
            <w:vAlign w:val="bottom"/>
            <w:tcBorders>
              <w:top w:val="single" w:sz="8" w:color="282828"/>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9040" w:type="dxa"/>
            <w:vAlign w:val="bottom"/>
            <w:gridSpan w:val="3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Performance Stock Unit Award Agreement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00" w:type="dxa"/>
            <w:vAlign w:val="bottom"/>
            <w:tcBorders>
              <w:top w:val="single" w:sz="8" w:color="282828"/>
            </w:tcBorders>
            <w:gridSpan w:val="27"/>
          </w:tcPr>
          <w:p>
            <w:pPr>
              <w:spacing w:after="0" w:line="180" w:lineRule="exact"/>
              <w:rPr>
                <w:sz w:val="20"/>
                <w:szCs w:val="20"/>
                <w:color w:val="auto"/>
              </w:rPr>
            </w:pPr>
            <w:r>
              <w:rPr>
                <w:rFonts w:ascii="Times New Roman" w:cs="Times New Roman" w:eastAsia="Times New Roman" w:hAnsi="Times New Roman"/>
                <w:sz w:val="20"/>
                <w:szCs w:val="20"/>
                <w:color w:val="282828"/>
              </w:rPr>
              <w:t>(Form of PSU Agreement for other Executive Officers) (incorporated by reference to Exhibit 10.4 to the</w:t>
            </w: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00" w:type="dxa"/>
            <w:vAlign w:val="bottom"/>
            <w:tcBorders>
              <w:top w:val="single" w:sz="8" w:color="282828"/>
              <w:bottom w:val="single" w:sz="8" w:color="282828"/>
            </w:tcBorders>
            <w:gridSpan w:val="10"/>
          </w:tcPr>
          <w:p>
            <w:pPr>
              <w:spacing w:after="0" w:line="180" w:lineRule="exact"/>
              <w:rPr>
                <w:sz w:val="20"/>
                <w:szCs w:val="20"/>
                <w:color w:val="auto"/>
              </w:rPr>
            </w:pPr>
            <w:r>
              <w:rPr>
                <w:rFonts w:ascii="Times New Roman" w:cs="Times New Roman" w:eastAsia="Times New Roman" w:hAnsi="Times New Roman"/>
                <w:sz w:val="20"/>
                <w:szCs w:val="20"/>
                <w:color w:val="282828"/>
                <w:w w:val="99"/>
              </w:rPr>
              <w:t>Company’s Quarterly Report on Form 10-Q filed on April 27, 2023 (File No. 001-38860)).</w:t>
            </w:r>
          </w:p>
        </w:tc>
        <w:tc>
          <w:tcPr>
            <w:tcW w:w="1100" w:type="dxa"/>
            <w:vAlign w:val="bottom"/>
            <w:tcBorders>
              <w:top w:val="single" w:sz="8" w:color="282828"/>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878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PRSU Award Agreement (Form of PRSU</w:t>
            </w:r>
          </w:p>
        </w:tc>
        <w:tc>
          <w:tcPr>
            <w:tcW w:w="260" w:type="dxa"/>
            <w:vAlign w:val="bottom"/>
            <w:gridSpan w:val="11"/>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282828"/>
            </w:tcBorders>
            <w:gridSpan w:val="34"/>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10.5 to the Company’s Quarterly Report on Form</w:t>
            </w:r>
          </w:p>
        </w:tc>
        <w:tc>
          <w:tcPr>
            <w:tcW w:w="4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9"/>
              </w:rPr>
              <w:t>10-Q filed on April 27, 2023 (File No. 001-38860)).</w:t>
            </w:r>
          </w:p>
        </w:tc>
        <w:tc>
          <w:tcPr>
            <w:tcW w:w="4860" w:type="dxa"/>
            <w:vAlign w:val="bottom"/>
            <w:gridSpan w:val="30"/>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878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PRSU Award Agreement (Form of PRSU</w:t>
            </w:r>
          </w:p>
        </w:tc>
        <w:tc>
          <w:tcPr>
            <w:tcW w:w="260" w:type="dxa"/>
            <w:vAlign w:val="bottom"/>
            <w:gridSpan w:val="11"/>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33"/>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10.6 to the Company’s Quarterly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27, 2023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7"/>
            <w:shd w:val="clear" w:color="auto" w:fill="282828"/>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868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Restricted Stock Unit Award Agreement</w:t>
            </w:r>
          </w:p>
        </w:tc>
        <w:tc>
          <w:tcPr>
            <w:tcW w:w="360" w:type="dxa"/>
            <w:vAlign w:val="bottom"/>
            <w:gridSpan w:val="14"/>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tcBorders>
              <w:bottom w:val="single" w:sz="8" w:color="282828"/>
            </w:tcBorders>
            <w:gridSpan w:val="29"/>
          </w:tcPr>
          <w:p>
            <w:pPr>
              <w:spacing w:after="0" w:line="220" w:lineRule="exact"/>
              <w:rPr>
                <w:sz w:val="20"/>
                <w:szCs w:val="20"/>
                <w:color w:val="auto"/>
              </w:rPr>
            </w:pPr>
            <w:r>
              <w:rPr>
                <w:rFonts w:ascii="Times New Roman" w:cs="Times New Roman" w:eastAsia="Times New Roman" w:hAnsi="Times New Roman"/>
                <w:sz w:val="20"/>
                <w:szCs w:val="20"/>
                <w:color w:val="282828"/>
              </w:rPr>
              <w:t>(Form of RSU Agreement for Mr. Hult) (incorporated by reference to Exhibit 10.7 to the Company’s Quarterly</w:t>
            </w:r>
          </w:p>
        </w:tc>
        <w:tc>
          <w:tcPr>
            <w:tcW w:w="10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27, 2023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7"/>
            <w:shd w:val="clear" w:color="auto" w:fill="282828"/>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10.22†</w:t>
            </w:r>
          </w:p>
        </w:tc>
        <w:tc>
          <w:tcPr>
            <w:tcW w:w="868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Restricted Stock Unit Award Agreement</w:t>
            </w:r>
          </w:p>
        </w:tc>
        <w:tc>
          <w:tcPr>
            <w:tcW w:w="360" w:type="dxa"/>
            <w:vAlign w:val="bottom"/>
            <w:gridSpan w:val="14"/>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20" w:type="dxa"/>
            <w:vAlign w:val="bottom"/>
            <w:tcBorders>
              <w:bottom w:val="single" w:sz="8" w:color="282828"/>
            </w:tcBorders>
            <w:gridSpan w:val="14"/>
          </w:tcPr>
          <w:p>
            <w:pPr>
              <w:spacing w:after="0" w:line="220" w:lineRule="exact"/>
              <w:rPr>
                <w:sz w:val="20"/>
                <w:szCs w:val="20"/>
                <w:color w:val="auto"/>
              </w:rPr>
            </w:pPr>
            <w:r>
              <w:rPr>
                <w:rFonts w:ascii="Times New Roman" w:cs="Times New Roman" w:eastAsia="Times New Roman" w:hAnsi="Times New Roman"/>
                <w:sz w:val="20"/>
                <w:szCs w:val="20"/>
                <w:color w:val="282828"/>
              </w:rPr>
              <w:t>(Form of RSU Agreement for other Executive Officers) (incorporated by reference to Exhibit 10.8 to the</w:t>
            </w:r>
          </w:p>
        </w:tc>
        <w:tc>
          <w:tcPr>
            <w:tcW w:w="620" w:type="dxa"/>
            <w:vAlign w:val="bottom"/>
            <w:gridSpan w:val="20"/>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00" w:type="dxa"/>
            <w:vAlign w:val="bottom"/>
            <w:tcBorders>
              <w:bottom w:val="single" w:sz="8" w:color="282828"/>
            </w:tcBorders>
            <w:gridSpan w:val="10"/>
          </w:tcPr>
          <w:p>
            <w:pPr>
              <w:spacing w:after="0" w:line="220" w:lineRule="exact"/>
              <w:rPr>
                <w:sz w:val="20"/>
                <w:szCs w:val="20"/>
                <w:color w:val="auto"/>
              </w:rPr>
            </w:pPr>
            <w:r>
              <w:rPr>
                <w:rFonts w:ascii="Times New Roman" w:cs="Times New Roman" w:eastAsia="Times New Roman" w:hAnsi="Times New Roman"/>
                <w:sz w:val="20"/>
                <w:szCs w:val="20"/>
                <w:color w:val="282828"/>
                <w:w w:val="99"/>
              </w:rPr>
              <w:t>Company’s Quarterly Report on Form 10-Q filed on April 27, 2023 (File No. 001-38860)).</w:t>
            </w:r>
          </w:p>
        </w:tc>
        <w:tc>
          <w:tcPr>
            <w:tcW w:w="1740" w:type="dxa"/>
            <w:vAlign w:val="bottom"/>
            <w:gridSpan w:val="24"/>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852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PSU Award Agreement (Form of PSU</w:t>
            </w:r>
          </w:p>
        </w:tc>
        <w:tc>
          <w:tcPr>
            <w:tcW w:w="520" w:type="dxa"/>
            <w:vAlign w:val="bottom"/>
            <w:gridSpan w:val="18"/>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282828"/>
            </w:tcBorders>
            <w:gridSpan w:val="34"/>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10.1 to the Company’s Quarterly Report on Form</w:t>
            </w:r>
          </w:p>
        </w:tc>
        <w:tc>
          <w:tcPr>
            <w:tcW w:w="4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9"/>
              </w:rPr>
              <w:t>10-Q filed on April 25, 2024 (File No. 001-38860)).</w:t>
            </w:r>
          </w:p>
        </w:tc>
        <w:tc>
          <w:tcPr>
            <w:tcW w:w="4860" w:type="dxa"/>
            <w:vAlign w:val="bottom"/>
            <w:gridSpan w:val="30"/>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10.24†</w:t>
            </w:r>
          </w:p>
        </w:tc>
        <w:tc>
          <w:tcPr>
            <w:tcW w:w="852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PSU Award Agreement (Form of PSU</w:t>
            </w:r>
          </w:p>
        </w:tc>
        <w:tc>
          <w:tcPr>
            <w:tcW w:w="520" w:type="dxa"/>
            <w:vAlign w:val="bottom"/>
            <w:gridSpan w:val="18"/>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33"/>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10.2 to the Company’s Quarterly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25, 2024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7"/>
            <w:shd w:val="clear" w:color="auto" w:fill="282828"/>
          </w:tcPr>
          <w:p>
            <w:pPr>
              <w:spacing w:after="0" w:line="20" w:lineRule="exact"/>
              <w:rPr>
                <w:sz w:val="1"/>
                <w:szCs w:val="1"/>
                <w:color w:val="auto"/>
              </w:rPr>
            </w:pPr>
          </w:p>
        </w:tc>
        <w:tc>
          <w:tcPr>
            <w:tcW w:w="3540" w:type="dxa"/>
            <w:vAlign w:val="bottom"/>
            <w:gridSpan w:val="2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10.25†+</w:t>
            </w:r>
          </w:p>
        </w:tc>
        <w:tc>
          <w:tcPr>
            <w:tcW w:w="878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PRSU Award Agreement (Form of PRSU</w:t>
            </w:r>
          </w:p>
        </w:tc>
        <w:tc>
          <w:tcPr>
            <w:tcW w:w="260" w:type="dxa"/>
            <w:vAlign w:val="bottom"/>
            <w:gridSpan w:val="11"/>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282828"/>
            </w:tcBorders>
            <w:gridSpan w:val="34"/>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10.3 to the Company’s Quarterly Report on Form</w:t>
            </w:r>
          </w:p>
        </w:tc>
        <w:tc>
          <w:tcPr>
            <w:tcW w:w="4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9"/>
              </w:rPr>
              <w:t>10-Q filed on April 25, 2024 (File No. 001-38860)).</w:t>
            </w:r>
          </w:p>
        </w:tc>
        <w:tc>
          <w:tcPr>
            <w:tcW w:w="4860" w:type="dxa"/>
            <w:vAlign w:val="bottom"/>
            <w:gridSpan w:val="30"/>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10440"/>
          </w:cols>
          <w:pgMar w:left="820" w:top="823" w:right="80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158</w:t>
      </w:r>
    </w:p>
    <w:p>
      <w:pPr>
        <w:sectPr>
          <w:pgSz w:w="12060" w:h="15660" w:orient="portrait"/>
          <w:cols w:equalWidth="0" w:num="1">
            <w:col w:w="10440"/>
          </w:cols>
          <w:pgMar w:left="820" w:top="823" w:right="800" w:bottom="0" w:gutter="0" w:footer="0" w:header="0"/>
          <w:type w:val="continuous"/>
        </w:sectPr>
      </w:pPr>
    </w:p>
    <w:bookmarkStart w:id="168" w:name="page169"/>
    <w:bookmarkEnd w:id="168"/>
    <w:tbl>
      <w:tblPr>
        <w:tblLayout w:type="fixed"/>
        <w:tblInd w:w="1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gridSpan w:val="20"/>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780" w:type="dxa"/>
            <w:vAlign w:val="bottom"/>
            <w:tcBorders>
              <w:top w:val="single" w:sz="8" w:color="auto"/>
              <w:bottom w:val="single" w:sz="8" w:color="282828"/>
            </w:tcBorders>
            <w:gridSpan w:val="14"/>
          </w:tcPr>
          <w:p>
            <w:pPr>
              <w:spacing w:after="0" w:line="198" w:lineRule="exact"/>
              <w:rPr>
                <w:sz w:val="20"/>
                <w:szCs w:val="20"/>
                <w:color w:val="auto"/>
              </w:rPr>
            </w:pPr>
            <w:r>
              <w:rPr>
                <w:rFonts w:ascii="Times New Roman" w:cs="Times New Roman" w:eastAsia="Times New Roman" w:hAnsi="Times New Roman"/>
                <w:sz w:val="20"/>
                <w:szCs w:val="20"/>
                <w:color w:val="282828"/>
              </w:rPr>
              <w:t>Tradeweb Markets Inc. 2019 Omnibus Equity Incentive Plan 2024 PRSU Award Agreement (Form of PRSU</w:t>
            </w:r>
          </w:p>
        </w:tc>
        <w:tc>
          <w:tcPr>
            <w:tcW w:w="300" w:type="dxa"/>
            <w:vAlign w:val="bottom"/>
            <w:tcBorders>
              <w:top w:val="single" w:sz="8" w:color="auto"/>
            </w:tcBorders>
            <w:gridSpan w:val="11"/>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22"/>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10.4 to the Company’s Quarterly</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25, 2024 (File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282828"/>
          </w:tcPr>
          <w:p>
            <w:pPr>
              <w:spacing w:after="0" w:line="20" w:lineRule="exact"/>
              <w:rPr>
                <w:sz w:val="1"/>
                <w:szCs w:val="1"/>
                <w:color w:val="auto"/>
              </w:rPr>
            </w:pPr>
          </w:p>
        </w:tc>
        <w:tc>
          <w:tcPr>
            <w:tcW w:w="1220" w:type="dxa"/>
            <w:vAlign w:val="bottom"/>
            <w:shd w:val="clear" w:color="auto" w:fill="282828"/>
          </w:tcPr>
          <w:p>
            <w:pPr>
              <w:spacing w:after="0" w:line="20" w:lineRule="exact"/>
              <w:rPr>
                <w:sz w:val="1"/>
                <w:szCs w:val="1"/>
                <w:color w:val="auto"/>
              </w:rPr>
            </w:pPr>
          </w:p>
        </w:tc>
        <w:tc>
          <w:tcPr>
            <w:tcW w:w="300" w:type="dxa"/>
            <w:vAlign w:val="bottom"/>
            <w:shd w:val="clear" w:color="auto" w:fill="282828"/>
          </w:tcPr>
          <w:p>
            <w:pPr>
              <w:spacing w:after="0" w:line="20" w:lineRule="exact"/>
              <w:rPr>
                <w:sz w:val="1"/>
                <w:szCs w:val="1"/>
                <w:color w:val="auto"/>
              </w:rPr>
            </w:pPr>
          </w:p>
        </w:tc>
        <w:tc>
          <w:tcPr>
            <w:tcW w:w="260" w:type="dxa"/>
            <w:vAlign w:val="bottom"/>
            <w:shd w:val="clear" w:color="auto" w:fill="282828"/>
          </w:tcPr>
          <w:p>
            <w:pPr>
              <w:spacing w:after="0" w:line="20" w:lineRule="exact"/>
              <w:rPr>
                <w:sz w:val="1"/>
                <w:szCs w:val="1"/>
                <w:color w:val="auto"/>
              </w:rPr>
            </w:pPr>
          </w:p>
        </w:tc>
        <w:tc>
          <w:tcPr>
            <w:tcW w:w="840" w:type="dxa"/>
            <w:vAlign w:val="bottom"/>
            <w:tcBorders>
              <w:left w:val="single" w:sz="8" w:color="282828"/>
            </w:tcBorders>
            <w:shd w:val="clear" w:color="auto" w:fill="282828"/>
          </w:tcPr>
          <w:p>
            <w:pPr>
              <w:spacing w:after="0" w:line="20" w:lineRule="exact"/>
              <w:rPr>
                <w:sz w:val="1"/>
                <w:szCs w:val="1"/>
                <w:color w:val="auto"/>
              </w:rPr>
            </w:pPr>
          </w:p>
        </w:tc>
        <w:tc>
          <w:tcPr>
            <w:tcW w:w="500" w:type="dxa"/>
            <w:vAlign w:val="bottom"/>
            <w:shd w:val="clear" w:color="auto" w:fill="282828"/>
          </w:tcPr>
          <w:p>
            <w:pPr>
              <w:spacing w:after="0" w:line="20" w:lineRule="exact"/>
              <w:rPr>
                <w:sz w:val="1"/>
                <w:szCs w:val="1"/>
                <w:color w:val="auto"/>
              </w:rPr>
            </w:pPr>
          </w:p>
        </w:tc>
        <w:tc>
          <w:tcPr>
            <w:tcW w:w="780" w:type="dxa"/>
            <w:vAlign w:val="bottom"/>
            <w:shd w:val="clear" w:color="auto" w:fill="282828"/>
          </w:tcPr>
          <w:p>
            <w:pPr>
              <w:spacing w:after="0" w:line="20" w:lineRule="exact"/>
              <w:rPr>
                <w:sz w:val="1"/>
                <w:szCs w:val="1"/>
                <w:color w:val="auto"/>
              </w:rPr>
            </w:pPr>
          </w:p>
        </w:tc>
        <w:tc>
          <w:tcPr>
            <w:tcW w:w="540" w:type="dxa"/>
            <w:vAlign w:val="bottom"/>
            <w:tcBorders>
              <w:right w:val="single" w:sz="8" w:color="282828"/>
            </w:tcBorders>
            <w:shd w:val="clear" w:color="auto" w:fill="28282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10.27†</w:t>
            </w:r>
          </w:p>
        </w:tc>
        <w:tc>
          <w:tcPr>
            <w:tcW w:w="856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RSU Award Agreement (Form of RSU</w:t>
            </w:r>
          </w:p>
        </w:tc>
        <w:tc>
          <w:tcPr>
            <w:tcW w:w="52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bottom w:val="single" w:sz="8" w:color="282828"/>
            </w:tcBorders>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Agreement for Mr. Hult) (incorporated by reference to Exhibit 10.5 to the Company’s Quarterly Report on Form</w:t>
            </w: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bottom w:val="single" w:sz="8" w:color="282828"/>
            </w:tcBorders>
            <w:gridSpan w:val="6"/>
          </w:tcPr>
          <w:p>
            <w:pPr>
              <w:spacing w:after="0" w:line="220" w:lineRule="exact"/>
              <w:rPr>
                <w:sz w:val="20"/>
                <w:szCs w:val="20"/>
                <w:color w:val="auto"/>
              </w:rPr>
            </w:pPr>
            <w:r>
              <w:rPr>
                <w:rFonts w:ascii="Times New Roman" w:cs="Times New Roman" w:eastAsia="Times New Roman" w:hAnsi="Times New Roman"/>
                <w:sz w:val="20"/>
                <w:szCs w:val="20"/>
                <w:color w:val="282828"/>
                <w:w w:val="99"/>
              </w:rPr>
              <w:t>10-Q filed on April 25, 2024 (File No. 001-38860)).</w:t>
            </w:r>
          </w:p>
        </w:tc>
        <w:tc>
          <w:tcPr>
            <w:tcW w:w="490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10.28†</w:t>
            </w:r>
          </w:p>
        </w:tc>
        <w:tc>
          <w:tcPr>
            <w:tcW w:w="856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RSU Award Agreement (Form of RSU</w:t>
            </w:r>
          </w:p>
        </w:tc>
        <w:tc>
          <w:tcPr>
            <w:tcW w:w="52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282828"/>
            </w:tcBorders>
            <w:gridSpan w:val="22"/>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10.6 to the Company’s Quarterly</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00" w:type="dxa"/>
            <w:vAlign w:val="bottom"/>
            <w:tcBorders>
              <w:bottom w:val="single" w:sz="8" w:color="282828"/>
            </w:tcBorders>
            <w:gridSpan w:val="8"/>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25, 2024(File No. 001-38860)).</w:t>
            </w:r>
          </w:p>
        </w:tc>
        <w:tc>
          <w:tcPr>
            <w:tcW w:w="358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10.29†</w:t>
            </w:r>
          </w:p>
        </w:tc>
        <w:tc>
          <w:tcPr>
            <w:tcW w:w="8060" w:type="dxa"/>
            <w:vAlign w:val="bottom"/>
            <w:tcBorders>
              <w:bottom w:val="single" w:sz="8" w:color="282828"/>
            </w:tcBorders>
            <w:gridSpan w:val="11"/>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Director RSU Award Agreement</w:t>
            </w:r>
          </w:p>
        </w:tc>
        <w:tc>
          <w:tcPr>
            <w:tcW w:w="1020" w:type="dxa"/>
            <w:vAlign w:val="bottom"/>
            <w:gridSpan w:val="14"/>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tcBorders>
              <w:bottom w:val="single" w:sz="8" w:color="282828"/>
            </w:tcBorders>
            <w:gridSpan w:val="16"/>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10.1 to the Company’s Quarterly Report on Form 10-Q filed on July 25,</w:t>
            </w:r>
          </w:p>
        </w:tc>
        <w:tc>
          <w:tcPr>
            <w:tcW w:w="24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w w:val="99"/>
              </w:rPr>
              <w:t>2024 (File No. 001-38860)).</w:t>
            </w:r>
          </w:p>
        </w:tc>
        <w:tc>
          <w:tcPr>
            <w:tcW w:w="680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10.30†</w:t>
            </w:r>
          </w:p>
        </w:tc>
        <w:tc>
          <w:tcPr>
            <w:tcW w:w="908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Employment Offer Letter by and between Sara Furber and Tradeweb Markets LLC (incorporated by reference to</w:t>
            </w: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Exhibit 10.22 to the Company’s Quarterly Report on Form 10-Q filed on October 29, 2021 (File No.</w:t>
            </w: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282828"/>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9"/>
              </w:rPr>
              <w:t>001-38860)).</w:t>
            </w:r>
          </w:p>
        </w:tc>
        <w:tc>
          <w:tcPr>
            <w:tcW w:w="1220" w:type="dxa"/>
            <w:vAlign w:val="bottom"/>
            <w:tcBorders>
              <w:top w:val="single" w:sz="8" w:color="282828"/>
            </w:tcBorders>
          </w:tcPr>
          <w:p>
            <w:pPr>
              <w:spacing w:after="0"/>
              <w:rPr>
                <w:sz w:val="19"/>
                <w:szCs w:val="19"/>
                <w:color w:val="auto"/>
              </w:rPr>
            </w:pPr>
          </w:p>
        </w:tc>
        <w:tc>
          <w:tcPr>
            <w:tcW w:w="300" w:type="dxa"/>
            <w:vAlign w:val="bottom"/>
            <w:tcBorders>
              <w:top w:val="single" w:sz="8" w:color="282828"/>
            </w:tcBorders>
          </w:tcPr>
          <w:p>
            <w:pPr>
              <w:spacing w:after="0"/>
              <w:rPr>
                <w:sz w:val="19"/>
                <w:szCs w:val="19"/>
                <w:color w:val="auto"/>
              </w:rPr>
            </w:pPr>
          </w:p>
        </w:tc>
        <w:tc>
          <w:tcPr>
            <w:tcW w:w="260" w:type="dxa"/>
            <w:vAlign w:val="bottom"/>
            <w:tcBorders>
              <w:top w:val="single" w:sz="8" w:color="282828"/>
            </w:tcBorders>
          </w:tcPr>
          <w:p>
            <w:pPr>
              <w:spacing w:after="0"/>
              <w:rPr>
                <w:sz w:val="19"/>
                <w:szCs w:val="19"/>
                <w:color w:val="auto"/>
              </w:rPr>
            </w:pPr>
          </w:p>
        </w:tc>
        <w:tc>
          <w:tcPr>
            <w:tcW w:w="840" w:type="dxa"/>
            <w:vAlign w:val="bottom"/>
            <w:tcBorders>
              <w:top w:val="single" w:sz="8" w:color="282828"/>
            </w:tcBorders>
          </w:tcPr>
          <w:p>
            <w:pPr>
              <w:spacing w:after="0"/>
              <w:rPr>
                <w:sz w:val="19"/>
                <w:szCs w:val="19"/>
                <w:color w:val="auto"/>
              </w:rPr>
            </w:pPr>
          </w:p>
        </w:tc>
        <w:tc>
          <w:tcPr>
            <w:tcW w:w="500" w:type="dxa"/>
            <w:vAlign w:val="bottom"/>
            <w:tcBorders>
              <w:top w:val="single" w:sz="8" w:color="282828"/>
            </w:tcBorders>
          </w:tcPr>
          <w:p>
            <w:pPr>
              <w:spacing w:after="0"/>
              <w:rPr>
                <w:sz w:val="19"/>
                <w:szCs w:val="19"/>
                <w:color w:val="auto"/>
              </w:rPr>
            </w:pPr>
          </w:p>
        </w:tc>
        <w:tc>
          <w:tcPr>
            <w:tcW w:w="780" w:type="dxa"/>
            <w:vAlign w:val="bottom"/>
            <w:tcBorders>
              <w:top w:val="single" w:sz="8" w:color="282828"/>
            </w:tcBorders>
          </w:tcPr>
          <w:p>
            <w:pPr>
              <w:spacing w:after="0"/>
              <w:rPr>
                <w:sz w:val="19"/>
                <w:szCs w:val="19"/>
                <w:color w:val="auto"/>
              </w:rPr>
            </w:pPr>
          </w:p>
        </w:tc>
        <w:tc>
          <w:tcPr>
            <w:tcW w:w="540" w:type="dxa"/>
            <w:vAlign w:val="bottom"/>
            <w:tcBorders>
              <w:top w:val="single" w:sz="8" w:color="282828"/>
            </w:tcBorders>
          </w:tcPr>
          <w:p>
            <w:pPr>
              <w:spacing w:after="0"/>
              <w:rPr>
                <w:sz w:val="19"/>
                <w:szCs w:val="19"/>
                <w:color w:val="auto"/>
              </w:rPr>
            </w:pPr>
          </w:p>
        </w:tc>
        <w:tc>
          <w:tcPr>
            <w:tcW w:w="1340" w:type="dxa"/>
            <w:vAlign w:val="bottom"/>
            <w:tcBorders>
              <w:top w:val="single" w:sz="8" w:color="282828"/>
            </w:tcBorders>
          </w:tcPr>
          <w:p>
            <w:pPr>
              <w:spacing w:after="0"/>
              <w:rPr>
                <w:sz w:val="19"/>
                <w:szCs w:val="19"/>
                <w:color w:val="auto"/>
              </w:rPr>
            </w:pPr>
          </w:p>
        </w:tc>
        <w:tc>
          <w:tcPr>
            <w:tcW w:w="600" w:type="dxa"/>
            <w:vAlign w:val="bottom"/>
            <w:tcBorders>
              <w:top w:val="single" w:sz="8" w:color="282828"/>
            </w:tcBorders>
          </w:tcPr>
          <w:p>
            <w:pPr>
              <w:spacing w:after="0"/>
              <w:rPr>
                <w:sz w:val="19"/>
                <w:szCs w:val="19"/>
                <w:color w:val="auto"/>
              </w:rPr>
            </w:pPr>
          </w:p>
        </w:tc>
        <w:tc>
          <w:tcPr>
            <w:tcW w:w="620" w:type="dxa"/>
            <w:vAlign w:val="bottom"/>
            <w:tcBorders>
              <w:top w:val="single" w:sz="8" w:color="282828"/>
            </w:tcBorders>
          </w:tcPr>
          <w:p>
            <w:pPr>
              <w:spacing w:after="0"/>
              <w:rPr>
                <w:sz w:val="19"/>
                <w:szCs w:val="19"/>
                <w:color w:val="auto"/>
              </w:rPr>
            </w:pPr>
          </w:p>
        </w:tc>
        <w:tc>
          <w:tcPr>
            <w:tcW w:w="40" w:type="dxa"/>
            <w:vAlign w:val="bottom"/>
            <w:tcBorders>
              <w:top w:val="single" w:sz="8" w:color="282828"/>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888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rPr>
              <w:t>Amended and Restated Employment Agreement, dated as of February 21, 2023, by and between William Hult</w:t>
            </w:r>
          </w:p>
        </w:tc>
        <w:tc>
          <w:tcPr>
            <w:tcW w:w="20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282828"/>
            </w:tcBorders>
            <w:gridSpan w:val="15"/>
          </w:tcPr>
          <w:p>
            <w:pPr>
              <w:spacing w:after="0" w:line="220" w:lineRule="exact"/>
              <w:rPr>
                <w:sz w:val="20"/>
                <w:szCs w:val="20"/>
                <w:color w:val="auto"/>
              </w:rPr>
            </w:pPr>
            <w:r>
              <w:rPr>
                <w:rFonts w:ascii="Times New Roman" w:cs="Times New Roman" w:eastAsia="Times New Roman" w:hAnsi="Times New Roman"/>
                <w:sz w:val="20"/>
                <w:szCs w:val="20"/>
                <w:color w:val="282828"/>
              </w:rPr>
              <w:t>and Tradeweb Markets LLC (incorporated by reference to Exhibit 10.30 to the Company’s Annual Report on</w:t>
            </w:r>
          </w:p>
        </w:tc>
        <w:tc>
          <w:tcPr>
            <w:tcW w:w="28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Form 10-K filed on February 24, 2023 (File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shd w:val="clear" w:color="auto" w:fill="282828"/>
          </w:tcPr>
          <w:p>
            <w:pPr>
              <w:spacing w:after="0" w:line="20" w:lineRule="exact"/>
              <w:rPr>
                <w:sz w:val="1"/>
                <w:szCs w:val="1"/>
                <w:color w:val="auto"/>
              </w:rPr>
            </w:pPr>
          </w:p>
        </w:tc>
        <w:tc>
          <w:tcPr>
            <w:tcW w:w="260" w:type="dxa"/>
            <w:vAlign w:val="bottom"/>
            <w:shd w:val="clear" w:color="auto" w:fill="282828"/>
          </w:tcPr>
          <w:p>
            <w:pPr>
              <w:spacing w:after="0" w:line="20" w:lineRule="exact"/>
              <w:rPr>
                <w:sz w:val="1"/>
                <w:szCs w:val="1"/>
                <w:color w:val="auto"/>
              </w:rPr>
            </w:pPr>
          </w:p>
        </w:tc>
        <w:tc>
          <w:tcPr>
            <w:tcW w:w="840" w:type="dxa"/>
            <w:vAlign w:val="bottom"/>
            <w:tcBorders>
              <w:left w:val="single" w:sz="8" w:color="282828"/>
            </w:tcBorders>
            <w:shd w:val="clear" w:color="auto" w:fill="282828"/>
          </w:tcPr>
          <w:p>
            <w:pPr>
              <w:spacing w:after="0" w:line="20" w:lineRule="exact"/>
              <w:rPr>
                <w:sz w:val="1"/>
                <w:szCs w:val="1"/>
                <w:color w:val="auto"/>
              </w:rPr>
            </w:pPr>
          </w:p>
        </w:tc>
        <w:tc>
          <w:tcPr>
            <w:tcW w:w="1280" w:type="dxa"/>
            <w:vAlign w:val="bottom"/>
            <w:gridSpan w:val="2"/>
            <w:shd w:val="clear" w:color="auto" w:fill="282828"/>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10.32†+</w:t>
            </w:r>
          </w:p>
        </w:tc>
        <w:tc>
          <w:tcPr>
            <w:tcW w:w="890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rPr>
              <w:t>Separation Agreement and Release, dated June 17, 2024 by and between Thomas Pluta and Tradeweb Markets</w:t>
            </w:r>
          </w:p>
        </w:tc>
        <w:tc>
          <w:tcPr>
            <w:tcW w:w="18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tcBorders>
              <w:bottom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LLC (incorporated by reference to Exhibit 10.2 to the Company’s Quarterly Report on Form 10-Q filed on July</w:t>
            </w: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8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9"/>
              </w:rPr>
              <w:t>25, 2024 (File No. 001-38860)).</w:t>
            </w:r>
          </w:p>
        </w:tc>
        <w:tc>
          <w:tcPr>
            <w:tcW w:w="650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Tradeweb Markets Inc. Securities Trading Policy, effective as of December 11, 2024.</w:t>
            </w:r>
          </w:p>
        </w:tc>
        <w:tc>
          <w:tcPr>
            <w:tcW w:w="20" w:type="dxa"/>
            <w:vAlign w:val="bottom"/>
          </w:tcPr>
          <w:p>
            <w:pPr>
              <w:spacing w:after="0"/>
              <w:rPr>
                <w:sz w:val="23"/>
                <w:szCs w:val="23"/>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40" w:type="dxa"/>
            <w:vAlign w:val="bottom"/>
            <w:tcBorders>
              <w:top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rPr>
              <w:t>List of Subsidiaries of Tradeweb Markets Inc.</w:t>
            </w:r>
          </w:p>
        </w:tc>
        <w:tc>
          <w:tcPr>
            <w:tcW w:w="2240" w:type="dxa"/>
            <w:vAlign w:val="bottom"/>
            <w:gridSpan w:val="16"/>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80" w:type="dxa"/>
            <w:vAlign w:val="bottom"/>
            <w:tcBorders>
              <w:top w:val="single" w:sz="8" w:color="282828"/>
            </w:tcBorders>
            <w:gridSpan w:val="5"/>
          </w:tcPr>
          <w:p>
            <w:pPr>
              <w:spacing w:after="0"/>
              <w:rPr>
                <w:sz w:val="20"/>
                <w:szCs w:val="20"/>
                <w:color w:val="auto"/>
              </w:rPr>
            </w:pPr>
            <w:r>
              <w:rPr>
                <w:rFonts w:ascii="Times New Roman" w:cs="Times New Roman" w:eastAsia="Times New Roman" w:hAnsi="Times New Roman"/>
                <w:sz w:val="20"/>
                <w:szCs w:val="20"/>
                <w:color w:val="282828"/>
              </w:rPr>
              <w:t>Consent of Deloitte &amp; Touche LLP.</w:t>
            </w:r>
          </w:p>
        </w:tc>
        <w:tc>
          <w:tcPr>
            <w:tcW w:w="5400" w:type="dxa"/>
            <w:vAlign w:val="bottom"/>
            <w:gridSpan w:val="20"/>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shd w:val="clear" w:color="auto" w:fill="282828"/>
          </w:tcPr>
          <w:p>
            <w:pPr>
              <w:spacing w:after="0" w:line="20" w:lineRule="exact"/>
              <w:rPr>
                <w:sz w:val="1"/>
                <w:szCs w:val="1"/>
                <w:color w:val="auto"/>
              </w:rPr>
            </w:pPr>
          </w:p>
        </w:tc>
        <w:tc>
          <w:tcPr>
            <w:tcW w:w="4600" w:type="dxa"/>
            <w:vAlign w:val="bottom"/>
            <w:tcBorders>
              <w:left w:val="single" w:sz="8" w:color="282828"/>
            </w:tcBorders>
            <w:gridSpan w:val="6"/>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4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Certification of Chief Executive Officer pursuant to Rule 13a-14(a) or 15d-14(a) of the Securities Exchange Act</w:t>
            </w:r>
          </w:p>
        </w:tc>
        <w:tc>
          <w:tcPr>
            <w:tcW w:w="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of 1934, as amended, as adopted pursuant to Section 302 of the Sarbanes-Oxley Act of 2002.</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shd w:val="clear" w:color="auto" w:fill="282828"/>
          </w:tcPr>
          <w:p>
            <w:pPr>
              <w:spacing w:after="0" w:line="20" w:lineRule="exact"/>
              <w:rPr>
                <w:sz w:val="1"/>
                <w:szCs w:val="1"/>
                <w:color w:val="auto"/>
              </w:rPr>
            </w:pPr>
          </w:p>
        </w:tc>
        <w:tc>
          <w:tcPr>
            <w:tcW w:w="4600" w:type="dxa"/>
            <w:vAlign w:val="bottom"/>
            <w:tcBorders>
              <w:left w:val="single" w:sz="8" w:color="282828"/>
            </w:tcBorders>
            <w:gridSpan w:val="6"/>
            <w:shd w:val="clear" w:color="auto" w:fill="282828"/>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Certification of Chief Financial Officer pursuant to Rule 13a</w:t>
            </w:r>
            <w:r>
              <w:rPr>
                <w:rFonts w:ascii="Arial" w:cs="Arial" w:eastAsia="Arial" w:hAnsi="Arial"/>
                <w:sz w:val="20"/>
                <w:szCs w:val="20"/>
                <w:b w:val="1"/>
                <w:bCs w:val="1"/>
                <w:color w:val="282828"/>
              </w:rPr>
              <w:t>-</w:t>
            </w:r>
            <w:r>
              <w:rPr>
                <w:rFonts w:ascii="Times New Roman" w:cs="Times New Roman" w:eastAsia="Times New Roman" w:hAnsi="Times New Roman"/>
                <w:sz w:val="20"/>
                <w:szCs w:val="20"/>
                <w:color w:val="282828"/>
              </w:rPr>
              <w:t>14(a) or 15d</w:t>
            </w:r>
            <w:r>
              <w:rPr>
                <w:rFonts w:ascii="Arial" w:cs="Arial" w:eastAsia="Arial" w:hAnsi="Arial"/>
                <w:sz w:val="20"/>
                <w:szCs w:val="20"/>
                <w:b w:val="1"/>
                <w:bCs w:val="1"/>
                <w:color w:val="282828"/>
              </w:rPr>
              <w:t>-</w:t>
            </w:r>
            <w:r>
              <w:rPr>
                <w:rFonts w:ascii="Times New Roman" w:cs="Times New Roman" w:eastAsia="Times New Roman" w:hAnsi="Times New Roman"/>
                <w:sz w:val="20"/>
                <w:szCs w:val="20"/>
                <w:color w:val="282828"/>
              </w:rPr>
              <w:t>14(a) of the Securities Exchange Act</w:t>
            </w:r>
          </w:p>
        </w:tc>
        <w:tc>
          <w:tcPr>
            <w:tcW w:w="80" w:type="dxa"/>
            <w:vAlign w:val="bottom"/>
            <w:gridSpan w:val="4"/>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of 1934, as amended, as adopted pursuant to Section 302 of the Sarbanes-Oxley Act of 2002.</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shd w:val="clear" w:color="auto" w:fill="282828"/>
          </w:tcPr>
          <w:p>
            <w:pPr>
              <w:spacing w:after="0" w:line="20" w:lineRule="exact"/>
              <w:rPr>
                <w:sz w:val="1"/>
                <w:szCs w:val="1"/>
                <w:color w:val="auto"/>
              </w:rPr>
            </w:pPr>
          </w:p>
        </w:tc>
        <w:tc>
          <w:tcPr>
            <w:tcW w:w="4600" w:type="dxa"/>
            <w:vAlign w:val="bottom"/>
            <w:tcBorders>
              <w:left w:val="single" w:sz="8" w:color="282828"/>
            </w:tcBorders>
            <w:gridSpan w:val="6"/>
            <w:shd w:val="clear" w:color="auto" w:fill="282828"/>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2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rPr>
              <w:t>Certification of Chief Executive Officer pursuant to 18 U.S.C. Section 1350, as adopted pursuant to Section 906</w:t>
            </w:r>
          </w:p>
        </w:tc>
        <w:tc>
          <w:tcPr>
            <w:tcW w:w="6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of the Sarbanes-Oxley Act of 2002.</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shd w:val="clear" w:color="auto" w:fill="282828"/>
          </w:tcPr>
          <w:p>
            <w:pPr>
              <w:spacing w:after="0" w:line="20" w:lineRule="exact"/>
              <w:rPr>
                <w:sz w:val="1"/>
                <w:szCs w:val="1"/>
                <w:color w:val="auto"/>
              </w:rPr>
            </w:pPr>
          </w:p>
        </w:tc>
        <w:tc>
          <w:tcPr>
            <w:tcW w:w="602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8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Certification of Chief Financial Officer pursuant to 18 U.S.C. Section 1350, as adopted pursuant to Section 906</w:t>
            </w:r>
          </w:p>
        </w:tc>
        <w:tc>
          <w:tcPr>
            <w:tcW w:w="10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of the Sarbanes-Oxley Act of 2002.</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shd w:val="clear" w:color="auto" w:fill="282828"/>
          </w:tcPr>
          <w:p>
            <w:pPr>
              <w:spacing w:after="0" w:line="20" w:lineRule="exact"/>
              <w:rPr>
                <w:sz w:val="1"/>
                <w:szCs w:val="1"/>
                <w:color w:val="auto"/>
              </w:rPr>
            </w:pPr>
          </w:p>
        </w:tc>
        <w:tc>
          <w:tcPr>
            <w:tcW w:w="6020" w:type="dxa"/>
            <w:vAlign w:val="bottom"/>
            <w:gridSpan w:val="1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97.1†</w:t>
            </w:r>
          </w:p>
        </w:tc>
        <w:tc>
          <w:tcPr>
            <w:tcW w:w="9060" w:type="dxa"/>
            <w:vAlign w:val="bottom"/>
            <w:tcBorders>
              <w:bottom w:val="single" w:sz="8" w:color="282828"/>
            </w:tcBorders>
            <w:gridSpan w:val="24"/>
          </w:tcPr>
          <w:p>
            <w:pPr>
              <w:spacing w:after="0"/>
              <w:rPr>
                <w:sz w:val="20"/>
                <w:szCs w:val="20"/>
                <w:color w:val="auto"/>
              </w:rPr>
            </w:pPr>
            <w:r>
              <w:rPr>
                <w:rFonts w:ascii="Times New Roman" w:cs="Times New Roman" w:eastAsia="Times New Roman" w:hAnsi="Times New Roman"/>
                <w:sz w:val="20"/>
                <w:szCs w:val="20"/>
                <w:color w:val="282828"/>
              </w:rPr>
              <w:t>Tradeweb Markets Inc. Omnibus Clawback Policy, effective as of October 2, 2023 (incorporated by reference to</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282828"/>
            </w:tcBorders>
            <w:gridSpan w:val="17"/>
          </w:tcPr>
          <w:p>
            <w:pPr>
              <w:spacing w:after="0" w:line="220" w:lineRule="exact"/>
              <w:rPr>
                <w:sz w:val="20"/>
                <w:szCs w:val="20"/>
                <w:color w:val="auto"/>
              </w:rPr>
            </w:pPr>
            <w:r>
              <w:rPr>
                <w:rFonts w:ascii="Times New Roman" w:cs="Times New Roman" w:eastAsia="Times New Roman" w:hAnsi="Times New Roman"/>
                <w:sz w:val="20"/>
                <w:szCs w:val="20"/>
                <w:color w:val="282828"/>
                <w:w w:val="99"/>
              </w:rPr>
              <w:t>Exhibit 97.1 to the Company’s Annual Report on Form 10-K filed on February 9, 2024 (File No. 001-38860)).</w:t>
            </w:r>
          </w:p>
        </w:tc>
        <w:tc>
          <w:tcPr>
            <w:tcW w:w="22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r>
      <w:tr>
        <w:trPr>
          <w:trHeight w:val="288"/>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w:t>
            </w:r>
          </w:p>
        </w:tc>
        <w:tc>
          <w:tcPr>
            <w:tcW w:w="20" w:type="dxa"/>
            <w:vAlign w:val="bottom"/>
          </w:tcPr>
          <w:p>
            <w:pPr>
              <w:spacing w:after="0"/>
              <w:rPr>
                <w:sz w:val="24"/>
                <w:szCs w:val="24"/>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c>
          <w:tcPr>
            <w:tcW w:w="20" w:type="dxa"/>
            <w:vAlign w:val="bottom"/>
          </w:tcPr>
          <w:p>
            <w:pPr>
              <w:spacing w:after="0"/>
              <w:rPr>
                <w:sz w:val="22"/>
                <w:szCs w:val="22"/>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101.CAL*</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101.DEF*</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101.LAB*</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2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101.PRE*</w:t>
            </w: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0" w:type="dxa"/>
            <w:vAlign w:val="bottom"/>
          </w:tcPr>
          <w:p>
            <w:pPr>
              <w:spacing w:after="0"/>
              <w:rPr>
                <w:sz w:val="24"/>
                <w:szCs w:val="24"/>
                <w:color w:val="auto"/>
              </w:rPr>
            </w:pPr>
          </w:p>
        </w:tc>
      </w:tr>
      <w:tr>
        <w:trPr>
          <w:trHeight w:val="28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c>
          <w:tcPr>
            <w:tcW w:w="20" w:type="dxa"/>
            <w:vAlign w:val="bottom"/>
          </w:tcPr>
          <w:p>
            <w:pPr>
              <w:spacing w:after="0"/>
              <w:rPr>
                <w:sz w:val="24"/>
                <w:szCs w:val="24"/>
                <w:color w:val="auto"/>
              </w:rPr>
            </w:pPr>
          </w:p>
        </w:tc>
      </w:tr>
    </w:tbl>
    <w:p>
      <w:pPr>
        <w:spacing w:after="0" w:line="272" w:lineRule="exact"/>
        <w:rPr>
          <w:sz w:val="20"/>
          <w:szCs w:val="20"/>
          <w:color w:val="auto"/>
        </w:rPr>
      </w:pPr>
    </w:p>
    <w:p>
      <w:pPr>
        <w:ind w:left="370" w:hanging="370"/>
        <w:spacing w:after="0"/>
        <w:tabs>
          <w:tab w:leader="none" w:pos="370" w:val="left"/>
        </w:tabs>
        <w:numPr>
          <w:ilvl w:val="0"/>
          <w:numId w:val="102"/>
        </w:numPr>
        <w:rPr>
          <w:rFonts w:ascii="Times New Roman" w:cs="Times New Roman" w:eastAsia="Times New Roman" w:hAnsi="Times New Roman"/>
          <w:sz w:val="20"/>
          <w:szCs w:val="20"/>
          <w:color w:val="101010"/>
        </w:rPr>
      </w:pPr>
      <w:r>
        <w:rPr>
          <w:rFonts w:ascii="Times New Roman" w:cs="Times New Roman" w:eastAsia="Times New Roman" w:hAnsi="Times New Roman"/>
          <w:sz w:val="20"/>
          <w:szCs w:val="20"/>
          <w:color w:val="101010"/>
        </w:rPr>
        <w:t>Filed herewith.</w:t>
      </w:r>
    </w:p>
    <w:p>
      <w:pPr>
        <w:spacing w:after="0" w:line="210" w:lineRule="exact"/>
        <w:rPr>
          <w:sz w:val="20"/>
          <w:szCs w:val="20"/>
          <w:color w:val="auto"/>
        </w:rPr>
      </w:pPr>
    </w:p>
    <w:p>
      <w:pPr>
        <w:ind w:left="10"/>
        <w:spacing w:after="0"/>
        <w:tabs>
          <w:tab w:leader="none" w:pos="350" w:val="left"/>
        </w:tabs>
        <w:rPr>
          <w:sz w:val="20"/>
          <w:szCs w:val="20"/>
          <w:color w:val="auto"/>
        </w:rPr>
      </w:pPr>
      <w:r>
        <w:rPr>
          <w:rFonts w:ascii="Times New Roman" w:cs="Times New Roman" w:eastAsia="Times New Roman" w:hAnsi="Times New Roman"/>
          <w:sz w:val="20"/>
          <w:szCs w:val="20"/>
          <w:color w:val="101010"/>
        </w:rPr>
        <w:t>**</w:t>
      </w:r>
      <w:r>
        <w:rPr>
          <w:sz w:val="20"/>
          <w:szCs w:val="20"/>
          <w:color w:val="auto"/>
        </w:rPr>
        <w:tab/>
      </w:r>
      <w:r>
        <w:rPr>
          <w:rFonts w:ascii="Times New Roman" w:cs="Times New Roman" w:eastAsia="Times New Roman" w:hAnsi="Times New Roman"/>
          <w:sz w:val="19"/>
          <w:szCs w:val="19"/>
          <w:color w:val="101010"/>
        </w:rPr>
        <w:t>Furnished herewith.</w:t>
      </w:r>
    </w:p>
    <w:p>
      <w:pPr>
        <w:spacing w:after="0" w:line="210" w:lineRule="exact"/>
        <w:rPr>
          <w:sz w:val="20"/>
          <w:szCs w:val="20"/>
          <w:color w:val="auto"/>
        </w:rPr>
      </w:pPr>
    </w:p>
    <w:p>
      <w:pPr>
        <w:ind w:left="370" w:hanging="370"/>
        <w:spacing w:after="0"/>
        <w:tabs>
          <w:tab w:leader="none" w:pos="37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01010"/>
        </w:rPr>
        <w:t>Indicates a management contract or compensatory plan or arrangement.</w:t>
      </w:r>
    </w:p>
    <w:p>
      <w:pPr>
        <w:spacing w:after="0" w:line="210" w:lineRule="exact"/>
        <w:rPr>
          <w:sz w:val="20"/>
          <w:szCs w:val="20"/>
          <w:color w:val="auto"/>
        </w:rPr>
      </w:pPr>
    </w:p>
    <w:p>
      <w:pPr>
        <w:ind w:left="370" w:hanging="370"/>
        <w:spacing w:after="0"/>
        <w:tabs>
          <w:tab w:leader="none" w:pos="370" w:val="left"/>
        </w:tabs>
        <w:numPr>
          <w:ilvl w:val="0"/>
          <w:numId w:val="104"/>
        </w:numPr>
        <w:rPr>
          <w:rFonts w:ascii="Times New Roman" w:cs="Times New Roman" w:eastAsia="Times New Roman" w:hAnsi="Times New Roman"/>
          <w:sz w:val="20"/>
          <w:szCs w:val="20"/>
          <w:color w:val="101010"/>
        </w:rPr>
      </w:pPr>
      <w:r>
        <w:rPr>
          <w:rFonts w:ascii="Times New Roman" w:cs="Times New Roman" w:eastAsia="Times New Roman" w:hAnsi="Times New Roman"/>
          <w:sz w:val="20"/>
          <w:szCs w:val="20"/>
          <w:color w:val="101010"/>
        </w:rPr>
        <w:t>Portions of this exhibit have been redacted in compliance with Regulation S-K Item 601(b)(10).</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ectPr>
          <w:pgSz w:w="12060" w:h="15660" w:orient="portrait"/>
          <w:cols w:equalWidth="0" w:num="1">
            <w:col w:w="10450"/>
          </w:cols>
          <w:pgMar w:left="810" w:top="823" w:right="800" w:bottom="0" w:gutter="0" w:footer="0" w:header="0"/>
        </w:sect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159</w:t>
      </w:r>
    </w:p>
    <w:p>
      <w:pPr>
        <w:sectPr>
          <w:pgSz w:w="12060" w:h="15660" w:orient="portrait"/>
          <w:cols w:equalWidth="0" w:num="1">
            <w:col w:w="10450"/>
          </w:cols>
          <w:pgMar w:left="810" w:top="823" w:right="800" w:bottom="0" w:gutter="0" w:footer="0" w:header="0"/>
          <w:type w:val="continuous"/>
        </w:sectPr>
      </w:pPr>
    </w:p>
    <w:bookmarkStart w:id="169" w:name="page170"/>
    <w:bookmarkEnd w:id="169"/>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264"/>
        </w:trPr>
        <w:tc>
          <w:tcPr>
            <w:tcW w:w="5300" w:type="dxa"/>
            <w:vAlign w:val="bottom"/>
          </w:tcPr>
          <w:p>
            <w:pPr>
              <w:spacing w:after="0"/>
              <w:rPr>
                <w:sz w:val="22"/>
                <w:szCs w:val="22"/>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TRADEWEB MARKETS INC.</w:t>
            </w:r>
          </w:p>
        </w:tc>
      </w:tr>
      <w:tr>
        <w:trPr>
          <w:trHeight w:val="71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February 7, 2025</w:t>
            </w:r>
          </w:p>
        </w:tc>
        <w:tc>
          <w:tcPr>
            <w:tcW w:w="4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 William Hult</w:t>
            </w:r>
          </w:p>
        </w:tc>
      </w:tr>
      <w:tr>
        <w:trPr>
          <w:trHeight w:val="260"/>
        </w:trPr>
        <w:tc>
          <w:tcPr>
            <w:tcW w:w="530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4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William Hult</w:t>
            </w:r>
          </w:p>
        </w:tc>
      </w:tr>
      <w:tr>
        <w:trPr>
          <w:trHeight w:val="281"/>
        </w:trPr>
        <w:tc>
          <w:tcPr>
            <w:tcW w:w="5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2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this report has been signed below by the following persons on behalf of the registrant and in the capacities and on the dates indicated.</w:t>
      </w:r>
    </w:p>
    <w:p>
      <w:pPr>
        <w:ind w:left="1360"/>
        <w:spacing w:after="0"/>
        <w:tabs>
          <w:tab w:leader="none" w:pos="5900" w:val="left"/>
          <w:tab w:leader="none" w:pos="932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Title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45085</wp:posOffset>
                </wp:positionV>
                <wp:extent cx="227647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55pt" to="178.7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2336800</wp:posOffset>
                </wp:positionH>
                <wp:positionV relativeFrom="paragraph">
                  <wp:posOffset>45085</wp:posOffset>
                </wp:positionV>
                <wp:extent cx="30956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5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pt,3.55pt" to="427.7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5499100</wp:posOffset>
                </wp:positionH>
                <wp:positionV relativeFrom="paragraph">
                  <wp:posOffset>45085</wp:posOffset>
                </wp:positionV>
                <wp:extent cx="112395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3.55pt" to="521.5pt,3.55pt" o:allowincell="f" strokecolor="#000000" strokeweight="1pt"/>
            </w:pict>
          </mc:Fallback>
        </mc:AlternateContent>
      </w:r>
    </w:p>
    <w:p>
      <w:pPr>
        <w:sectPr>
          <w:pgSz w:w="12060" w:h="15660" w:orient="portrait"/>
          <w:cols w:equalWidth="0" w:num="1">
            <w:col w:w="10600"/>
          </w:cols>
          <w:pgMar w:left="820" w:top="741" w:right="64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William Hult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William Hult</w:t>
      </w:r>
    </w:p>
    <w:p>
      <w:pPr>
        <w:spacing w:after="0" w:line="2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 Sara Furber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Sara Furber</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Jacques Aigrain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Jacques Aigrain</w:t>
      </w:r>
    </w:p>
    <w:p>
      <w:pPr>
        <w:spacing w:after="0" w:line="2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/s/ Balbir Bakhshi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Balbir Bakhshi</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Steven Berns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Steven Berns</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Scott C. Ganeles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Scott C. Ganeles</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9"/>
          <w:szCs w:val="19"/>
          <w:color w:val="auto"/>
        </w:rPr>
        <w:t>/s/ Catherine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34290</wp:posOffset>
                </wp:positionV>
                <wp:extent cx="227647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pt" to="178.75pt,2.7pt" o:allowincell="f" strokecolor="#000000" strokeweight="1pt"/>
            </w:pict>
          </mc:Fallback>
        </mc:AlternateContent>
      </w:r>
    </w:p>
    <w:p>
      <w:pPr>
        <w:spacing w:after="0" w:line="2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Catherine Johnson</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Paula B. Madoff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Paula B. Madoff</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Daniel Maguire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Daniel Maguire</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Lisa Opoku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Lisa Opoku</w:t>
      </w:r>
    </w:p>
    <w:p>
      <w:pPr>
        <w:spacing w:after="0" w:line="2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Rana Yared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Rana Yared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 and</w:t>
            </w: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26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 and</w:t>
            </w: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145"/>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8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7, 2025</w:t>
            </w:r>
          </w:p>
        </w:tc>
        <w:tc>
          <w:tcPr>
            <w:tcW w:w="0" w:type="dxa"/>
            <w:vAlign w:val="bottom"/>
          </w:tcPr>
          <w:p>
            <w:pPr>
              <w:spacing w:after="0"/>
              <w:rPr>
                <w:sz w:val="1"/>
                <w:szCs w:val="1"/>
                <w:color w:val="auto"/>
              </w:rPr>
            </w:pPr>
          </w:p>
        </w:tc>
      </w:tr>
    </w:tbl>
    <w:p>
      <w:pPr>
        <w:spacing w:after="0" w:line="369" w:lineRule="exact"/>
        <w:rPr>
          <w:sz w:val="20"/>
          <w:szCs w:val="20"/>
          <w:color w:val="auto"/>
        </w:rPr>
      </w:pPr>
    </w:p>
    <w:p>
      <w:pPr>
        <w:sectPr>
          <w:pgSz w:w="12060" w:h="15660" w:orient="portrait"/>
          <w:cols w:equalWidth="0" w:num="2">
            <w:col w:w="3020" w:space="720"/>
            <w:col w:w="6860"/>
          </w:cols>
          <w:pgMar w:left="820" w:top="741"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160</w:t>
      </w:r>
    </w:p>
    <w:p>
      <w:pPr>
        <w:sectPr>
          <w:pgSz w:w="12060" w:h="15660" w:orient="portrait"/>
          <w:cols w:equalWidth="0" w:num="1">
            <w:col w:w="10600"/>
          </w:cols>
          <w:pgMar w:left="820" w:top="741" w:right="640" w:bottom="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00568F"/>
        </w:rPr>
        <w:t>INVESTOR RELATIONS CONTACTS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ASHLEY SERRAO</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Managing Director, Head of Treasury,</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FP&amp;A and Investor Relations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Ashley.Serrao@tradeweb.com</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+1 646 430 6027</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SAMEER MURUKUTLA</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Managing Director, Investor Relations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Sameer.Murukutla@tradeweb.com</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+1 646 767 4864</w:t>
      </w:r>
    </w:p>
    <w:p>
      <w:pPr>
        <w:spacing w:after="0" w:line="380" w:lineRule="exact"/>
        <w:rPr>
          <w:sz w:val="20"/>
          <w:szCs w:val="20"/>
          <w:color w:val="auto"/>
        </w:rPr>
      </w:pPr>
    </w:p>
    <w:p>
      <w:pPr>
        <w:ind w:left="200"/>
        <w:spacing w:after="0"/>
        <w:rPr>
          <w:sz w:val="20"/>
          <w:szCs w:val="20"/>
          <w:color w:val="auto"/>
        </w:rPr>
      </w:pPr>
      <w:r>
        <w:rPr>
          <w:rFonts w:ascii="Arial" w:cs="Arial" w:eastAsia="Arial" w:hAnsi="Arial"/>
          <w:sz w:val="20"/>
          <w:szCs w:val="20"/>
          <w:color w:val="00568F"/>
        </w:rPr>
        <w:t>CORPORATE HEADQUARTERS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TRADEWEB MARKETS INC.</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1177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-48260</wp:posOffset>
            </wp:positionV>
            <wp:extent cx="286385" cy="448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4">
                      <a:extLst>
                        <a:ext uri="{28A0092B-C50C-407E-A947-70E740481C1C}"/>
                      </a:extLst>
                    </a:blip>
                    <a:srcRect/>
                    <a:stretch>
                      <a:fillRect/>
                    </a:stretch>
                  </pic:blipFill>
                  <pic:spPr bwMode="auto">
                    <a:xfrm>
                      <a:off x="0" y="0"/>
                      <a:ext cx="286385" cy="44894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New York, NY 10036</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+1 646 430 6000</w:t>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7"/>
          <w:szCs w:val="17"/>
          <w:color w:val="00568F"/>
        </w:rPr>
        <w:t>TRANSFER AGENT AND REGISTRAR</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EQUINITI TRUST COMPANY, LLC</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19"/>
          <w:szCs w:val="19"/>
          <w:color w:val="00568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-48260</wp:posOffset>
            </wp:positionV>
            <wp:extent cx="3115310" cy="5905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5">
                      <a:extLst>
                        <a:ext uri="{28A0092B-C50C-407E-A947-70E740481C1C}"/>
                      </a:extLst>
                    </a:blip>
                    <a:srcRect/>
                    <a:stretch>
                      <a:fillRect/>
                    </a:stretch>
                  </pic:blipFill>
                  <pic:spPr bwMode="auto">
                    <a:xfrm>
                      <a:off x="0" y="0"/>
                      <a:ext cx="3115310" cy="590550"/>
                    </a:xfrm>
                    <a:prstGeom prst="rect">
                      <a:avLst/>
                    </a:prstGeom>
                    <a:noFill/>
                  </pic:spPr>
                </pic:pic>
              </a:graphicData>
            </a:graphic>
          </wp:anchor>
        </w:drawing>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Tuesday, May 20, 2025</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9:00 AM (Eastern Time)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Virtual Meeting:</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www.virtualshareholdermeeting.com/TW2025</w:t>
      </w:r>
    </w:p>
    <w:p>
      <w:pPr>
        <w:sectPr>
          <w:pgSz w:w="12080" w:h="15663" w:orient="portrait"/>
          <w:cols w:equalWidth="0" w:num="1">
            <w:col w:w="9204"/>
          </w:cols>
          <w:pgMar w:left="1440" w:top="1440" w:right="1440" w:bottom="77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60005" cy="9946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a:extLst>
                        <a:ext uri="{28A0092B-C50C-407E-A947-70E740481C1C}"/>
                      </a:extLst>
                    </a:blip>
                    <a:srcRect/>
                    <a:stretch>
                      <a:fillRect/>
                    </a:stretch>
                  </pic:blipFill>
                  <pic:spPr bwMode="auto">
                    <a:xfrm>
                      <a:off x="0" y="0"/>
                      <a:ext cx="7660005" cy="994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42"/>
          <w:szCs w:val="42"/>
          <w:color w:val="FFFFFF"/>
        </w:rPr>
        <w:t>Tradeweb.com</w:t>
      </w:r>
    </w:p>
    <w:sectPr>
      <w:pgSz w:w="12060" w:h="15663" w:orient="portrait"/>
      <w:cols w:equalWidth="0" w:num="1">
        <w:col w:w="9183"/>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2"/>
    </w:lvl>
  </w:abstractNum>
  <w:abstractNum w:abstractNumId="1">
    <w:nsid w:val="70C6A529"/>
    <w:multiLevelType w:val="hybridMultilevel"/>
    <w:lvl w:ilvl="0">
      <w:lvlJc w:val="left"/>
      <w:lvlText w:val="%1"/>
      <w:numFmt w:val="decimal"/>
      <w:start w:val="2"/>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endash "/>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lvl w:ilvl="1">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lvl w:ilvl="1">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upperLetter"/>
      <w:start w:val="37"/>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lowerRoman"/>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
      <w:numFmt w:val="bullet"/>
      <w:start w:val="1"/>
    </w:lvl>
    <w:lvl w:ilvl="1">
      <w:lvlJc w:val="left"/>
      <w:lvlText w:val="◦"/>
      <w:numFmt w:val="bullet"/>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2"/>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3"/>
    </w:lvl>
  </w:abstractNum>
  <w:abstractNum w:abstractNumId="69">
    <w:nsid w:val="76272110"/>
    <w:multiLevelType w:val="hybridMultilevel"/>
    <w:lvl w:ilvl="0">
      <w:lvlJc w:val="left"/>
      <w:lvlText w:val="%1."/>
      <w:numFmt w:val="decimal"/>
      <w:start w:val="4"/>
    </w:lvl>
  </w:abstractNum>
  <w:abstractNum w:abstractNumId="70">
    <w:nsid w:val="4C04A8AF"/>
    <w:multiLevelType w:val="hybridMultilevel"/>
    <w:lvl w:ilvl="0">
      <w:lvlJc w:val="left"/>
      <w:lvlText w:val="%1."/>
      <w:numFmt w:val="decimal"/>
      <w:start w:val="5"/>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6"/>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1."/>
      <w:numFmt w:val="decimal"/>
      <w:start w:val="7"/>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decimal"/>
      <w:start w:val="8"/>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1."/>
      <w:numFmt w:val="decimal"/>
      <w:start w:val="9"/>
    </w:lvl>
  </w:abstractNum>
  <w:abstractNum w:abstractNumId="79">
    <w:nsid w:val="39EE015C"/>
    <w:multiLevelType w:val="hybridMultilevel"/>
    <w:lvl w:ilvl="0">
      <w:lvlJc w:val="left"/>
      <w:lvlText w:val="%1."/>
      <w:numFmt w:val="decimal"/>
      <w:start w:val="10"/>
    </w:lvl>
  </w:abstractNum>
  <w:abstractNum w:abstractNumId="80">
    <w:nsid w:val="57FC4FBB"/>
    <w:multiLevelType w:val="hybridMultilevel"/>
    <w:lvl w:ilvl="0">
      <w:lvlJc w:val="left"/>
      <w:lvlText w:val="%1."/>
      <w:numFmt w:val="decimal"/>
      <w:start w:val="1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2"/>
    </w:lvl>
  </w:abstractNum>
  <w:abstractNum w:abstractNumId="83">
    <w:nsid w:val="60EF0119"/>
    <w:multiLevelType w:val="hybridMultilevel"/>
    <w:lvl w:ilvl="0">
      <w:lvlJc w:val="left"/>
      <w:lvlText w:val="%1."/>
      <w:numFmt w:val="decimal"/>
      <w:start w:val="13"/>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4"/>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15"/>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16"/>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decimal"/>
      <w:start w:val="17"/>
    </w:lvl>
  </w:abstractNum>
  <w:abstractNum w:abstractNumId="93">
    <w:nsid w:val="7672BD23"/>
    <w:multiLevelType w:val="hybridMultilevel"/>
    <w:lvl w:ilvl="0">
      <w:lvlJc w:val="left"/>
      <w:lvlText w:val="%1."/>
      <w:numFmt w:val="decimal"/>
      <w:start w:val="18"/>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decimal"/>
      <w:start w:val="19"/>
    </w:lvl>
  </w:abstractNum>
  <w:abstractNum w:abstractNumId="96">
    <w:nsid w:val="7D5E18F8"/>
    <w:multiLevelType w:val="hybridMultilevel"/>
    <w:lvl w:ilvl="0">
      <w:lvlJc w:val="left"/>
      <w:lvlText w:val="%1."/>
      <w:numFmt w:val="decimal"/>
      <w:start w:val="20"/>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21"/>
    </w:lvl>
  </w:abstractNum>
  <w:abstractNum w:abstractNumId="99">
    <w:nsid w:val="7DE67713"/>
    <w:multiLevelType w:val="hybridMultilevel"/>
    <w:lvl w:ilvl="0">
      <w:lvlJc w:val="left"/>
      <w:lvlText w:val="(%1)"/>
      <w:numFmt w:val="lowerLetter"/>
      <w:start w:val="2"/>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2025-03-29T00:41:04Z</dcterms:created>
  <dcterms:modified xsi:type="dcterms:W3CDTF">2025-03-29T00:41:04Z</dcterms:modified>
</cp:coreProperties>
</file>