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Bruni Enrico</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03/16/2022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45"/>
        <w:spacing w:after="0"/>
        <w:rPr>
          <w:sz w:val="20"/>
          <w:szCs w:val="20"/>
          <w:color w:val="auto"/>
        </w:rPr>
      </w:pPr>
      <w:r>
        <w:rPr>
          <w:rFonts w:ascii="Arial" w:cs="Arial" w:eastAsia="Arial" w:hAnsi="Arial"/>
          <w:sz w:val="17"/>
          <w:szCs w:val="17"/>
          <w:color w:val="0000FF"/>
        </w:rPr>
        <w:t>Managing Director, Europe/Asia</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jc w:val="center"/>
              <w:ind w:left="66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jc w:val="center"/>
              <w:ind w:left="647"/>
              <w:spacing w:after="0"/>
              <w:rPr>
                <w:sz w:val="20"/>
                <w:szCs w:val="20"/>
                <w:color w:val="auto"/>
              </w:rPr>
            </w:pPr>
            <w:r>
              <w:rPr>
                <w:rFonts w:ascii="Arial" w:cs="Arial" w:eastAsia="Arial" w:hAnsi="Arial"/>
                <w:sz w:val="17"/>
                <w:szCs w:val="17"/>
                <w:color w:val="0000FF"/>
                <w:w w:val="93"/>
              </w:rPr>
              <w:t>03/16/2022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center"/>
              <w:ind w:left="15"/>
              <w:spacing w:after="0"/>
              <w:rPr>
                <w:sz w:val="20"/>
                <w:szCs w:val="20"/>
                <w:color w:val="auto"/>
              </w:rPr>
            </w:pPr>
            <w:r>
              <w:rPr>
                <w:rFonts w:ascii="Arial" w:cs="Arial" w:eastAsia="Arial" w:hAnsi="Arial"/>
                <w:sz w:val="17"/>
                <w:szCs w:val="17"/>
                <w:color w:val="0000FF"/>
                <w:w w:val="85"/>
              </w:rPr>
              <w:t>1,479</w:t>
            </w:r>
            <w:r>
              <w:rPr>
                <w:rFonts w:ascii="Arial" w:cs="Arial" w:eastAsia="Arial" w:hAnsi="Arial"/>
                <w:sz w:val="22"/>
                <w:szCs w:val="22"/>
                <w:color w:val="008000"/>
                <w:w w:val="85"/>
                <w:vertAlign w:val="superscript"/>
              </w:rPr>
              <w:t>(1)</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87.43</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104,162</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jc w:val="center"/>
              <w:ind w:left="647"/>
              <w:spacing w:after="0"/>
              <w:rPr>
                <w:sz w:val="20"/>
                <w:szCs w:val="20"/>
                <w:color w:val="auto"/>
              </w:rPr>
            </w:pPr>
            <w:r>
              <w:rPr>
                <w:rFonts w:ascii="Arial" w:cs="Arial" w:eastAsia="Arial" w:hAnsi="Arial"/>
                <w:sz w:val="17"/>
                <w:szCs w:val="17"/>
                <w:color w:val="0000FF"/>
                <w:w w:val="93"/>
              </w:rPr>
              <w:t>03/16/2022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ind w:left="35"/>
              <w:spacing w:after="0" w:line="320" w:lineRule="exact"/>
              <w:rPr>
                <w:sz w:val="20"/>
                <w:szCs w:val="20"/>
                <w:color w:val="auto"/>
              </w:rPr>
            </w:pPr>
            <w:r>
              <w:rPr>
                <w:rFonts w:ascii="Arial" w:cs="Arial" w:eastAsia="Arial" w:hAnsi="Arial"/>
                <w:sz w:val="34"/>
                <w:szCs w:val="34"/>
                <w:color w:val="0000FF"/>
                <w:w w:val="84"/>
                <w:vertAlign w:val="subscript"/>
              </w:rPr>
              <w:t>5</w:t>
            </w:r>
            <w:r>
              <w:rPr>
                <w:rFonts w:ascii="Arial" w:cs="Arial" w:eastAsia="Arial" w:hAnsi="Arial"/>
                <w:sz w:val="11"/>
                <w:szCs w:val="11"/>
                <w:color w:val="008000"/>
                <w:w w:val="84"/>
              </w:rPr>
              <w:t>(3)</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4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104,167</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jc w:val="center"/>
              <w:ind w:left="647"/>
              <w:spacing w:after="0"/>
              <w:rPr>
                <w:sz w:val="20"/>
                <w:szCs w:val="20"/>
                <w:color w:val="auto"/>
              </w:rPr>
            </w:pPr>
            <w:r>
              <w:rPr>
                <w:rFonts w:ascii="Arial" w:cs="Arial" w:eastAsia="Arial" w:hAnsi="Arial"/>
                <w:sz w:val="17"/>
                <w:szCs w:val="17"/>
                <w:color w:val="0000FF"/>
                <w:w w:val="93"/>
              </w:rPr>
              <w:t>03/18/2022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(4)</w:t>
            </w:r>
          </w:p>
        </w:tc>
        <w:tc>
          <w:tcPr>
            <w:tcW w:w="720" w:type="dxa"/>
            <w:vAlign w:val="bottom"/>
            <w:tcBorders>
              <w:bottom w:val="single" w:sz="8" w:color="2C2C2C"/>
            </w:tcBorders>
          </w:tcPr>
          <w:p>
            <w:pPr>
              <w:jc w:val="center"/>
              <w:ind w:left="35"/>
              <w:spacing w:after="0"/>
              <w:rPr>
                <w:sz w:val="20"/>
                <w:szCs w:val="20"/>
                <w:color w:val="auto"/>
              </w:rPr>
            </w:pPr>
            <w:r>
              <w:rPr>
                <w:rFonts w:ascii="Arial" w:cs="Arial" w:eastAsia="Arial" w:hAnsi="Arial"/>
                <w:sz w:val="17"/>
                <w:szCs w:val="17"/>
                <w:color w:val="0000FF"/>
                <w:w w:val="91"/>
              </w:rPr>
              <w:t>200</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64"/>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90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103,967</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15" w:lineRule="exact"/>
        <w:rPr>
          <w:rFonts w:ascii="Arial" w:cs="Arial" w:eastAsia="Arial" w:hAnsi="Arial"/>
          <w:sz w:val="13"/>
          <w:szCs w:val="13"/>
          <w:color w:val="008000"/>
        </w:rPr>
      </w:pPr>
    </w:p>
    <w:p>
      <w:pPr>
        <w:ind w:left="40" w:right="22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5,360 unvested RSUs in respect of the issuer's Class A Common Stock which are scheduled to vest on March 17, 2023, (ii) 32,158 unvested RSUs in respect of Class A Common Stock which are scheduled to vest on January 1, 2023, (iii) 6,293 unvested RSUs in respect of Class A Common Stock which are scheduled to vest in equal installments on each of March 15, 2023 and March 15, 2024, (iv) 18,878 unvested RSUs in respect of Class A Common Stock which are scheduled to vest on January 1, 2024, and (v) 11,046 unvested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29"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15, 2021.</w:t>
      </w:r>
    </w:p>
    <w:p>
      <w:pPr>
        <w:spacing w:after="0" w:line="4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03/18/2022</w:t>
            </w:r>
          </w:p>
        </w:tc>
        <w:tc>
          <w:tcPr>
            <w:tcW w:w="0" w:type="dxa"/>
            <w:vAlign w:val="bottom"/>
          </w:tcPr>
          <w:p>
            <w:pPr>
              <w:spacing w:after="0"/>
              <w:rPr>
                <w:sz w:val="1"/>
                <w:szCs w:val="1"/>
                <w:color w:val="auto"/>
              </w:rPr>
            </w:pPr>
          </w:p>
        </w:tc>
      </w:tr>
      <w:tr>
        <w:trPr>
          <w:trHeight w:val="87"/>
        </w:trPr>
        <w:tc>
          <w:tcPr>
            <w:tcW w:w="150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Fact for Enrico Bruni</w:t>
            </w:r>
          </w:p>
        </w:tc>
        <w:tc>
          <w:tcPr>
            <w:tcW w:w="6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00" w:type="dxa"/>
            <w:vAlign w:val="bottom"/>
            <w:tcBorders>
              <w:bottom w:val="single" w:sz="8" w:color="auto"/>
            </w:tcBorders>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8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2022-03-18T19:12:02Z</dcterms:created>
  <dcterms:modified xsi:type="dcterms:W3CDTF">2022-03-18T19:12:02Z</dcterms:modified>
</cp:coreProperties>
</file>