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621030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587375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6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March 7, 2024</w:t>
      </w:r>
    </w:p>
    <w:p>
      <w:pPr>
        <w:spacing w:after="0" w:line="2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Tradeweb Markets Inc.</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w:t>
      </w:r>
    </w:p>
    <w:p>
      <w:pPr>
        <w:spacing w:after="0" w:line="264" w:lineRule="exact"/>
        <w:rPr>
          <w:sz w:val="24"/>
          <w:szCs w:val="24"/>
          <w:color w:val="auto"/>
        </w:rPr>
      </w:pPr>
    </w:p>
    <w:tbl>
      <w:tblPr>
        <w:tblLayout w:type="fixed"/>
        <w:tblInd w:w="1120" w:type="dxa"/>
        <w:tblCellMar>
          <w:top w:w="0" w:type="dxa"/>
          <w:left w:w="0" w:type="dxa"/>
          <w:bottom w:w="0" w:type="dxa"/>
          <w:right w:w="0" w:type="dxa"/>
        </w:tblCellMar>
      </w:tblPr>
      <w:tr>
        <w:trPr>
          <w:trHeight w:val="204"/>
        </w:trPr>
        <w:tc>
          <w:tcPr>
            <w:tcW w:w="3980" w:type="dxa"/>
            <w:vAlign w:val="bottom"/>
          </w:tcPr>
          <w:p>
            <w:pPr>
              <w:jc w:val="center"/>
              <w:ind w:right="23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60" w:type="dxa"/>
            <w:vAlign w:val="bottom"/>
          </w:tcPr>
          <w:p>
            <w:pPr>
              <w:jc w:val="center"/>
              <w:ind w:right="1189"/>
              <w:spacing w:after="0"/>
              <w:rPr>
                <w:sz w:val="20"/>
                <w:szCs w:val="20"/>
                <w:color w:val="auto"/>
              </w:rPr>
            </w:pPr>
            <w:r>
              <w:rPr>
                <w:rFonts w:ascii="Times New Roman" w:cs="Times New Roman" w:eastAsia="Times New Roman" w:hAnsi="Times New Roman"/>
                <w:sz w:val="14"/>
                <w:szCs w:val="14"/>
                <w:b w:val="1"/>
                <w:bCs w:val="1"/>
                <w:color w:val="auto"/>
              </w:rPr>
              <w:t>001-38860</w:t>
            </w:r>
          </w:p>
        </w:tc>
        <w:tc>
          <w:tcPr>
            <w:tcW w:w="24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83-2456358</w:t>
            </w:r>
          </w:p>
        </w:tc>
        <w:tc>
          <w:tcPr>
            <w:tcW w:w="0" w:type="dxa"/>
            <w:vAlign w:val="bottom"/>
          </w:tcPr>
          <w:p>
            <w:pPr>
              <w:spacing w:after="0"/>
              <w:rPr>
                <w:sz w:val="1"/>
                <w:szCs w:val="1"/>
                <w:color w:val="auto"/>
              </w:rPr>
            </w:pPr>
          </w:p>
        </w:tc>
      </w:tr>
      <w:tr>
        <w:trPr>
          <w:trHeight w:val="159"/>
        </w:trPr>
        <w:tc>
          <w:tcPr>
            <w:tcW w:w="3980" w:type="dxa"/>
            <w:vAlign w:val="bottom"/>
          </w:tcPr>
          <w:p>
            <w:pPr>
              <w:jc w:val="center"/>
              <w:ind w:right="2369"/>
              <w:spacing w:after="0" w:line="15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2360" w:type="dxa"/>
            <w:vAlign w:val="bottom"/>
          </w:tcPr>
          <w:p>
            <w:pPr>
              <w:jc w:val="center"/>
              <w:ind w:right="1189"/>
              <w:spacing w:after="0" w:line="159" w:lineRule="exact"/>
              <w:rPr>
                <w:sz w:val="20"/>
                <w:szCs w:val="20"/>
                <w:color w:val="auto"/>
              </w:rPr>
            </w:pPr>
            <w:r>
              <w:rPr>
                <w:rFonts w:ascii="Times New Roman" w:cs="Times New Roman" w:eastAsia="Times New Roman" w:hAnsi="Times New Roman"/>
                <w:sz w:val="14"/>
                <w:szCs w:val="14"/>
                <w:color w:val="auto"/>
              </w:rPr>
              <w:t>(Commission</w:t>
            </w:r>
          </w:p>
        </w:tc>
        <w:tc>
          <w:tcPr>
            <w:tcW w:w="2480" w:type="dxa"/>
            <w:vAlign w:val="bottom"/>
          </w:tcPr>
          <w:p>
            <w:pPr>
              <w:jc w:val="center"/>
              <w:ind w:left="1329"/>
              <w:spacing w:after="0" w:line="15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95"/>
        </w:trPr>
        <w:tc>
          <w:tcPr>
            <w:tcW w:w="3980" w:type="dxa"/>
            <w:vAlign w:val="bottom"/>
          </w:tcPr>
          <w:p>
            <w:pPr>
              <w:jc w:val="center"/>
              <w:ind w:right="2369"/>
              <w:spacing w:after="0"/>
              <w:rPr>
                <w:sz w:val="20"/>
                <w:szCs w:val="20"/>
                <w:color w:val="auto"/>
              </w:rPr>
            </w:pPr>
            <w:r>
              <w:rPr>
                <w:rFonts w:ascii="Times New Roman" w:cs="Times New Roman" w:eastAsia="Times New Roman" w:hAnsi="Times New Roman"/>
                <w:sz w:val="14"/>
                <w:szCs w:val="14"/>
                <w:color w:val="auto"/>
              </w:rPr>
              <w:t>of Incorporation)</w:t>
            </w:r>
          </w:p>
        </w:tc>
        <w:tc>
          <w:tcPr>
            <w:tcW w:w="236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File Number)</w:t>
            </w:r>
          </w:p>
        </w:tc>
        <w:tc>
          <w:tcPr>
            <w:tcW w:w="2480" w:type="dxa"/>
            <w:vAlign w:val="bottom"/>
          </w:tcPr>
          <w:p>
            <w:pPr>
              <w:jc w:val="center"/>
              <w:ind w:left="1349"/>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196"/>
        </w:trPr>
        <w:tc>
          <w:tcPr>
            <w:tcW w:w="3980" w:type="dxa"/>
            <w:vAlign w:val="bottom"/>
          </w:tcPr>
          <w:p>
            <w:pPr>
              <w:jc w:val="center"/>
              <w:ind w:left="1249"/>
              <w:spacing w:after="0"/>
              <w:rPr>
                <w:sz w:val="20"/>
                <w:szCs w:val="20"/>
                <w:color w:val="auto"/>
              </w:rPr>
            </w:pPr>
            <w:r>
              <w:rPr>
                <w:rFonts w:ascii="Times New Roman" w:cs="Times New Roman" w:eastAsia="Times New Roman" w:hAnsi="Times New Roman"/>
                <w:sz w:val="14"/>
                <w:szCs w:val="14"/>
                <w:b w:val="1"/>
                <w:bCs w:val="1"/>
                <w:color w:val="auto"/>
                <w:w w:val="99"/>
              </w:rPr>
              <w:t>1177 Avenue of the Americas</w:t>
            </w:r>
          </w:p>
        </w:tc>
        <w:tc>
          <w:tcPr>
            <w:tcW w:w="2360" w:type="dxa"/>
            <w:vAlign w:val="bottom"/>
          </w:tcPr>
          <w:p>
            <w:pPr>
              <w:spacing w:after="0"/>
              <w:rPr>
                <w:sz w:val="17"/>
                <w:szCs w:val="17"/>
                <w:color w:val="auto"/>
              </w:rPr>
            </w:pPr>
          </w:p>
        </w:tc>
        <w:tc>
          <w:tcPr>
            <w:tcW w:w="248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10036</w:t>
            </w:r>
          </w:p>
        </w:tc>
        <w:tc>
          <w:tcPr>
            <w:tcW w:w="0" w:type="dxa"/>
            <w:vAlign w:val="bottom"/>
          </w:tcPr>
          <w:p>
            <w:pPr>
              <w:spacing w:after="0"/>
              <w:rPr>
                <w:sz w:val="1"/>
                <w:szCs w:val="1"/>
                <w:color w:val="auto"/>
              </w:rPr>
            </w:pPr>
          </w:p>
        </w:tc>
      </w:tr>
      <w:tr>
        <w:trPr>
          <w:trHeight w:val="186"/>
        </w:trPr>
        <w:tc>
          <w:tcPr>
            <w:tcW w:w="3980" w:type="dxa"/>
            <w:vAlign w:val="bottom"/>
          </w:tcPr>
          <w:p>
            <w:pPr>
              <w:jc w:val="center"/>
              <w:ind w:left="1229"/>
              <w:spacing w:after="0"/>
              <w:rPr>
                <w:sz w:val="20"/>
                <w:szCs w:val="20"/>
                <w:color w:val="auto"/>
              </w:rPr>
            </w:pPr>
            <w:r>
              <w:rPr>
                <w:rFonts w:ascii="Times New Roman" w:cs="Times New Roman" w:eastAsia="Times New Roman" w:hAnsi="Times New Roman"/>
                <w:sz w:val="14"/>
                <w:szCs w:val="14"/>
                <w:b w:val="1"/>
                <w:bCs w:val="1"/>
                <w:color w:val="auto"/>
                <w:w w:val="99"/>
              </w:rPr>
              <w:t>New York, New York</w:t>
            </w:r>
          </w:p>
        </w:tc>
        <w:tc>
          <w:tcPr>
            <w:tcW w:w="2360" w:type="dxa"/>
            <w:vAlign w:val="bottom"/>
          </w:tcPr>
          <w:p>
            <w:pPr>
              <w:spacing w:after="0"/>
              <w:rPr>
                <w:sz w:val="16"/>
                <w:szCs w:val="16"/>
                <w:color w:val="auto"/>
              </w:rPr>
            </w:pPr>
          </w:p>
        </w:tc>
        <w:tc>
          <w:tcPr>
            <w:tcW w:w="2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60" w:type="dxa"/>
            <w:vAlign w:val="bottom"/>
          </w:tcPr>
          <w:p>
            <w:pPr>
              <w:spacing w:after="0"/>
              <w:rPr>
                <w:sz w:val="16"/>
                <w:szCs w:val="16"/>
                <w:color w:val="auto"/>
              </w:rPr>
            </w:pPr>
          </w:p>
        </w:tc>
        <w:tc>
          <w:tcPr>
            <w:tcW w:w="2480" w:type="dxa"/>
            <w:vAlign w:val="bottom"/>
          </w:tcPr>
          <w:p>
            <w:pPr>
              <w:jc w:val="center"/>
              <w:ind w:left="134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(646) 430-6000</w:t>
      </w:r>
    </w:p>
    <w:p>
      <w:pPr>
        <w:spacing w:after="0" w:line="2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280" w:hanging="261"/>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51" w:lineRule="exact"/>
        <w:rPr>
          <w:rFonts w:ascii="MS PGothic" w:cs="MS PGothic" w:eastAsia="MS PGothic" w:hAnsi="MS PGothic"/>
          <w:sz w:val="14"/>
          <w:szCs w:val="14"/>
          <w:color w:val="auto"/>
        </w:rPr>
      </w:pPr>
    </w:p>
    <w:p>
      <w:pPr>
        <w:ind w:left="280" w:hanging="261"/>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51" w:lineRule="exact"/>
        <w:rPr>
          <w:rFonts w:ascii="MS PGothic" w:cs="MS PGothic" w:eastAsia="MS PGothic" w:hAnsi="MS PGothic"/>
          <w:sz w:val="14"/>
          <w:szCs w:val="14"/>
          <w:color w:val="auto"/>
        </w:rPr>
      </w:pPr>
    </w:p>
    <w:p>
      <w:pPr>
        <w:ind w:left="280" w:hanging="261"/>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51" w:lineRule="exact"/>
        <w:rPr>
          <w:rFonts w:ascii="MS PGothic" w:cs="MS PGothic" w:eastAsia="MS PGothic" w:hAnsi="MS PGothic"/>
          <w:sz w:val="14"/>
          <w:szCs w:val="14"/>
          <w:color w:val="auto"/>
        </w:rPr>
      </w:pPr>
    </w:p>
    <w:p>
      <w:pPr>
        <w:ind w:left="280" w:hanging="261"/>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gridSpan w:val="2"/>
            <w:vMerge w:val="continue"/>
          </w:tcPr>
          <w:p>
            <w:pPr>
              <w:spacing w:after="0"/>
              <w:rPr>
                <w:sz w:val="16"/>
                <w:szCs w:val="16"/>
                <w:color w:val="auto"/>
              </w:rPr>
            </w:pPr>
          </w:p>
        </w:tc>
        <w:tc>
          <w:tcPr>
            <w:tcW w:w="3280" w:type="dxa"/>
            <w:vAlign w:val="bottom"/>
            <w:gridSpan w:val="2"/>
            <w:vMerge w:val="continue"/>
          </w:tcPr>
          <w:p>
            <w:pPr>
              <w:spacing w:after="0"/>
              <w:rPr>
                <w:sz w:val="16"/>
                <w:szCs w:val="16"/>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40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TW</w:t>
            </w:r>
          </w:p>
        </w:tc>
        <w:tc>
          <w:tcPr>
            <w:tcW w:w="42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226" w:lineRule="exact"/>
        <w:rPr>
          <w:sz w:val="24"/>
          <w:szCs w:val="24"/>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0" w:lineRule="exact"/>
        <w:rPr>
          <w:sz w:val="24"/>
          <w:szCs w:val="24"/>
          <w:color w:val="auto"/>
        </w:rPr>
      </w:pPr>
    </w:p>
    <w:p>
      <w:pPr>
        <w:ind w:right="18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506095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wp:posOffset>
            </wp:positionV>
            <wp:extent cx="714819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0</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40"/>
          </w:cols>
          <w:pgMar w:left="300" w:top="121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191"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4"/>
          <w:szCs w:val="14"/>
          <w:color w:val="auto"/>
        </w:rPr>
        <w:t>On March 7, 2024, the Board of Directors (the “Board”) of Tradeweb Markets Inc. (the “Company”) appointed Ms. Lisa Opoku, age 52, as a Class III independent director, effective as of such date. Ms. Opoku will hold office until the annual meeting of stockholders to be held in 2025 and until her successor shall be elected and qualified or until her earlier death, resignation, retirement, disqualification or removal.</w:t>
      </w:r>
    </w:p>
    <w:p>
      <w:pPr>
        <w:spacing w:after="0" w:line="157" w:lineRule="exact"/>
        <w:rPr>
          <w:sz w:val="20"/>
          <w:szCs w:val="20"/>
          <w:color w:val="auto"/>
        </w:rPr>
      </w:pPr>
    </w:p>
    <w:p>
      <w:pPr>
        <w:ind w:right="280" w:firstLine="509"/>
        <w:spacing w:after="0" w:line="254" w:lineRule="auto"/>
        <w:rPr>
          <w:sz w:val="20"/>
          <w:szCs w:val="20"/>
          <w:color w:val="auto"/>
        </w:rPr>
      </w:pPr>
      <w:r>
        <w:rPr>
          <w:rFonts w:ascii="Times New Roman" w:cs="Times New Roman" w:eastAsia="Times New Roman" w:hAnsi="Times New Roman"/>
          <w:sz w:val="14"/>
          <w:szCs w:val="14"/>
          <w:color w:val="auto"/>
        </w:rPr>
        <w:t>Ms. Opoku was designated to serve on the Board by Refinitiv Parent Limited (“Refinitiv”), our controlling stockholder, pursuant to Refinitiv’s director designation right as set forth in Section 2.1 of that certain Stockholders Agreement, dated as of April 8, 2019, by and among the Company and the stockholders named therein. Ms. Opoku does not have any family relationships with any director or executive officer of the Company and there are no transactions in which Ms. Opoku has an interest requiring disclosure under Item 404(a) of Regulation S-K.</w:t>
      </w:r>
    </w:p>
    <w:p>
      <w:pPr>
        <w:spacing w:after="0" w:line="15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4"/>
          <w:szCs w:val="14"/>
          <w:color w:val="auto"/>
        </w:rPr>
        <w:t>In connection with her appointment to the Board, Ms. Opoku will be entitled to receive an annual cash retainer of $100,000 and an annual equity award of restricted stock units with a value of $150,000, prorated to reflect days of service and in accordance with the Company’s non-employee director compensation program.</w:t>
      </w:r>
    </w:p>
    <w:p>
      <w:pPr>
        <w:spacing w:after="0" w:line="157" w:lineRule="exact"/>
        <w:rPr>
          <w:sz w:val="20"/>
          <w:szCs w:val="20"/>
          <w:color w:val="auto"/>
        </w:rPr>
      </w:pPr>
    </w:p>
    <w:p>
      <w:pPr>
        <w:ind w:right="60" w:firstLine="509"/>
        <w:spacing w:after="0" w:line="235" w:lineRule="auto"/>
        <w:rPr>
          <w:sz w:val="20"/>
          <w:szCs w:val="20"/>
          <w:color w:val="auto"/>
        </w:rPr>
      </w:pPr>
      <w:r>
        <w:rPr>
          <w:rFonts w:ascii="Times New Roman" w:cs="Times New Roman" w:eastAsia="Times New Roman" w:hAnsi="Times New Roman"/>
          <w:sz w:val="14"/>
          <w:szCs w:val="14"/>
          <w:color w:val="auto"/>
        </w:rPr>
        <w:t xml:space="preserve">Ms. Opoku was employed at Goldman Sachs, a multinational investment bank and financial services company, for 20 years, serving as Global Head of The Goldman Sachs Partner Family Office in the Asset and Wealth Management Division from February 2022 to October 2023, the Chief Operating Officer of the Engineering Division from May 2015 to February 2022, the Chief Operating Officer of the Asia Pacific Securities Division from June 2009 to May 2015 and the Chief Operating Officer of FICC Bank Loan Trading and Syndications Division from February 2003 to June 2009. Ms. Opoku currently serves on the board of directors of The University of Minnesota. She received a Bachelor of Arts degree, </w:t>
      </w:r>
      <w:r>
        <w:rPr>
          <w:rFonts w:ascii="Times New Roman" w:cs="Times New Roman" w:eastAsia="Times New Roman" w:hAnsi="Times New Roman"/>
          <w:sz w:val="14"/>
          <w:szCs w:val="14"/>
          <w:i w:val="1"/>
          <w:iCs w:val="1"/>
          <w:color w:val="auto"/>
        </w:rPr>
        <w:t>summa cum laude</w:t>
      </w:r>
      <w:r>
        <w:rPr>
          <w:rFonts w:ascii="Times New Roman" w:cs="Times New Roman" w:eastAsia="Times New Roman" w:hAnsi="Times New Roman"/>
          <w:sz w:val="14"/>
          <w:szCs w:val="14"/>
          <w:color w:val="auto"/>
        </w:rPr>
        <w:t>, from the University of Minnesota and a Juris Doctor from Harvard Law School. Ms. Opoku is qualified to serve on our Board due to her extensive experience across a range of financial markets and geographies and deep knowledge of the financial services industry.</w:t>
      </w:r>
    </w:p>
    <w:p>
      <w:pPr>
        <w:spacing w:after="0" w:line="158"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color w:val="auto"/>
        </w:rPr>
        <w:t>The Company will enter into its standard form of indemnification agreement for directors and officers, a copy of which was previously filed as Exhibit 10.16 to the Company’s Registration Statement on Form S-1 (File No. 333-230115) and is incorporated herein by reference, with Ms. Opoku.</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1"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color w:val="auto"/>
        </w:rPr>
        <w:t>On March 12, 2024, the Company issued a press release announcing the appointment of Lisa Opoku. A copy of the press release is attached as Exhibit 99.1 hereto and is incorporated herein by reference.</w:t>
      </w:r>
    </w:p>
    <w:p>
      <w:pPr>
        <w:spacing w:after="0" w:line="146"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this Item 7.01 of this Current Report on Form 8-K, including Exhibit 99.1 attached hereto, shall not be deemed “filed” for the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set forth by specific reference in such a filing.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80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Exhibit Description</w:t>
            </w:r>
          </w:p>
        </w:tc>
      </w:tr>
      <w:tr>
        <w:trPr>
          <w:trHeight w:val="167"/>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6"/>
        </w:trPr>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39"/>
        </w:trPr>
        <w:tc>
          <w:tcPr>
            <w:tcW w:w="17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gridSpan w:val="3"/>
          </w:tcPr>
          <w:p>
            <w:pPr>
              <w:spacing w:after="0" w:line="139" w:lineRule="exact"/>
              <w:rPr>
                <w:rFonts w:ascii="Times New Roman" w:cs="Times New Roman" w:eastAsia="Times New Roman" w:hAnsi="Times New Roman"/>
                <w:sz w:val="14"/>
                <w:szCs w:val="14"/>
                <w:color w:val="0000FF"/>
              </w:rPr>
            </w:pPr>
            <w:hyperlink r:id="rId13">
              <w:r>
                <w:rPr>
                  <w:rFonts w:ascii="Times New Roman" w:cs="Times New Roman" w:eastAsia="Times New Roman" w:hAnsi="Times New Roman"/>
                  <w:sz w:val="14"/>
                  <w:szCs w:val="14"/>
                  <w:color w:val="0000FF"/>
                </w:rPr>
                <w:t>Form of Indemnification Agreement (incorporated by reference to Exhibit 10.16 to the Company’s Registration Statement on Form S-1 (File No. 333-230115)).</w:t>
              </w:r>
            </w:hyperlink>
          </w:p>
        </w:tc>
      </w:tr>
      <w:tr>
        <w:trPr>
          <w:trHeight w:val="160"/>
        </w:trPr>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Press Release of Tradeweb Markets Inc., dated March 12, 2024.</w:t>
            </w:r>
          </w:p>
        </w:tc>
        <w:tc>
          <w:tcPr>
            <w:tcW w:w="542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r>
      <w:tr>
        <w:trPr>
          <w:trHeight w:val="213"/>
        </w:trPr>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2495"/>
        </w:trPr>
        <w:tc>
          <w:tcPr>
            <w:tcW w:w="1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6820" w:type="dxa"/>
            <w:vAlign w:val="bottom"/>
            <w:gridSpan w:val="2"/>
          </w:tcPr>
          <w:p>
            <w:pPr>
              <w:ind w:left="2400"/>
              <w:spacing w:after="0"/>
              <w:rPr>
                <w:sz w:val="20"/>
                <w:szCs w:val="20"/>
                <w:color w:val="auto"/>
              </w:rPr>
            </w:pPr>
            <w:r>
              <w:rPr>
                <w:rFonts w:ascii="Times New Roman" w:cs="Times New Roman" w:eastAsia="Times New Roman" w:hAnsi="Times New Roman"/>
                <w:sz w:val="14"/>
                <w:szCs w:val="14"/>
                <w:color w:val="auto"/>
              </w:rPr>
              <w:t>TRADEWEB MARKETS INC.</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Date: March 12, 2024</w:t>
            </w:r>
          </w:p>
        </w:tc>
        <w:tc>
          <w:tcPr>
            <w:tcW w:w="6820" w:type="dxa"/>
            <w:vAlign w:val="bottom"/>
            <w:gridSpan w:val="2"/>
          </w:tcPr>
          <w:p>
            <w:pPr>
              <w:ind w:left="2400"/>
              <w:spacing w:after="0"/>
              <w:rPr>
                <w:sz w:val="20"/>
                <w:szCs w:val="20"/>
                <w:color w:val="auto"/>
              </w:rPr>
            </w:pPr>
            <w:r>
              <w:rPr>
                <w:rFonts w:ascii="Times New Roman" w:cs="Times New Roman" w:eastAsia="Times New Roman" w:hAnsi="Times New Roman"/>
                <w:sz w:val="14"/>
                <w:szCs w:val="14"/>
                <w:color w:val="auto"/>
              </w:rPr>
              <w:t>By:    /s/ Douglas Friedman</w:t>
            </w:r>
          </w:p>
        </w:tc>
      </w:tr>
      <w:tr>
        <w:trPr>
          <w:trHeight w:val="22"/>
        </w:trPr>
        <w:tc>
          <w:tcPr>
            <w:tcW w:w="3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75"/>
        </w:trPr>
        <w:tc>
          <w:tcPr>
            <w:tcW w:w="36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Douglas Friedman</w:t>
            </w:r>
          </w:p>
        </w:tc>
      </w:tr>
      <w:tr>
        <w:trPr>
          <w:trHeight w:val="198"/>
        </w:trPr>
        <w:tc>
          <w:tcPr>
            <w:tcW w:w="36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General Counsel</w:t>
            </w:r>
          </w:p>
        </w:tc>
      </w:tr>
    </w:tbl>
    <w:p>
      <w:pPr>
        <w:sectPr>
          <w:pgSz w:w="11900" w:h="16838" w:orient="portrait"/>
          <w:cols w:equalWidth="0" w:num="1">
            <w:col w:w="10480"/>
          </w:cols>
          <w:pgMar w:left="820" w:top="728" w:right="5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3" Type="http://schemas.openxmlformats.org/officeDocument/2006/relationships/hyperlink" Target="https://www.sec.gov/Archives/edgar/data/1758730/000114420419015706/tv515721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2024-03-12T06:43:42Z</dcterms:created>
  <dcterms:modified xsi:type="dcterms:W3CDTF">2024-03-12T06:43:42Z</dcterms:modified>
</cp:coreProperties>
</file>