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950833.xml.htm"/>
      <w:bookmarkStart w:id="1" w:name="kswkform4_17739508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Bruni Enrico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MD, Co-Head of Global Markets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2"/>
        <w:gridCol w:w="905"/>
        <w:gridCol w:w="774"/>
        <w:gridCol w:w="601"/>
        <w:gridCol w:w="348"/>
        <w:gridCol w:w="845"/>
        <w:gridCol w:w="454"/>
        <w:gridCol w:w="841"/>
        <w:gridCol w:w="1195"/>
        <w:gridCol w:w="997"/>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126.17</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108,228</w:t>
            </w:r>
            <w:r>
              <w:rPr>
                <w:rFonts w:ascii="Times;serif" w:hAnsi="Times;serif"/>
                <w:color w:val="008000"/>
                <w:position w:val="7"/>
                <w:sz w:val="16"/>
                <w:sz w:val="20"/>
                <w:shd w:fill="FFFFFF" w:val="clear"/>
              </w:rPr>
              <w:t>(2)</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108,234</w:t>
            </w:r>
            <w:r>
              <w:rPr>
                <w:rFonts w:ascii="Times;serif" w:hAnsi="Times;serif"/>
                <w:color w:val="008000"/>
                <w:position w:val="7"/>
                <w:sz w:val="16"/>
                <w:sz w:val="20"/>
                <w:shd w:fill="FFFFFF" w:val="clear"/>
              </w:rPr>
              <w:t>(2)</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the tax withholding obligation associated with the settlement of restricted stock units ("RSUs") in respect of the issuer's Class A common stock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3,371 unvested RSUs in respect of Class A Common Stock that are scheduled to vest on March 15, 2027, (ii) 6,425 unvested RSUs in respect of Class A Common Stock that are scheduled to vest in equal installments on March 17, 2027 and March 17, 2028 and (iii) 11,752 unvested RSUs in respect of Class A Common Stock that are scheduled to vest on March 15, 2027, March 15, 2028 and March 15, 2029,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Enrico Bruni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1187"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767</Words>
  <Characters>4065</Characters>
  <CharactersWithSpaces>4765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