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1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4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14,425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94.4696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142,816</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9,616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93.8626</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133,200</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16, 2023, as modified on September 8, 2023.</w:t>
      </w:r>
    </w:p>
    <w:p>
      <w:pPr>
        <w:spacing w:after="0" w:line="50" w:lineRule="exact"/>
        <w:rPr>
          <w:rFonts w:ascii="Times New Roman" w:cs="Times New Roman" w:eastAsia="Times New Roman" w:hAnsi="Times New Roman"/>
          <w:sz w:val="13"/>
          <w:szCs w:val="13"/>
          <w:color w:val="008000"/>
        </w:rPr>
      </w:pPr>
    </w:p>
    <w:p>
      <w:pPr>
        <w:jc w:val="both"/>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$90.04 to $95.41,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8,281 unvested restricted stock units ("RSUs") in respect of the issuer's Class A common stock ("Class A Common Stock") that are scheduled to vest on March 15, 2024, (ii) 17,309 unvested RSUs in respect of Class A Common Stock that are scheduled to vest in equal installments on March 15, 2024 and March 15, 2025, (iii) 31,268 unvested RSUs in respect of Class A Common Stock that are scheduled to vest on January 1, 2025, and (iv) 43,128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$92.81 to $95.81,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2024-01-09T06:10:27Z</dcterms:created>
  <dcterms:modified xsi:type="dcterms:W3CDTF">2024-01-09T06:10:27Z</dcterms:modified>
</cp:coreProperties>
</file>