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03/28/2022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8,192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90.0328</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93,276</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03/29/2022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10,574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90.1376</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82,702</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2021.</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$90.00 to $90.11,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5,360 unvested restricted stock units ("RSUs") in respect of the issuer's Class A common stock ("Class A Common Stock") which are scheduled to vest on March 17, 2023, (ii) 32,158 unvested RSUs in respect of Class A Common Stock which are scheduled to vest on January 1, 2023, (iii) 6,293 RSUs in respect of Class A Common Stock which are scheduled to vest in equal installments on each of March 15, 2023 and March 15, 2024, (iv) 18,878 RSUs in respect of Class A Common Stock which are scheduled to vest on January 1, 2024, and (v) 11,046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$90.00 to $90.72, inclusive.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2022-03-30T18:14:07Z</dcterms:created>
  <dcterms:modified xsi:type="dcterms:W3CDTF">2022-03-30T18:14:07Z</dcterms:modified>
</cp:coreProperties>
</file>