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5399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39940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Friedman Douglas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06/07/2021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8"/>
        <w:spacing w:after="0"/>
        <w:rPr>
          <w:sz w:val="20"/>
          <w:szCs w:val="20"/>
          <w:color w:val="auto"/>
        </w:rPr>
      </w:pPr>
      <w:r>
        <w:rPr>
          <w:rFonts w:ascii="Arial" w:cs="Arial" w:eastAsia="Arial" w:hAnsi="Arial"/>
          <w:sz w:val="16"/>
          <w:szCs w:val="16"/>
          <w:color w:val="0000FF"/>
        </w:rPr>
        <w:t>General Counsel and Secretary</w:t>
      </w:r>
    </w:p>
    <w:p>
      <w:pPr>
        <w:spacing w:after="0" w:line="400"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0"/>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06/07/2021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28,696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93,801</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06/07/2021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26,496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81.3602</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67,305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06/07/2021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2,200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82.0973</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65,105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28,696</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06/07/2021</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28,696</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-2107565</wp:posOffset>
            </wp:positionV>
            <wp:extent cx="29210" cy="2112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264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5, 2021.</w:t>
      </w:r>
    </w:p>
    <w:p>
      <w:pPr>
        <w:spacing w:after="0" w:line="44" w:lineRule="exact"/>
        <w:rPr>
          <w:rFonts w:ascii="Arial" w:cs="Arial" w:eastAsia="Arial" w:hAnsi="Arial"/>
          <w:sz w:val="13"/>
          <w:szCs w:val="13"/>
          <w:color w:val="008000"/>
        </w:rPr>
      </w:pPr>
    </w:p>
    <w:p>
      <w:pPr>
        <w:ind w:left="40" w:right="180" w:firstLine="2"/>
        <w:spacing w:after="0" w:line="262"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33,004 unvested restricted stock units ("RSUs") in respect of the issuer's Class A common stock ("Class A Common Stock") which are scheduled to vest on January 1, 2022, (ii) 6,003 unvested RSUs in respect of Class A Common Stock which are scheduled to vest in equal installments on each of March 17, 2022, and March 17, 2023, (iii) 18,008 unvested RSUs in respect of Class A Common Stock which are scheduled to vest on January 1, 2023, and (iv) 5,090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18" w:lineRule="exact"/>
        <w:rPr>
          <w:rFonts w:ascii="Arial" w:cs="Arial" w:eastAsia="Arial" w:hAnsi="Arial"/>
          <w:sz w:val="12"/>
          <w:szCs w:val="12"/>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$80.97 to $81.92,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$81.97 to $82.33,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06/08/2021</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2021-06-08T15:48:51Z</dcterms:created>
  <dcterms:modified xsi:type="dcterms:W3CDTF">2021-06-08T15:48:51Z</dcterms:modified>
</cp:coreProperties>
</file>