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6927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9272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11/10/2021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11/10/2021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400,958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11/10/2021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95.22</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11/11/2021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10,495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411,353</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11/11/2021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10,495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95.0602</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11/12/2021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1,328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402,186</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11/12/2021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1,328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95.1984</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jc w:val="center"/>
              <w:ind w:right="1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jc w:val="center"/>
              <w:ind w:right="1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center"/>
              <w:ind w:left="6"/>
              <w:spacing w:after="0"/>
              <w:rPr>
                <w:sz w:val="20"/>
                <w:szCs w:val="20"/>
                <w:color w:val="auto"/>
              </w:rPr>
            </w:pPr>
            <w:r>
              <w:rPr>
                <w:rFonts w:ascii="Arial" w:cs="Arial" w:eastAsia="Arial" w:hAnsi="Arial"/>
                <w:sz w:val="17"/>
                <w:szCs w:val="17"/>
                <w:color w:val="0000FF"/>
                <w:w w:val="91"/>
              </w:rPr>
              <w:t>100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11/10/2021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center"/>
              <w:ind w:left="280"/>
              <w:spacing w:after="0" w:line="143" w:lineRule="exact"/>
              <w:rPr>
                <w:sz w:val="20"/>
                <w:szCs w:val="20"/>
                <w:color w:val="auto"/>
              </w:rPr>
            </w:pPr>
            <w:r>
              <w:rPr>
                <w:rFonts w:ascii="Arial" w:cs="Arial" w:eastAsia="Arial" w:hAnsi="Arial"/>
                <w:sz w:val="13"/>
                <w:szCs w:val="13"/>
                <w:color w:val="0000FF"/>
                <w:w w:val="92"/>
              </w:rPr>
              <w:t>100</w:t>
            </w: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85"/>
              </w:rPr>
              <w:t>24,611</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center"/>
              <w:ind w:left="6"/>
              <w:spacing w:after="0"/>
              <w:rPr>
                <w:sz w:val="20"/>
                <w:szCs w:val="20"/>
                <w:color w:val="auto"/>
              </w:rPr>
            </w:pPr>
            <w:r>
              <w:rPr>
                <w:rFonts w:ascii="Arial" w:cs="Arial" w:eastAsia="Arial" w:hAnsi="Arial"/>
                <w:sz w:val="17"/>
                <w:szCs w:val="17"/>
                <w:color w:val="0000FF"/>
                <w:w w:val="88"/>
              </w:rPr>
              <w:t>10,495</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11/11/2021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jc w:val="center"/>
              <w:ind w:left="260"/>
              <w:spacing w:after="0" w:line="143" w:lineRule="exact"/>
              <w:rPr>
                <w:sz w:val="20"/>
                <w:szCs w:val="20"/>
                <w:color w:val="auto"/>
              </w:rPr>
            </w:pPr>
            <w:r>
              <w:rPr>
                <w:rFonts w:ascii="Arial" w:cs="Arial" w:eastAsia="Arial" w:hAnsi="Arial"/>
                <w:sz w:val="13"/>
                <w:szCs w:val="13"/>
                <w:color w:val="0000FF"/>
                <w:w w:val="90"/>
              </w:rPr>
              <w:t>10,495</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85"/>
              </w:rPr>
              <w:t>14,116</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center"/>
              <w:ind w:left="6"/>
              <w:spacing w:after="0"/>
              <w:rPr>
                <w:sz w:val="20"/>
                <w:szCs w:val="20"/>
                <w:color w:val="auto"/>
              </w:rPr>
            </w:pPr>
            <w:r>
              <w:rPr>
                <w:rFonts w:ascii="Arial" w:cs="Arial" w:eastAsia="Arial" w:hAnsi="Arial"/>
                <w:sz w:val="17"/>
                <w:szCs w:val="17"/>
                <w:color w:val="0000FF"/>
                <w:w w:val="89"/>
              </w:rPr>
              <w:t>1,328</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11/12/2021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center"/>
              <w:ind w:left="280"/>
              <w:spacing w:after="0" w:line="143" w:lineRule="exact"/>
              <w:rPr>
                <w:sz w:val="20"/>
                <w:szCs w:val="20"/>
                <w:color w:val="auto"/>
              </w:rPr>
            </w:pPr>
            <w:r>
              <w:rPr>
                <w:rFonts w:ascii="Arial" w:cs="Arial" w:eastAsia="Arial" w:hAnsi="Arial"/>
                <w:sz w:val="13"/>
                <w:szCs w:val="13"/>
                <w:color w:val="0000FF"/>
                <w:w w:val="85"/>
              </w:rPr>
              <w:t>1,328</w:t>
            </w: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12,788</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-2994660</wp:posOffset>
            </wp:positionV>
            <wp:extent cx="2921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99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3, 2021.</w:t>
      </w:r>
    </w:p>
    <w:p>
      <w:pPr>
        <w:spacing w:after="0" w:line="44" w:lineRule="exact"/>
        <w:rPr>
          <w:rFonts w:ascii="Arial" w:cs="Arial" w:eastAsia="Arial" w:hAnsi="Arial"/>
          <w:sz w:val="13"/>
          <w:szCs w:val="13"/>
          <w:color w:val="008000"/>
        </w:rPr>
      </w:pPr>
    </w:p>
    <w:p>
      <w:pPr>
        <w:ind w:left="40" w:right="20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249,102 unvested restricted stock units ("RSUs") in respect of issuer's Class A common stock ("Class A Common Stock") which are scheduled to vest on January 1, 2022, (ii) 28,728 unvested RSUs in respect of Class A Common Stock which are scheduled to vest in equal installments on each of March 17, 2022 and March 17, 2023, (iii) 86,184 unvested RSUs in respect of Class A Common Stock which are scheduled to vest on January 1, 2023, and (iv) 24,844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$95.00 to $95.19,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$95.02 to $95.39,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11/12/2021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2021-11-13T00:40:01Z</dcterms:created>
  <dcterms:modified xsi:type="dcterms:W3CDTF">2021-11-13T00:40:01Z</dcterms:modified>
</cp:coreProperties>
</file>