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950917.xml.htm"/>
      <w:bookmarkStart w:id="1" w:name="kswkform4_17739509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Clack 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Administrative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847"/>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126.17</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21,825</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21,828</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tax withholding obligation associated with the settlement of restricted stock units ("RSUs") in respect of the issuer's Class A common stock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2,434 unvested RSUs in respect of the Class A Common Stock that are scheduled to vest on January 1, 2027, (ii) 2,434 unvested RSUs in respect of Class A Common Stock that are scheduled to vest on January 1, 2028, (iii) 4,418 unvested RSUs in respect of Class A Common Stock that are scheduled to vest in equal installments on March 17, 2027 and March 17, 2028 and (iv) 6,429 unvested RSUs in respect of Class A Common Stock that are scheduled to vest in equal installments on March 15, 2027, March 15, 2028 and March 15, 2029,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Amy Clack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0787"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789</Words>
  <Characters>4167</Characters>
  <CharactersWithSpaces>4889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