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8"/>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44,004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118,977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81,521</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81,521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489,129</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RSUs in respect of Class A Common Stock which are scheduled to vest on January 1, 2021, subject to the reporting person's continued employment through such date, and (ii) 44,004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407,608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Zucker, Attorney-in-</w:t>
            </w:r>
          </w:p>
        </w:tc>
        <w:tc>
          <w:tcPr>
            <w:tcW w:w="2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02/25/2020</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Enrico Bruni</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2020-02-25T17:51:15Z</dcterms:created>
  <dcterms:modified xsi:type="dcterms:W3CDTF">2020-02-25T17:51:15Z</dcterms:modified>
</cp:coreProperties>
</file>