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Chief Admin. and Risk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03/20/2023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1,536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75.04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32,749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03/20/2023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18</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32,767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1,697 unvested RSUs in respect of Class A Common Stock which are scheduled to vest on March 15, 2024, (ii) 10,180 unvested RSUs in respect of Class A Common Stock which are scheduled to vest on January 1, 2024, (iii) 2,985 unvested RSUs in respect of Class A Common Stock which are scheduled to vest in equal installments on March 15, 2024 and March 15, 2025, (iv) 5,785 unvested RSUs in respect of Class A Common Stock that are scheduled to vest on January 1, 2025, and (v) 5,822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Scott Zucker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03/22/2023</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2023-03-22T19:41:24Z</dcterms:created>
  <dcterms:modified xsi:type="dcterms:W3CDTF">2023-03-22T19:41:24Z</dcterms:modified>
</cp:coreProperties>
</file>