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Tradeweb Markets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154E6F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5222875</wp:posOffset>
            </wp:positionH>
            <wp:positionV relativeFrom="page">
              <wp:posOffset>183515</wp:posOffset>
            </wp:positionV>
            <wp:extent cx="2048510" cy="19716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197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7"/>
          <w:szCs w:val="47"/>
          <w:b w:val="1"/>
          <w:bCs w:val="1"/>
          <w:color w:val="154E6F"/>
        </w:rPr>
        <w:t>Vote</w:t>
      </w:r>
      <w:r>
        <w:rPr>
          <w:rFonts w:ascii="Arial" w:cs="Arial" w:eastAsia="Arial" w:hAnsi="Arial"/>
          <w:sz w:val="47"/>
          <w:szCs w:val="47"/>
          <w:color w:val="154E6F"/>
        </w:rPr>
        <w:t xml:space="preserve"> Counts!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154E6F"/>
        </w:rPr>
        <w:t>TRADEWEB MARKETS INC.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7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154E6F"/>
        </w:rPr>
        <w:t>2023 Annual Meeting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154E6F"/>
        </w:rPr>
        <w:t>Vote by May 14, 2023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154E6F"/>
        </w:rPr>
        <w:t>11:59 PM ET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154E6F"/>
        </w:rPr>
        <w:t>TRADEWEB MARKETS INC.</w:t>
      </w:r>
    </w:p>
    <w:p>
      <w:pPr>
        <w:ind w:left="1060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154E6F"/>
        </w:rPr>
        <w:t>1177 AVENUE OF THE AMERICAS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154E6F"/>
        </w:rPr>
        <w:t>NEW YORK, NY 10036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6424295</wp:posOffset>
            </wp:positionH>
            <wp:positionV relativeFrom="paragraph">
              <wp:posOffset>114300</wp:posOffset>
            </wp:positionV>
            <wp:extent cx="428625" cy="1663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6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V04735-P86221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24765</wp:posOffset>
            </wp:positionV>
            <wp:extent cx="1619885" cy="3086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30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-141605</wp:posOffset>
            </wp:positionH>
            <wp:positionV relativeFrom="paragraph">
              <wp:posOffset>213360</wp:posOffset>
            </wp:positionV>
            <wp:extent cx="1285875" cy="1200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154E6F"/>
        </w:rPr>
        <w:t>You invested in TRADEWEB MARKETS INC. and it’s time to vote!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9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54E6F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154E6F"/>
        </w:rPr>
        <w:t>This is an important notice regarding the</w:t>
      </w:r>
      <w:r>
        <w:rPr>
          <w:rFonts w:ascii="Arial" w:cs="Arial" w:eastAsia="Arial" w:hAnsi="Arial"/>
          <w:sz w:val="18"/>
          <w:szCs w:val="18"/>
          <w:color w:val="154E6F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154E6F"/>
        </w:rPr>
        <w:t>availability of proxy material for the stockholder meeting to be held on May 15, 2023.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154E6F"/>
        </w:rPr>
        <w:t>Get informed before you vote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54E6F"/>
        </w:rPr>
        <w:t>View the Annual Report and Notice &amp; Proxy Statement online OR you can receive a free paper or email copy of the proxy material(s) by requesting such copy prior to May 1, 2023. If you would like to request a copy of the proxy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 of proxy materials.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-141605</wp:posOffset>
            </wp:positionH>
            <wp:positionV relativeFrom="paragraph">
              <wp:posOffset>128905</wp:posOffset>
            </wp:positionV>
            <wp:extent cx="6703695" cy="23660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695" cy="2366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54E6F"/>
        </w:rPr>
        <w:t>*Please check the meeting materials for any special requirements for meeting attendance.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V1.1</w:t>
      </w:r>
    </w:p>
    <w:p>
      <w:pPr>
        <w:sectPr>
          <w:pgSz w:w="11900" w:h="16838" w:orient="portrait"/>
          <w:cols w:equalWidth="0" w:num="1">
            <w:col w:w="10800"/>
          </w:cols>
          <w:pgMar w:left="660" w:top="765" w:right="439" w:bottom="1440" w:gutter="0" w:footer="0" w:header="0"/>
        </w:sectPr>
      </w:pPr>
    </w:p>
    <w:bookmarkStart w:id="2" w:name="page3"/>
    <w:bookmarkEnd w:id="2"/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7A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133985</wp:posOffset>
            </wp:positionV>
            <wp:extent cx="6995160" cy="431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154E6F"/>
        </w:rPr>
        <w:t>THIS IS NOT A VOTABLE BALLOT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54E6F"/>
        </w:rPr>
        <w:t>This is an overview of the more complete proxy materials, which</w:t>
      </w:r>
    </w:p>
    <w:p>
      <w:pPr>
        <w:ind w:left="20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54E6F"/>
        </w:rPr>
        <w:t>contain important information and are available on the Internet.</w:t>
      </w:r>
    </w:p>
    <w:p>
      <w:pPr>
        <w:ind w:left="20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54E6F"/>
        </w:rPr>
        <w:t>We encourage you to access and review the proxy materials</w:t>
      </w:r>
    </w:p>
    <w:p>
      <w:pPr>
        <w:ind w:left="20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54E6F"/>
        </w:rPr>
        <w:t>before voting. Please follow the instructions on the reverse side</w:t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54E6F"/>
        </w:rPr>
        <w:t>to vote on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154E6F"/>
                <w:w w:val="99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9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154E6F"/>
              </w:rPr>
              <w:t>Voting Items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154E6F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20" w:type="dxa"/>
            <w:vAlign w:val="bottom"/>
            <w:shd w:val="clear" w:color="auto" w:fill="F2EFF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1.</w:t>
            </w:r>
          </w:p>
        </w:tc>
        <w:tc>
          <w:tcPr>
            <w:tcW w:w="9460" w:type="dxa"/>
            <w:vAlign w:val="bottom"/>
            <w:tcBorders>
              <w:right w:val="single" w:sz="8" w:color="165A8E"/>
            </w:tcBorders>
            <w:gridSpan w:val="2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Election of Directors</w:t>
            </w:r>
          </w:p>
        </w:tc>
        <w:tc>
          <w:tcPr>
            <w:tcW w:w="320" w:type="dxa"/>
            <w:vAlign w:val="bottom"/>
            <w:shd w:val="clear" w:color="auto" w:fill="F2EFF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2EFF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0" w:type="dxa"/>
            <w:vAlign w:val="bottom"/>
            <w:shd w:val="clear" w:color="auto" w:fill="F2EFF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60" w:type="dxa"/>
            <w:vAlign w:val="bottom"/>
            <w:tcBorders>
              <w:right w:val="single" w:sz="8" w:color="165A8E"/>
            </w:tcBorders>
            <w:gridSpan w:val="2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</w:rPr>
              <w:t>Nominees:</w:t>
            </w:r>
          </w:p>
        </w:tc>
        <w:tc>
          <w:tcPr>
            <w:tcW w:w="320" w:type="dxa"/>
            <w:vAlign w:val="bottom"/>
            <w:shd w:val="clear" w:color="auto" w:fill="F2EFF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2EFF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20" w:type="dxa"/>
            <w:vAlign w:val="bottom"/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01)</w:t>
            </w:r>
          </w:p>
        </w:tc>
        <w:tc>
          <w:tcPr>
            <w:tcW w:w="8980" w:type="dxa"/>
            <w:vAlign w:val="bottom"/>
            <w:tcBorders>
              <w:right w:val="single" w:sz="8" w:color="165A8E"/>
            </w:tcBorders>
            <w:shd w:val="clear" w:color="auto" w:fill="F2EFF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Troy Dixon</w:t>
            </w:r>
          </w:p>
        </w:tc>
        <w:tc>
          <w:tcPr>
            <w:tcW w:w="320" w:type="dxa"/>
            <w:vAlign w:val="bottom"/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  <w:shd w:val="clear" w:color="auto" w:fill="F2EFF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</w:rPr>
              <w:t>For All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  <w:shd w:val="clear" w:color="auto" w:fill="F2EFF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2EFF6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02)</w:t>
            </w:r>
          </w:p>
        </w:tc>
        <w:tc>
          <w:tcPr>
            <w:tcW w:w="8980" w:type="dxa"/>
            <w:vAlign w:val="bottom"/>
            <w:tcBorders>
              <w:right w:val="single" w:sz="8" w:color="165A8E"/>
            </w:tcBorders>
            <w:shd w:val="clear" w:color="auto" w:fill="F2EFF6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Scott Ganeles</w:t>
            </w:r>
          </w:p>
        </w:tc>
        <w:tc>
          <w:tcPr>
            <w:tcW w:w="320" w:type="dxa"/>
            <w:vAlign w:val="bottom"/>
            <w:shd w:val="clear" w:color="auto" w:fill="F2EFF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F2EFF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  <w:shd w:val="clear" w:color="auto" w:fill="F2EFF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2EFF6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03)</w:t>
            </w:r>
          </w:p>
        </w:tc>
        <w:tc>
          <w:tcPr>
            <w:tcW w:w="8980" w:type="dxa"/>
            <w:vAlign w:val="bottom"/>
            <w:tcBorders>
              <w:right w:val="single" w:sz="8" w:color="165A8E"/>
            </w:tcBorders>
            <w:shd w:val="clear" w:color="auto" w:fill="F2EFF6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Catherine Johnson</w:t>
            </w:r>
          </w:p>
        </w:tc>
        <w:tc>
          <w:tcPr>
            <w:tcW w:w="320" w:type="dxa"/>
            <w:vAlign w:val="bottom"/>
            <w:shd w:val="clear" w:color="auto" w:fill="F2EFF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2EFF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20" w:type="dxa"/>
            <w:vAlign w:val="bottom"/>
            <w:shd w:val="clear" w:color="auto" w:fill="F2EFF6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04)</w:t>
            </w:r>
          </w:p>
        </w:tc>
        <w:tc>
          <w:tcPr>
            <w:tcW w:w="8980" w:type="dxa"/>
            <w:vAlign w:val="bottom"/>
            <w:tcBorders>
              <w:right w:val="single" w:sz="8" w:color="165A8E"/>
            </w:tcBorders>
            <w:shd w:val="clear" w:color="auto" w:fill="F2EFF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Murray Roos</w:t>
            </w:r>
          </w:p>
        </w:tc>
        <w:tc>
          <w:tcPr>
            <w:tcW w:w="320" w:type="dxa"/>
            <w:vAlign w:val="bottom"/>
            <w:shd w:val="clear" w:color="auto" w:fill="F2EFF6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2EFF6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2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60" w:type="dxa"/>
            <w:vAlign w:val="bottom"/>
            <w:tcBorders>
              <w:bottom w:val="single" w:sz="8" w:color="165A8E"/>
              <w:right w:val="single" w:sz="8" w:color="165A8E"/>
            </w:tcBorders>
            <w:gridSpan w:val="2"/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20" w:type="dxa"/>
            <w:vAlign w:val="bottom"/>
            <w:shd w:val="clear" w:color="auto" w:fill="F2EFF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2.</w:t>
            </w:r>
          </w:p>
        </w:tc>
        <w:tc>
          <w:tcPr>
            <w:tcW w:w="9460" w:type="dxa"/>
            <w:vAlign w:val="bottom"/>
            <w:tcBorders>
              <w:right w:val="single" w:sz="8" w:color="165A8E"/>
            </w:tcBorders>
            <w:gridSpan w:val="2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Ratification of the appointment of Deloitte &amp; Touche LLP as our independent registered public accounting firm for the</w:t>
            </w:r>
          </w:p>
        </w:tc>
        <w:tc>
          <w:tcPr>
            <w:tcW w:w="320" w:type="dxa"/>
            <w:vAlign w:val="bottom"/>
            <w:shd w:val="clear" w:color="auto" w:fill="F2EFF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  <w:shd w:val="clear" w:color="auto" w:fill="F2EFF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20" w:type="dxa"/>
            <w:vAlign w:val="bottom"/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60" w:type="dxa"/>
            <w:vAlign w:val="bottom"/>
            <w:tcBorders>
              <w:right w:val="single" w:sz="8" w:color="165A8E"/>
            </w:tcBorders>
            <w:gridSpan w:val="2"/>
            <w:vMerge w:val="restart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fiscal year ending December 31, 2023.</w:t>
            </w:r>
          </w:p>
        </w:tc>
        <w:tc>
          <w:tcPr>
            <w:tcW w:w="320" w:type="dxa"/>
            <w:vAlign w:val="bottom"/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20" w:type="dxa"/>
            <w:vAlign w:val="bottom"/>
            <w:tcBorders>
              <w:bottom w:val="single" w:sz="8" w:color="F2EFF6"/>
            </w:tcBorders>
            <w:shd w:val="clear" w:color="auto" w:fill="F2EFF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60" w:type="dxa"/>
            <w:vAlign w:val="bottom"/>
            <w:tcBorders>
              <w:bottom w:val="single" w:sz="8" w:color="F2EFF6"/>
              <w:right w:val="single" w:sz="8" w:color="165A8E"/>
            </w:tcBorders>
            <w:gridSpan w:val="2"/>
            <w:vMerge w:val="continue"/>
            <w:shd w:val="clear" w:color="auto" w:fill="F2EFF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F2EFF6"/>
            </w:tcBorders>
            <w:shd w:val="clear" w:color="auto" w:fill="F2EFF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F2EFF6"/>
            </w:tcBorders>
            <w:shd w:val="clear" w:color="auto" w:fill="F2EFF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165A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165A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980" w:type="dxa"/>
            <w:vAlign w:val="bottom"/>
            <w:tcBorders>
              <w:right w:val="single" w:sz="8" w:color="165A8E"/>
            </w:tcBorders>
            <w:shd w:val="clear" w:color="auto" w:fill="165A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165A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165A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-814070</wp:posOffset>
            </wp:positionV>
            <wp:extent cx="6995160" cy="48260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2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154E6F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154E6F"/>
        </w:rPr>
        <w:t>Such other business as may properly come before the meeting or any adjournment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3912235</wp:posOffset>
            </wp:positionV>
            <wp:extent cx="6995160" cy="1974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9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“Sign up for E-delivery”.</w:t>
      </w:r>
    </w:p>
    <w:sectPr>
      <w:pgSz w:w="11900" w:h="16838" w:orient="portrait"/>
      <w:cols w:equalWidth="0" w:num="1">
        <w:col w:w="11040"/>
      </w:cols>
      <w:pgMar w:left="440" w:top="253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2023-03-23T16:28:58Z</dcterms:created>
  <dcterms:modified xsi:type="dcterms:W3CDTF">2023-03-23T16:28:58Z</dcterms:modified>
</cp:coreProperties>
</file>