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w:t>
      </w:r>
    </w:p>
    <w:p>
      <w:pPr>
        <w:spacing w:after="0" w:line="17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82"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w:t>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July 30, 2025</w:t>
      </w:r>
    </w:p>
    <w:p>
      <w:pPr>
        <w:spacing w:after="0" w:line="30"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Tradeweb Markets Inc.</w:t>
      </w:r>
    </w:p>
    <w:p>
      <w:pPr>
        <w:spacing w:after="0" w:line="7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6"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325" w:lineRule="exact"/>
        <w:rPr>
          <w:sz w:val="24"/>
          <w:szCs w:val="24"/>
          <w:color w:val="auto"/>
        </w:rPr>
      </w:pPr>
    </w:p>
    <w:tbl>
      <w:tblPr>
        <w:tblLayout w:type="fixed"/>
        <w:tblInd w:w="900" w:type="dxa"/>
        <w:tblCellMar>
          <w:top w:w="0" w:type="dxa"/>
          <w:left w:w="0" w:type="dxa"/>
          <w:bottom w:w="0" w:type="dxa"/>
          <w:right w:w="0" w:type="dxa"/>
        </w:tblCellMar>
      </w:tblPr>
      <w:tr>
        <w:trPr>
          <w:trHeight w:val="261"/>
        </w:trPr>
        <w:tc>
          <w:tcPr>
            <w:tcW w:w="4080" w:type="dxa"/>
            <w:vAlign w:val="bottom"/>
          </w:tcPr>
          <w:p>
            <w:pPr>
              <w:jc w:val="center"/>
              <w:ind w:right="20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420" w:type="dxa"/>
            <w:vAlign w:val="bottom"/>
          </w:tcPr>
          <w:p>
            <w:pPr>
              <w:jc w:val="center"/>
              <w:ind w:right="1070"/>
              <w:spacing w:after="0"/>
              <w:rPr>
                <w:sz w:val="20"/>
                <w:szCs w:val="20"/>
                <w:color w:val="auto"/>
              </w:rPr>
            </w:pPr>
            <w:r>
              <w:rPr>
                <w:rFonts w:ascii="Times New Roman" w:cs="Times New Roman" w:eastAsia="Times New Roman" w:hAnsi="Times New Roman"/>
                <w:sz w:val="18"/>
                <w:szCs w:val="18"/>
                <w:b w:val="1"/>
                <w:bCs w:val="1"/>
                <w:color w:val="auto"/>
                <w:w w:val="99"/>
              </w:rPr>
              <w:t>001-38860</w:t>
            </w:r>
          </w:p>
        </w:tc>
        <w:tc>
          <w:tcPr>
            <w:tcW w:w="26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83-2456358</w:t>
            </w:r>
          </w:p>
        </w:tc>
        <w:tc>
          <w:tcPr>
            <w:tcW w:w="0" w:type="dxa"/>
            <w:vAlign w:val="bottom"/>
          </w:tcPr>
          <w:p>
            <w:pPr>
              <w:spacing w:after="0"/>
              <w:rPr>
                <w:sz w:val="1"/>
                <w:szCs w:val="1"/>
                <w:color w:val="auto"/>
              </w:rPr>
            </w:pPr>
          </w:p>
        </w:tc>
      </w:tr>
      <w:tr>
        <w:trPr>
          <w:trHeight w:val="203"/>
        </w:trPr>
        <w:tc>
          <w:tcPr>
            <w:tcW w:w="4080" w:type="dxa"/>
            <w:vAlign w:val="bottom"/>
          </w:tcPr>
          <w:p>
            <w:pPr>
              <w:jc w:val="center"/>
              <w:ind w:right="2050"/>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420" w:type="dxa"/>
            <w:vAlign w:val="bottom"/>
          </w:tcPr>
          <w:p>
            <w:pPr>
              <w:jc w:val="center"/>
              <w:ind w:right="1070"/>
              <w:spacing w:after="0" w:line="202" w:lineRule="exact"/>
              <w:rPr>
                <w:sz w:val="20"/>
                <w:szCs w:val="20"/>
                <w:color w:val="auto"/>
              </w:rPr>
            </w:pPr>
            <w:r>
              <w:rPr>
                <w:rFonts w:ascii="Times New Roman" w:cs="Times New Roman" w:eastAsia="Times New Roman" w:hAnsi="Times New Roman"/>
                <w:sz w:val="18"/>
                <w:szCs w:val="18"/>
                <w:color w:val="auto"/>
              </w:rPr>
              <w:t>(Commission</w:t>
            </w:r>
          </w:p>
        </w:tc>
        <w:tc>
          <w:tcPr>
            <w:tcW w:w="2640" w:type="dxa"/>
            <w:vAlign w:val="bottom"/>
          </w:tcPr>
          <w:p>
            <w:pPr>
              <w:jc w:val="center"/>
              <w:ind w:left="1190"/>
              <w:spacing w:after="0" w:line="202"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48"/>
        </w:trPr>
        <w:tc>
          <w:tcPr>
            <w:tcW w:w="4080" w:type="dxa"/>
            <w:vAlign w:val="bottom"/>
          </w:tcPr>
          <w:p>
            <w:pPr>
              <w:jc w:val="center"/>
              <w:ind w:right="205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242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rPr>
              <w:t>File Number)</w:t>
            </w: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248"/>
        </w:trPr>
        <w:tc>
          <w:tcPr>
            <w:tcW w:w="408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1177 Avenue of the Americas</w:t>
            </w:r>
          </w:p>
        </w:tc>
        <w:tc>
          <w:tcPr>
            <w:tcW w:w="2420" w:type="dxa"/>
            <w:vAlign w:val="bottom"/>
          </w:tcPr>
          <w:p>
            <w:pPr>
              <w:spacing w:after="0"/>
              <w:rPr>
                <w:sz w:val="21"/>
                <w:szCs w:val="21"/>
                <w:color w:val="auto"/>
              </w:rPr>
            </w:pPr>
          </w:p>
        </w:tc>
        <w:tc>
          <w:tcPr>
            <w:tcW w:w="26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10036</w:t>
            </w:r>
          </w:p>
        </w:tc>
        <w:tc>
          <w:tcPr>
            <w:tcW w:w="0" w:type="dxa"/>
            <w:vAlign w:val="bottom"/>
          </w:tcPr>
          <w:p>
            <w:pPr>
              <w:spacing w:after="0"/>
              <w:rPr>
                <w:sz w:val="1"/>
                <w:szCs w:val="1"/>
                <w:color w:val="auto"/>
              </w:rPr>
            </w:pPr>
          </w:p>
        </w:tc>
      </w:tr>
      <w:tr>
        <w:trPr>
          <w:trHeight w:val="238"/>
        </w:trPr>
        <w:tc>
          <w:tcPr>
            <w:tcW w:w="408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420" w:type="dxa"/>
            <w:vAlign w:val="bottom"/>
          </w:tcPr>
          <w:p>
            <w:pPr>
              <w:spacing w:after="0"/>
              <w:rPr>
                <w:sz w:val="20"/>
                <w:szCs w:val="20"/>
                <w:color w:val="auto"/>
              </w:rPr>
            </w:pPr>
          </w:p>
        </w:tc>
        <w:tc>
          <w:tcPr>
            <w:tcW w:w="2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00" w:type="dxa"/>
            <w:vAlign w:val="bottom"/>
            <w:gridSpan w:val="2"/>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64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1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(646) 430-6000</w:t>
      </w:r>
    </w:p>
    <w:p>
      <w:pPr>
        <w:spacing w:after="0" w:line="31"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233"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45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2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c>
          <w:tcPr>
            <w:tcW w:w="0" w:type="dxa"/>
            <w:vAlign w:val="bottom"/>
          </w:tcPr>
          <w:p>
            <w:pPr>
              <w:spacing w:after="0"/>
              <w:rPr>
                <w:sz w:val="1"/>
                <w:szCs w:val="1"/>
                <w:color w:val="auto"/>
              </w:rPr>
            </w:pPr>
          </w:p>
        </w:tc>
      </w:tr>
      <w:tr>
        <w:trPr>
          <w:trHeight w:val="238"/>
        </w:trPr>
        <w:tc>
          <w:tcPr>
            <w:tcW w:w="4560" w:type="dxa"/>
            <w:vAlign w:val="bottom"/>
            <w:gridSpan w:val="2"/>
            <w:vMerge w:val="continue"/>
          </w:tcPr>
          <w:p>
            <w:pPr>
              <w:spacing w:after="0"/>
              <w:rPr>
                <w:sz w:val="20"/>
                <w:szCs w:val="20"/>
                <w:color w:val="auto"/>
              </w:rPr>
            </w:pPr>
          </w:p>
        </w:tc>
        <w:tc>
          <w:tcPr>
            <w:tcW w:w="3260" w:type="dxa"/>
            <w:vAlign w:val="bottom"/>
            <w:gridSpan w:val="2"/>
            <w:vMerge w:val="continue"/>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c>
          <w:tcPr>
            <w:tcW w:w="0" w:type="dxa"/>
            <w:vAlign w:val="bottom"/>
          </w:tcPr>
          <w:p>
            <w:pPr>
              <w:spacing w:after="0"/>
              <w:rPr>
                <w:sz w:val="1"/>
                <w:szCs w:val="1"/>
                <w:color w:val="auto"/>
              </w:rPr>
            </w:pPr>
          </w:p>
        </w:tc>
      </w:tr>
      <w:tr>
        <w:trPr>
          <w:trHeight w:val="228"/>
        </w:trPr>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$0.00001</w:t>
            </w:r>
          </w:p>
        </w:tc>
        <w:tc>
          <w:tcPr>
            <w:tcW w:w="420" w:type="dxa"/>
            <w:vAlign w:val="bottom"/>
          </w:tcPr>
          <w:p>
            <w:pPr>
              <w:spacing w:after="0"/>
              <w:rPr>
                <w:sz w:val="19"/>
                <w:szCs w:val="19"/>
                <w:color w:val="auto"/>
              </w:rPr>
            </w:pPr>
          </w:p>
        </w:tc>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TW</w:t>
            </w:r>
          </w:p>
        </w:tc>
        <w:tc>
          <w:tcPr>
            <w:tcW w:w="42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287"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647065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25400</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On July 30, 2025, Tradeweb Markets Inc. (the “Company”) issued a press release, a copy of which is furnished as Exhibit 99.1 hereto and incorporated herein by reference, announcing financial results for the quarter ended June 30, 2025.</w:t>
      </w:r>
    </w:p>
    <w:p>
      <w:pPr>
        <w:spacing w:after="0" w:line="18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Item 2.02 of this Current Report on Form 8-K, including Exhibit 99.1 attached hereto,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8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9380" w:type="dxa"/>
            <w:vAlign w:val="bottom"/>
            <w:gridSpan w:val="2"/>
            <w:vMerge w:val="restart"/>
          </w:tcPr>
          <w:p>
            <w:pPr>
              <w:ind w:left="400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8"/>
                <w:szCs w:val="18"/>
                <w:color w:val="auto"/>
              </w:rPr>
            </w:pPr>
          </w:p>
        </w:tc>
        <w:tc>
          <w:tcPr>
            <w:tcW w:w="93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41"/>
        </w:trPr>
        <w:tc>
          <w:tcPr>
            <w:tcW w:w="2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3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rPr>
              <w:t>Press Release of Tradeweb Markets Inc., dated July 30, 2025, announcing Second Quarter 2025 Financial Results.</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2"/>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320" w:firstLine="648"/>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6880" w:type="dxa"/>
            <w:vAlign w:val="bottom"/>
            <w:gridSpan w:val="2"/>
          </w:tcPr>
          <w:p>
            <w:pPr>
              <w:ind w:left="2920"/>
              <w:spacing w:after="0"/>
              <w:rPr>
                <w:sz w:val="20"/>
                <w:szCs w:val="20"/>
                <w:color w:val="auto"/>
              </w:rPr>
            </w:pPr>
            <w:r>
              <w:rPr>
                <w:rFonts w:ascii="Times New Roman" w:cs="Times New Roman" w:eastAsia="Times New Roman" w:hAnsi="Times New Roman"/>
                <w:sz w:val="18"/>
                <w:szCs w:val="18"/>
                <w:color w:val="auto"/>
              </w:rPr>
              <w:t>TRADEWEB MARKETS INC.</w:t>
            </w:r>
          </w:p>
        </w:tc>
      </w:tr>
      <w:tr>
        <w:trPr>
          <w:trHeight w:val="50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Date: July 30, 2025</w:t>
            </w:r>
          </w:p>
        </w:tc>
        <w:tc>
          <w:tcPr>
            <w:tcW w:w="6880" w:type="dxa"/>
            <w:vAlign w:val="bottom"/>
            <w:gridSpan w:val="2"/>
          </w:tcPr>
          <w:p>
            <w:pPr>
              <w:ind w:left="2920"/>
              <w:spacing w:after="0"/>
              <w:rPr>
                <w:sz w:val="20"/>
                <w:szCs w:val="20"/>
                <w:color w:val="auto"/>
              </w:rPr>
            </w:pPr>
            <w:r>
              <w:rPr>
                <w:rFonts w:ascii="Times New Roman" w:cs="Times New Roman" w:eastAsia="Times New Roman" w:hAnsi="Times New Roman"/>
                <w:sz w:val="18"/>
                <w:szCs w:val="18"/>
                <w:color w:val="auto"/>
              </w:rPr>
              <w:t>By:   /s/ Douglas Friedman</w:t>
            </w:r>
          </w:p>
        </w:tc>
      </w:tr>
      <w:tr>
        <w:trPr>
          <w:trHeight w:val="218"/>
        </w:trPr>
        <w:tc>
          <w:tcPr>
            <w:tcW w:w="43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 Douglas Friedman</w:t>
            </w:r>
          </w:p>
        </w:tc>
      </w:tr>
      <w:tr>
        <w:trPr>
          <w:trHeight w:val="234"/>
        </w:trPr>
        <w:tc>
          <w:tcPr>
            <w:tcW w:w="43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General Counsel</w:t>
            </w:r>
          </w:p>
        </w:tc>
      </w:tr>
    </w:tbl>
    <w:p>
      <w:pPr>
        <w:sectPr>
          <w:pgSz w:w="11900" w:h="16838" w:orient="portrait"/>
          <w:cols w:equalWidth="0" w:num="1">
            <w:col w:w="11240"/>
          </w:cols>
          <w:pgMar w:left="320" w:top="1130" w:right="339" w:bottom="1440" w:gutter="0" w:footer="0" w:header="0"/>
        </w:sectPr>
      </w:pPr>
    </w:p>
    <w:bookmarkStart w:id="3" w:name="page4"/>
    <w:bookmarkEnd w:id="3"/>
    <w:p>
      <w:pPr>
        <w:ind w:left="5540"/>
        <w:spacing w:after="0"/>
        <w:tabs>
          <w:tab w:leader="none" w:pos="8160" w:val="left"/>
        </w:tabs>
        <w:rPr>
          <w:sz w:val="20"/>
          <w:szCs w:val="20"/>
          <w:color w:val="auto"/>
        </w:rPr>
      </w:pPr>
      <w:r>
        <w:rPr>
          <w:rFonts w:ascii="Arial" w:cs="Arial" w:eastAsia="Arial" w:hAnsi="Arial"/>
          <w:sz w:val="16"/>
          <w:szCs w:val="16"/>
          <w:b w:val="1"/>
          <w:bCs w:val="1"/>
          <w:color w:val="083566"/>
        </w:rPr>
        <w:t>Investor Relations</w:t>
      </w:r>
      <w:r>
        <w:rPr>
          <w:sz w:val="20"/>
          <w:szCs w:val="20"/>
          <w:color w:val="auto"/>
        </w:rPr>
        <w:tab/>
      </w:r>
      <w:r>
        <w:rPr>
          <w:rFonts w:ascii="Arial" w:cs="Arial" w:eastAsia="Arial" w:hAnsi="Arial"/>
          <w:sz w:val="16"/>
          <w:szCs w:val="16"/>
          <w:b w:val="1"/>
          <w:bCs w:val="1"/>
          <w:color w:val="083566"/>
        </w:rPr>
        <w:t>Media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3810</wp:posOffset>
            </wp:positionV>
            <wp:extent cx="1808480" cy="6000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8480" cy="600075"/>
                    </a:xfrm>
                    <a:prstGeom prst="rect">
                      <a:avLst/>
                    </a:prstGeom>
                    <a:noFill/>
                  </pic:spPr>
                </pic:pic>
              </a:graphicData>
            </a:graphic>
          </wp:anchor>
        </w:drawing>
      </w:r>
    </w:p>
    <w:p>
      <w:pPr>
        <w:spacing w:after="0" w:line="1" w:lineRule="exact"/>
        <w:rPr>
          <w:sz w:val="20"/>
          <w:szCs w:val="20"/>
          <w:color w:val="auto"/>
        </w:rPr>
      </w:pPr>
    </w:p>
    <w:p>
      <w:pPr>
        <w:ind w:left="5540"/>
        <w:spacing w:after="0"/>
        <w:tabs>
          <w:tab w:leader="none" w:pos="8160" w:val="left"/>
        </w:tabs>
        <w:rPr>
          <w:sz w:val="20"/>
          <w:szCs w:val="20"/>
          <w:color w:val="auto"/>
        </w:rPr>
      </w:pPr>
      <w:r>
        <w:rPr>
          <w:rFonts w:ascii="Arial" w:cs="Arial" w:eastAsia="Arial" w:hAnsi="Arial"/>
          <w:sz w:val="16"/>
          <w:szCs w:val="16"/>
          <w:color w:val="auto"/>
        </w:rPr>
        <w:t>Ashley Serrao + 1 646 430 6027</w:t>
      </w:r>
      <w:r>
        <w:rPr>
          <w:sz w:val="20"/>
          <w:szCs w:val="20"/>
          <w:color w:val="auto"/>
        </w:rPr>
        <w:tab/>
      </w:r>
      <w:r>
        <w:rPr>
          <w:rFonts w:ascii="Arial" w:cs="Arial" w:eastAsia="Arial" w:hAnsi="Arial"/>
          <w:sz w:val="16"/>
          <w:szCs w:val="16"/>
          <w:color w:val="auto"/>
        </w:rPr>
        <w:t>Daniel Noonan + 1 646 767 4677</w:t>
      </w:r>
    </w:p>
    <w:p>
      <w:pPr>
        <w:spacing w:after="0" w:line="15" w:lineRule="exact"/>
        <w:rPr>
          <w:sz w:val="20"/>
          <w:szCs w:val="20"/>
          <w:color w:val="auto"/>
        </w:rPr>
      </w:pPr>
    </w:p>
    <w:p>
      <w:pPr>
        <w:ind w:left="5540"/>
        <w:spacing w:after="0"/>
        <w:tabs>
          <w:tab w:leader="none" w:pos="8160" w:val="left"/>
        </w:tabs>
        <w:rPr>
          <w:sz w:val="20"/>
          <w:szCs w:val="20"/>
          <w:color w:val="auto"/>
        </w:rPr>
      </w:pPr>
      <w:r>
        <w:rPr>
          <w:rFonts w:ascii="Arial" w:cs="Arial" w:eastAsia="Arial" w:hAnsi="Arial"/>
          <w:sz w:val="16"/>
          <w:szCs w:val="16"/>
          <w:color w:val="auto"/>
        </w:rPr>
        <w:t>Ashley.Serrao@Tradeweb.com</w:t>
      </w:r>
      <w:r>
        <w:rPr>
          <w:sz w:val="20"/>
          <w:szCs w:val="20"/>
          <w:color w:val="auto"/>
        </w:rPr>
        <w:tab/>
      </w:r>
      <w:r>
        <w:rPr>
          <w:rFonts w:ascii="Arial" w:cs="Arial" w:eastAsia="Arial" w:hAnsi="Arial"/>
          <w:sz w:val="16"/>
          <w:szCs w:val="16"/>
          <w:color w:val="auto"/>
        </w:rPr>
        <w:t>Daniel.Noonan@Tradeweb.com</w:t>
      </w:r>
    </w:p>
    <w:p>
      <w:pPr>
        <w:spacing w:after="0" w:line="236" w:lineRule="exact"/>
        <w:rPr>
          <w:sz w:val="20"/>
          <w:szCs w:val="20"/>
          <w:color w:val="auto"/>
        </w:rPr>
      </w:pPr>
    </w:p>
    <w:p>
      <w:pPr>
        <w:ind w:left="5540"/>
        <w:spacing w:after="0"/>
        <w:tabs>
          <w:tab w:leader="none" w:pos="8160" w:val="left"/>
        </w:tabs>
        <w:rPr>
          <w:sz w:val="20"/>
          <w:szCs w:val="20"/>
          <w:color w:val="auto"/>
        </w:rPr>
      </w:pPr>
      <w:r>
        <w:rPr>
          <w:rFonts w:ascii="Arial" w:cs="Arial" w:eastAsia="Arial" w:hAnsi="Arial"/>
          <w:sz w:val="16"/>
          <w:szCs w:val="16"/>
          <w:color w:val="auto"/>
        </w:rPr>
        <w:t>Sameer Murukutla + 1 646 767</w:t>
      </w:r>
      <w:r>
        <w:rPr>
          <w:sz w:val="20"/>
          <w:szCs w:val="20"/>
          <w:color w:val="auto"/>
        </w:rPr>
        <w:tab/>
      </w:r>
      <w:r>
        <w:rPr>
          <w:rFonts w:ascii="Arial" w:cs="Arial" w:eastAsia="Arial" w:hAnsi="Arial"/>
          <w:sz w:val="16"/>
          <w:szCs w:val="16"/>
          <w:color w:val="auto"/>
        </w:rPr>
        <w:t>Savannah Steele + 1 646 767</w:t>
      </w:r>
    </w:p>
    <w:p>
      <w:pPr>
        <w:spacing w:after="0" w:line="31" w:lineRule="exact"/>
        <w:rPr>
          <w:sz w:val="20"/>
          <w:szCs w:val="20"/>
          <w:color w:val="auto"/>
        </w:rPr>
      </w:pPr>
    </w:p>
    <w:p>
      <w:pPr>
        <w:ind w:left="5540"/>
        <w:spacing w:after="0"/>
        <w:tabs>
          <w:tab w:leader="none" w:pos="8160" w:val="left"/>
        </w:tabs>
        <w:rPr>
          <w:sz w:val="20"/>
          <w:szCs w:val="20"/>
          <w:color w:val="auto"/>
        </w:rPr>
      </w:pPr>
      <w:r>
        <w:rPr>
          <w:rFonts w:ascii="Arial" w:cs="Arial" w:eastAsia="Arial" w:hAnsi="Arial"/>
          <w:sz w:val="16"/>
          <w:szCs w:val="16"/>
          <w:color w:val="auto"/>
        </w:rPr>
        <w:t>4864</w:t>
      </w:r>
      <w:r>
        <w:rPr>
          <w:sz w:val="20"/>
          <w:szCs w:val="20"/>
          <w:color w:val="auto"/>
        </w:rPr>
        <w:tab/>
      </w:r>
      <w:r>
        <w:rPr>
          <w:rFonts w:ascii="Arial" w:cs="Arial" w:eastAsia="Arial" w:hAnsi="Arial"/>
          <w:sz w:val="16"/>
          <w:szCs w:val="16"/>
          <w:color w:val="auto"/>
        </w:rPr>
        <w:t>4941</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Sameer.Murukutla@Tradeweb.com Savannah.Steele@Tradeweb.com</w:t>
      </w: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ADCB"/>
        </w:rPr>
        <w:t>TRADEWEB REPORTS SECOND QUARTER 2025 FINANCIAL RESULTS</w:t>
      </w:r>
    </w:p>
    <w:p>
      <w:pPr>
        <w:spacing w:after="0" w:line="222" w:lineRule="exact"/>
        <w:rPr>
          <w:sz w:val="20"/>
          <w:szCs w:val="20"/>
          <w:color w:val="auto"/>
        </w:rPr>
      </w:pPr>
    </w:p>
    <w:p>
      <w:pPr>
        <w:ind w:left="20" w:right="180"/>
        <w:spacing w:after="0" w:line="286" w:lineRule="auto"/>
        <w:rPr>
          <w:sz w:val="20"/>
          <w:szCs w:val="20"/>
          <w:color w:val="auto"/>
        </w:rPr>
      </w:pPr>
      <w:r>
        <w:rPr>
          <w:rFonts w:ascii="Arial" w:cs="Arial" w:eastAsia="Arial" w:hAnsi="Arial"/>
          <w:sz w:val="16"/>
          <w:szCs w:val="16"/>
          <w:b w:val="1"/>
          <w:bCs w:val="1"/>
          <w:color w:val="auto"/>
        </w:rPr>
        <w:t xml:space="preserve">New York, July 30, 2025 </w:t>
      </w:r>
      <w:r>
        <w:rPr>
          <w:rFonts w:ascii="Arial" w:cs="Arial" w:eastAsia="Arial" w:hAnsi="Arial"/>
          <w:sz w:val="16"/>
          <w:szCs w:val="16"/>
          <w:color w:val="auto"/>
        </w:rPr>
        <w:t>– Tradeweb Markets Inc. (Nasdaq: TW), a leading, global operator of electronic marketplaces for rates, credit, equities and</w:t>
      </w:r>
      <w:r>
        <w:rPr>
          <w:rFonts w:ascii="Arial" w:cs="Arial" w:eastAsia="Arial" w:hAnsi="Arial"/>
          <w:sz w:val="16"/>
          <w:szCs w:val="16"/>
          <w:b w:val="1"/>
          <w:bCs w:val="1"/>
          <w:color w:val="auto"/>
        </w:rPr>
        <w:t xml:space="preserve"> </w:t>
      </w:r>
      <w:r>
        <w:rPr>
          <w:rFonts w:ascii="Arial" w:cs="Arial" w:eastAsia="Arial" w:hAnsi="Arial"/>
          <w:sz w:val="16"/>
          <w:szCs w:val="16"/>
          <w:color w:val="auto"/>
        </w:rPr>
        <w:t>money markets, today reported financial results for the quarter ended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64770</wp:posOffset>
            </wp:positionV>
            <wp:extent cx="3086100" cy="3008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86100" cy="3008630"/>
                    </a:xfrm>
                    <a:prstGeom prst="rect">
                      <a:avLst/>
                    </a:prstGeom>
                    <a:noFill/>
                  </pic:spPr>
                </pic:pic>
              </a:graphicData>
            </a:graphic>
          </wp:anchor>
        </w:drawing>
      </w:r>
    </w:p>
    <w:p>
      <w:pPr>
        <w:sectPr>
          <w:pgSz w:w="11900" w:h="16838" w:orient="portrait"/>
          <w:cols w:equalWidth="0" w:num="1">
            <w:col w:w="10840"/>
          </w:cols>
          <w:pgMar w:left="320" w:top="179" w:right="739" w:bottom="1440" w:gutter="0" w:footer="0" w:header="0"/>
        </w:sectPr>
      </w:pPr>
    </w:p>
    <w:p>
      <w:pPr>
        <w:spacing w:after="0" w:line="115" w:lineRule="exact"/>
        <w:rPr>
          <w:sz w:val="20"/>
          <w:szCs w:val="20"/>
          <w:color w:val="auto"/>
        </w:rPr>
      </w:pPr>
    </w:p>
    <w:p>
      <w:pPr>
        <w:ind w:left="20" w:right="140"/>
        <w:spacing w:after="0" w:line="286" w:lineRule="auto"/>
        <w:rPr>
          <w:sz w:val="20"/>
          <w:szCs w:val="20"/>
          <w:color w:val="auto"/>
        </w:rPr>
      </w:pPr>
      <w:r>
        <w:rPr>
          <w:rFonts w:ascii="Arial" w:cs="Arial" w:eastAsia="Arial" w:hAnsi="Arial"/>
          <w:sz w:val="16"/>
          <w:szCs w:val="16"/>
          <w:b w:val="1"/>
          <w:bCs w:val="1"/>
          <w:color w:val="auto"/>
        </w:rPr>
        <w:t xml:space="preserve">$513.0 million </w:t>
      </w:r>
      <w:r>
        <w:rPr>
          <w:rFonts w:ascii="Arial" w:cs="Arial" w:eastAsia="Arial" w:hAnsi="Arial"/>
          <w:sz w:val="16"/>
          <w:szCs w:val="16"/>
          <w:color w:val="auto"/>
        </w:rPr>
        <w:t>quarterly revenues, an increase of</w:t>
      </w:r>
      <w:r>
        <w:rPr>
          <w:rFonts w:ascii="Arial" w:cs="Arial" w:eastAsia="Arial" w:hAnsi="Arial"/>
          <w:sz w:val="16"/>
          <w:szCs w:val="16"/>
          <w:b w:val="1"/>
          <w:bCs w:val="1"/>
          <w:color w:val="auto"/>
        </w:rPr>
        <w:t xml:space="preserve"> 26.7% </w:t>
      </w:r>
      <w:r>
        <w:rPr>
          <w:rFonts w:ascii="Arial" w:cs="Arial" w:eastAsia="Arial" w:hAnsi="Arial"/>
          <w:sz w:val="16"/>
          <w:szCs w:val="16"/>
          <w:color w:val="auto"/>
        </w:rPr>
        <w:t>(</w:t>
      </w:r>
      <w:r>
        <w:rPr>
          <w:rFonts w:ascii="Arial" w:cs="Arial" w:eastAsia="Arial" w:hAnsi="Arial"/>
          <w:sz w:val="16"/>
          <w:szCs w:val="16"/>
          <w:b w:val="1"/>
          <w:bCs w:val="1"/>
          <w:color w:val="auto"/>
        </w:rPr>
        <w:t xml:space="preserve">24.7% </w:t>
      </w:r>
      <w:r>
        <w:rPr>
          <w:rFonts w:ascii="Arial" w:cs="Arial" w:eastAsia="Arial" w:hAnsi="Arial"/>
          <w:sz w:val="16"/>
          <w:szCs w:val="16"/>
          <w:color w:val="auto"/>
        </w:rPr>
        <w:t>on a constant</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basis) compared to prior year period</w:t>
      </w:r>
    </w:p>
    <w:p>
      <w:pPr>
        <w:spacing w:after="0" w:line="61" w:lineRule="exact"/>
        <w:rPr>
          <w:sz w:val="20"/>
          <w:szCs w:val="20"/>
          <w:color w:val="auto"/>
        </w:rPr>
      </w:pPr>
    </w:p>
    <w:p>
      <w:pPr>
        <w:ind w:left="20"/>
        <w:spacing w:after="0" w:line="286" w:lineRule="auto"/>
        <w:rPr>
          <w:sz w:val="20"/>
          <w:szCs w:val="20"/>
          <w:color w:val="auto"/>
        </w:rPr>
      </w:pPr>
      <w:r>
        <w:rPr>
          <w:rFonts w:ascii="Arial" w:cs="Arial" w:eastAsia="Arial" w:hAnsi="Arial"/>
          <w:sz w:val="16"/>
          <w:szCs w:val="16"/>
          <w:b w:val="1"/>
          <w:bCs w:val="1"/>
          <w:color w:val="auto"/>
        </w:rPr>
        <w:t xml:space="preserve">$215.2 million </w:t>
      </w:r>
      <w:r>
        <w:rPr>
          <w:rFonts w:ascii="Arial" w:cs="Arial" w:eastAsia="Arial" w:hAnsi="Arial"/>
          <w:sz w:val="16"/>
          <w:szCs w:val="16"/>
          <w:color w:val="auto"/>
        </w:rPr>
        <w:t>quarterly international revenues, an increase of</w:t>
      </w:r>
      <w:r>
        <w:rPr>
          <w:rFonts w:ascii="Arial" w:cs="Arial" w:eastAsia="Arial" w:hAnsi="Arial"/>
          <w:sz w:val="16"/>
          <w:szCs w:val="16"/>
          <w:b w:val="1"/>
          <w:bCs w:val="1"/>
          <w:color w:val="auto"/>
        </w:rPr>
        <w:t xml:space="preserve"> 40.8% </w:t>
      </w:r>
      <w:r>
        <w:rPr>
          <w:rFonts w:ascii="Arial" w:cs="Arial" w:eastAsia="Arial" w:hAnsi="Arial"/>
          <w:sz w:val="16"/>
          <w:szCs w:val="16"/>
          <w:color w:val="auto"/>
        </w:rPr>
        <w:t>(</w:t>
      </w:r>
      <w:r>
        <w:rPr>
          <w:rFonts w:ascii="Arial" w:cs="Arial" w:eastAsia="Arial" w:hAnsi="Arial"/>
          <w:sz w:val="16"/>
          <w:szCs w:val="16"/>
          <w:b w:val="1"/>
          <w:bCs w:val="1"/>
          <w:color w:val="auto"/>
        </w:rPr>
        <w:t xml:space="preserve">35.8% </w:t>
      </w:r>
      <w:r>
        <w:rPr>
          <w:rFonts w:ascii="Arial" w:cs="Arial" w:eastAsia="Arial" w:hAnsi="Arial"/>
          <w:sz w:val="16"/>
          <w:szCs w:val="16"/>
          <w:color w:val="auto"/>
        </w:rPr>
        <w:t>on</w:t>
      </w:r>
      <w:r>
        <w:rPr>
          <w:rFonts w:ascii="Arial" w:cs="Arial" w:eastAsia="Arial" w:hAnsi="Arial"/>
          <w:sz w:val="16"/>
          <w:szCs w:val="16"/>
          <w:b w:val="1"/>
          <w:bCs w:val="1"/>
          <w:color w:val="auto"/>
        </w:rPr>
        <w:t xml:space="preserve"> </w:t>
      </w:r>
      <w:r>
        <w:rPr>
          <w:rFonts w:ascii="Arial" w:cs="Arial" w:eastAsia="Arial" w:hAnsi="Arial"/>
          <w:sz w:val="16"/>
          <w:szCs w:val="16"/>
          <w:color w:val="auto"/>
        </w:rPr>
        <w:t>a constant current basis) compared to prior year period</w:t>
      </w:r>
    </w:p>
    <w:p>
      <w:pPr>
        <w:spacing w:after="0" w:line="61" w:lineRule="exact"/>
        <w:rPr>
          <w:sz w:val="20"/>
          <w:szCs w:val="20"/>
          <w:color w:val="auto"/>
        </w:rPr>
      </w:pPr>
    </w:p>
    <w:p>
      <w:pPr>
        <w:ind w:left="20"/>
        <w:spacing w:after="0" w:line="265" w:lineRule="auto"/>
        <w:rPr>
          <w:sz w:val="20"/>
          <w:szCs w:val="20"/>
          <w:color w:val="auto"/>
        </w:rPr>
      </w:pPr>
      <w:r>
        <w:rPr>
          <w:rFonts w:ascii="Arial" w:cs="Arial" w:eastAsia="Arial" w:hAnsi="Arial"/>
          <w:sz w:val="16"/>
          <w:szCs w:val="16"/>
          <w:b w:val="1"/>
          <w:bCs w:val="1"/>
          <w:color w:val="auto"/>
        </w:rPr>
        <w:t xml:space="preserve">$2.6 trillion </w:t>
      </w:r>
      <w:r>
        <w:rPr>
          <w:rFonts w:ascii="Arial" w:cs="Arial" w:eastAsia="Arial" w:hAnsi="Arial"/>
          <w:sz w:val="16"/>
          <w:szCs w:val="16"/>
          <w:color w:val="auto"/>
        </w:rPr>
        <w:t>average daily volume (“ADV”) for the quarter, an increase of</w:t>
      </w:r>
      <w:r>
        <w:rPr>
          <w:rFonts w:ascii="Arial" w:cs="Arial" w:eastAsia="Arial" w:hAnsi="Arial"/>
          <w:sz w:val="16"/>
          <w:szCs w:val="16"/>
          <w:b w:val="1"/>
          <w:bCs w:val="1"/>
          <w:color w:val="auto"/>
        </w:rPr>
        <w:t xml:space="preserve"> 32.7% </w:t>
      </w:r>
      <w:r>
        <w:rPr>
          <w:rFonts w:ascii="Arial" w:cs="Arial" w:eastAsia="Arial" w:hAnsi="Arial"/>
          <w:sz w:val="16"/>
          <w:szCs w:val="16"/>
          <w:color w:val="auto"/>
        </w:rPr>
        <w:t>compared to prior year period; quarterly ADV records in U.S. government bonds, U.S. swaps/swaptions &lt; 1-year, fully electronic U.S. high yield credit, municipal bonds, European ETFs and global repurchase agreements</w:t>
      </w:r>
    </w:p>
    <w:p>
      <w:pPr>
        <w:spacing w:after="0" w:line="65" w:lineRule="exact"/>
        <w:rPr>
          <w:sz w:val="20"/>
          <w:szCs w:val="20"/>
          <w:color w:val="auto"/>
        </w:rPr>
      </w:pPr>
    </w:p>
    <w:p>
      <w:pPr>
        <w:ind w:left="20" w:right="460"/>
        <w:spacing w:after="0" w:line="314" w:lineRule="auto"/>
        <w:rPr>
          <w:sz w:val="20"/>
          <w:szCs w:val="20"/>
          <w:color w:val="auto"/>
        </w:rPr>
      </w:pPr>
      <w:r>
        <w:rPr>
          <w:rFonts w:ascii="Arial" w:cs="Arial" w:eastAsia="Arial" w:hAnsi="Arial"/>
          <w:sz w:val="16"/>
          <w:szCs w:val="16"/>
          <w:b w:val="1"/>
          <w:bCs w:val="1"/>
          <w:color w:val="auto"/>
        </w:rPr>
        <w:t xml:space="preserve">$175.5 million </w:t>
      </w:r>
      <w:r>
        <w:rPr>
          <w:rFonts w:ascii="Arial" w:cs="Arial" w:eastAsia="Arial" w:hAnsi="Arial"/>
          <w:sz w:val="16"/>
          <w:szCs w:val="16"/>
          <w:color w:val="auto"/>
        </w:rPr>
        <w:t>net income and</w:t>
      </w:r>
      <w:r>
        <w:rPr>
          <w:rFonts w:ascii="Arial" w:cs="Arial" w:eastAsia="Arial" w:hAnsi="Arial"/>
          <w:sz w:val="16"/>
          <w:szCs w:val="16"/>
          <w:b w:val="1"/>
          <w:bCs w:val="1"/>
          <w:color w:val="auto"/>
        </w:rPr>
        <w:t xml:space="preserve"> $206.1 million </w:t>
      </w:r>
      <w:r>
        <w:rPr>
          <w:rFonts w:ascii="Arial" w:cs="Arial" w:eastAsia="Arial" w:hAnsi="Arial"/>
          <w:sz w:val="16"/>
          <w:szCs w:val="16"/>
          <w:color w:val="auto"/>
        </w:rPr>
        <w:t>adjusted net income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quarter, increases of </w:t>
      </w:r>
      <w:r>
        <w:rPr>
          <w:rFonts w:ascii="Arial" w:cs="Arial" w:eastAsia="Arial" w:hAnsi="Arial"/>
          <w:sz w:val="16"/>
          <w:szCs w:val="16"/>
          <w:b w:val="1"/>
          <w:bCs w:val="1"/>
          <w:color w:val="auto"/>
        </w:rPr>
        <w:t>28.7%</w:t>
      </w:r>
      <w:r>
        <w:rPr>
          <w:rFonts w:ascii="Arial" w:cs="Arial" w:eastAsia="Arial" w:hAnsi="Arial"/>
          <w:sz w:val="16"/>
          <w:szCs w:val="16"/>
          <w:color w:val="auto"/>
        </w:rPr>
        <w:t xml:space="preserve"> and </w:t>
      </w:r>
      <w:r>
        <w:rPr>
          <w:rFonts w:ascii="Arial" w:cs="Arial" w:eastAsia="Arial" w:hAnsi="Arial"/>
          <w:sz w:val="16"/>
          <w:szCs w:val="16"/>
          <w:b w:val="1"/>
          <w:bCs w:val="1"/>
          <w:color w:val="auto"/>
        </w:rPr>
        <w:t>23.7%</w:t>
      </w:r>
      <w:r>
        <w:rPr>
          <w:rFonts w:ascii="Arial" w:cs="Arial" w:eastAsia="Arial" w:hAnsi="Arial"/>
          <w:sz w:val="16"/>
          <w:szCs w:val="16"/>
          <w:color w:val="auto"/>
        </w:rPr>
        <w:t xml:space="preserve"> respectively from prior year period</w:t>
      </w:r>
    </w:p>
    <w:p>
      <w:pPr>
        <w:spacing w:after="0" w:line="18" w:lineRule="exact"/>
        <w:rPr>
          <w:sz w:val="20"/>
          <w:szCs w:val="20"/>
          <w:color w:val="auto"/>
        </w:rPr>
      </w:pPr>
    </w:p>
    <w:p>
      <w:pPr>
        <w:ind w:left="20" w:right="60"/>
        <w:spacing w:after="0" w:line="286" w:lineRule="auto"/>
        <w:rPr>
          <w:sz w:val="20"/>
          <w:szCs w:val="20"/>
          <w:color w:val="auto"/>
        </w:rPr>
      </w:pPr>
      <w:r>
        <w:rPr>
          <w:rFonts w:ascii="Arial" w:cs="Arial" w:eastAsia="Arial" w:hAnsi="Arial"/>
          <w:sz w:val="16"/>
          <w:szCs w:val="16"/>
          <w:b w:val="1"/>
          <w:bCs w:val="1"/>
          <w:color w:val="auto"/>
        </w:rPr>
        <w:t xml:space="preserve">54.2% </w:t>
      </w:r>
      <w:r>
        <w:rPr>
          <w:rFonts w:ascii="Arial" w:cs="Arial" w:eastAsia="Arial" w:hAnsi="Arial"/>
          <w:sz w:val="16"/>
          <w:szCs w:val="16"/>
          <w:color w:val="auto"/>
        </w:rPr>
        <w:t>adjusted EBITDA margin and</w:t>
      </w:r>
      <w:r>
        <w:rPr>
          <w:rFonts w:ascii="Arial" w:cs="Arial" w:eastAsia="Arial" w:hAnsi="Arial"/>
          <w:sz w:val="16"/>
          <w:szCs w:val="16"/>
          <w:b w:val="1"/>
          <w:bCs w:val="1"/>
          <w:color w:val="auto"/>
        </w:rPr>
        <w:t xml:space="preserve"> $277.9 million </w:t>
      </w:r>
      <w:r>
        <w:rPr>
          <w:rFonts w:ascii="Arial" w:cs="Arial" w:eastAsia="Arial" w:hAnsi="Arial"/>
          <w:sz w:val="16"/>
          <w:szCs w:val="16"/>
          <w:color w:val="auto"/>
        </w:rPr>
        <w:t>adjusted EBITDA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compared to 53.5% and $216.5 million respectively for prior year period</w:t>
      </w:r>
    </w:p>
    <w:p>
      <w:pPr>
        <w:spacing w:after="0" w:line="61" w:lineRule="exact"/>
        <w:rPr>
          <w:sz w:val="20"/>
          <w:szCs w:val="20"/>
          <w:color w:val="auto"/>
        </w:rPr>
      </w:pPr>
    </w:p>
    <w:p>
      <w:pPr>
        <w:ind w:left="20" w:right="380"/>
        <w:spacing w:after="0" w:line="286" w:lineRule="auto"/>
        <w:rPr>
          <w:sz w:val="20"/>
          <w:szCs w:val="20"/>
          <w:color w:val="auto"/>
        </w:rPr>
      </w:pPr>
      <w:r>
        <w:rPr>
          <w:rFonts w:ascii="Arial" w:cs="Arial" w:eastAsia="Arial" w:hAnsi="Arial"/>
          <w:sz w:val="16"/>
          <w:szCs w:val="16"/>
          <w:b w:val="1"/>
          <w:bCs w:val="1"/>
          <w:color w:val="auto"/>
        </w:rPr>
        <w:t xml:space="preserve">$0.71 </w:t>
      </w:r>
      <w:r>
        <w:rPr>
          <w:rFonts w:ascii="Arial" w:cs="Arial" w:eastAsia="Arial" w:hAnsi="Arial"/>
          <w:sz w:val="16"/>
          <w:szCs w:val="16"/>
          <w:color w:val="auto"/>
        </w:rPr>
        <w:t>diluted earnings per share (“Diluted EPS”) and</w:t>
      </w:r>
      <w:r>
        <w:rPr>
          <w:rFonts w:ascii="Arial" w:cs="Arial" w:eastAsia="Arial" w:hAnsi="Arial"/>
          <w:sz w:val="16"/>
          <w:szCs w:val="16"/>
          <w:b w:val="1"/>
          <w:bCs w:val="1"/>
          <w:color w:val="auto"/>
        </w:rPr>
        <w:t xml:space="preserve"> $0.87 </w:t>
      </w:r>
      <w:r>
        <w:rPr>
          <w:rFonts w:ascii="Arial" w:cs="Arial" w:eastAsia="Arial" w:hAnsi="Arial"/>
          <w:sz w:val="16"/>
          <w:szCs w:val="16"/>
          <w:color w:val="auto"/>
        </w:rPr>
        <w:t>adjusted diluted</w:t>
      </w:r>
      <w:r>
        <w:rPr>
          <w:rFonts w:ascii="Arial" w:cs="Arial" w:eastAsia="Arial" w:hAnsi="Arial"/>
          <w:sz w:val="16"/>
          <w:szCs w:val="16"/>
          <w:b w:val="1"/>
          <w:bCs w:val="1"/>
          <w:color w:val="auto"/>
        </w:rPr>
        <w:t xml:space="preserve"> </w:t>
      </w:r>
      <w:r>
        <w:rPr>
          <w:rFonts w:ascii="Arial" w:cs="Arial" w:eastAsia="Arial" w:hAnsi="Arial"/>
          <w:sz w:val="16"/>
          <w:szCs w:val="16"/>
          <w:color w:val="auto"/>
        </w:rPr>
        <w:t>earnings per share for the quarter</w:t>
      </w:r>
    </w:p>
    <w:p>
      <w:pPr>
        <w:spacing w:after="0" w:line="48" w:lineRule="exact"/>
        <w:rPr>
          <w:sz w:val="20"/>
          <w:szCs w:val="20"/>
          <w:color w:val="auto"/>
        </w:rPr>
      </w:pPr>
    </w:p>
    <w:p>
      <w:pPr>
        <w:ind w:left="20" w:right="200"/>
        <w:spacing w:after="0" w:line="304" w:lineRule="auto"/>
        <w:rPr>
          <w:sz w:val="20"/>
          <w:szCs w:val="20"/>
          <w:color w:val="auto"/>
        </w:rPr>
      </w:pPr>
      <w:r>
        <w:rPr>
          <w:rFonts w:ascii="Arial" w:cs="Arial" w:eastAsia="Arial" w:hAnsi="Arial"/>
          <w:sz w:val="16"/>
          <w:szCs w:val="16"/>
          <w:b w:val="1"/>
          <w:bCs w:val="1"/>
          <w:color w:val="auto"/>
        </w:rPr>
        <w:t xml:space="preserve">$0.12 </w:t>
      </w:r>
      <w:r>
        <w:rPr>
          <w:rFonts w:ascii="Arial" w:cs="Arial" w:eastAsia="Arial" w:hAnsi="Arial"/>
          <w:sz w:val="16"/>
          <w:szCs w:val="16"/>
          <w:color w:val="auto"/>
        </w:rPr>
        <w:t>per share quarterly cash dividend declared, a</w:t>
      </w:r>
      <w:r>
        <w:rPr>
          <w:rFonts w:ascii="Arial" w:cs="Arial" w:eastAsia="Arial" w:hAnsi="Arial"/>
          <w:sz w:val="16"/>
          <w:szCs w:val="16"/>
          <w:b w:val="1"/>
          <w:bCs w:val="1"/>
          <w:color w:val="auto"/>
        </w:rPr>
        <w:t xml:space="preserve"> 20.0% </w:t>
      </w:r>
      <w:r>
        <w:rPr>
          <w:rFonts w:ascii="Arial" w:cs="Arial" w:eastAsia="Arial" w:hAnsi="Arial"/>
          <w:sz w:val="16"/>
          <w:szCs w:val="16"/>
          <w:color w:val="auto"/>
        </w:rPr>
        <w:t>per share increase</w:t>
      </w:r>
      <w:r>
        <w:rPr>
          <w:rFonts w:ascii="Arial" w:cs="Arial" w:eastAsia="Arial" w:hAnsi="Arial"/>
          <w:sz w:val="16"/>
          <w:szCs w:val="16"/>
          <w:b w:val="1"/>
          <w:bCs w:val="1"/>
          <w:color w:val="auto"/>
        </w:rPr>
        <w:t xml:space="preserve"> </w:t>
      </w:r>
      <w:r>
        <w:rPr>
          <w:rFonts w:ascii="Arial" w:cs="Arial" w:eastAsia="Arial" w:hAnsi="Arial"/>
          <w:sz w:val="16"/>
          <w:szCs w:val="16"/>
          <w:color w:val="auto"/>
        </w:rPr>
        <w:t>from prior year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Billy Hult, CEO of Tradeweb:</w:t>
      </w:r>
    </w:p>
    <w:p>
      <w:pPr>
        <w:spacing w:after="0" w:line="38" w:lineRule="exact"/>
        <w:rPr>
          <w:sz w:val="20"/>
          <w:szCs w:val="20"/>
          <w:color w:val="auto"/>
        </w:rPr>
      </w:pPr>
    </w:p>
    <w:p>
      <w:pPr>
        <w:ind w:right="200"/>
        <w:spacing w:after="0" w:line="248" w:lineRule="auto"/>
        <w:rPr>
          <w:sz w:val="20"/>
          <w:szCs w:val="20"/>
          <w:color w:val="auto"/>
        </w:rPr>
      </w:pPr>
      <w:r>
        <w:rPr>
          <w:rFonts w:ascii="Arial" w:cs="Arial" w:eastAsia="Arial" w:hAnsi="Arial"/>
          <w:sz w:val="13"/>
          <w:szCs w:val="13"/>
          <w:color w:val="auto"/>
        </w:rPr>
        <w:t>“Tradeweb delivered a strong second quarter, despite macro challenges around the April 2025 U.S. tariff announcements, rising tensions in the Middle</w:t>
      </w:r>
    </w:p>
    <w:p>
      <w:pPr>
        <w:ind w:right="340"/>
        <w:spacing w:after="0"/>
        <w:rPr>
          <w:sz w:val="20"/>
          <w:szCs w:val="20"/>
          <w:color w:val="auto"/>
        </w:rPr>
      </w:pPr>
      <w:r>
        <w:rPr>
          <w:rFonts w:ascii="Arial" w:cs="Arial" w:eastAsia="Arial" w:hAnsi="Arial"/>
          <w:sz w:val="13"/>
          <w:szCs w:val="13"/>
          <w:color w:val="auto"/>
        </w:rPr>
        <w:t>East and evolving central bank policy decisions, which continued to test the resiliency of electronic trading across global markets.</w:t>
      </w:r>
    </w:p>
    <w:p>
      <w:pPr>
        <w:spacing w:after="0" w:line="216" w:lineRule="exact"/>
        <w:rPr>
          <w:sz w:val="20"/>
          <w:szCs w:val="20"/>
          <w:color w:val="auto"/>
        </w:rPr>
      </w:pPr>
    </w:p>
    <w:p>
      <w:pPr>
        <w:ind w:right="20"/>
        <w:spacing w:after="0" w:line="248" w:lineRule="auto"/>
        <w:rPr>
          <w:sz w:val="20"/>
          <w:szCs w:val="20"/>
          <w:color w:val="auto"/>
        </w:rPr>
      </w:pPr>
      <w:r>
        <w:rPr>
          <w:rFonts w:ascii="Arial" w:cs="Arial" w:eastAsia="Arial" w:hAnsi="Arial"/>
          <w:sz w:val="13"/>
          <w:szCs w:val="13"/>
          <w:color w:val="auto"/>
        </w:rPr>
        <w:t>Against this background, we continued to work with clients on strategic initiatives in traditional markets and the digital asset space. Our recently announced</w:t>
      </w:r>
    </w:p>
    <w:p>
      <w:pPr>
        <w:ind w:right="140"/>
        <w:spacing w:after="0" w:line="227" w:lineRule="auto"/>
        <w:rPr>
          <w:sz w:val="20"/>
          <w:szCs w:val="20"/>
          <w:color w:val="auto"/>
        </w:rPr>
      </w:pPr>
      <w:r>
        <w:rPr>
          <w:rFonts w:ascii="Arial" w:cs="Arial" w:eastAsia="Arial" w:hAnsi="Arial"/>
          <w:sz w:val="13"/>
          <w:szCs w:val="13"/>
          <w:color w:val="auto"/>
        </w:rPr>
        <w:t>collaboration with Novaprime will bring new intelligence and workflow tools into the mortgage space, helping us unlock value across the trade lifecycle.</w:t>
      </w:r>
    </w:p>
    <w:p>
      <w:pPr>
        <w:spacing w:after="0"/>
        <w:rPr>
          <w:sz w:val="20"/>
          <w:szCs w:val="20"/>
          <w:color w:val="auto"/>
        </w:rPr>
      </w:pPr>
      <w:r>
        <w:rPr>
          <w:rFonts w:ascii="Arial" w:cs="Arial" w:eastAsia="Arial" w:hAnsi="Arial"/>
          <w:sz w:val="13"/>
          <w:szCs w:val="13"/>
          <w:color w:val="auto"/>
        </w:rPr>
        <w:t>Furthermore, as AI continues to shape the evolution of markets, we were</w:t>
      </w:r>
    </w:p>
    <w:p>
      <w:pPr>
        <w:ind w:right="140"/>
        <w:spacing w:after="0" w:line="227" w:lineRule="auto"/>
        <w:rPr>
          <w:sz w:val="20"/>
          <w:szCs w:val="20"/>
          <w:color w:val="auto"/>
        </w:rPr>
      </w:pPr>
      <w:r>
        <w:rPr>
          <w:rFonts w:ascii="Arial" w:cs="Arial" w:eastAsia="Arial" w:hAnsi="Arial"/>
          <w:sz w:val="13"/>
          <w:szCs w:val="13"/>
          <w:color w:val="auto"/>
        </w:rPr>
        <w:t>pleased to welcome Sherry Marcus as Tradeweb’s Head of AI in May. Sherry’s extensive experience and leadership will be instrumental in advancing our AI</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capabilities to new levels of sophistication.</w:t>
      </w:r>
    </w:p>
    <w:p>
      <w:pPr>
        <w:spacing w:after="0" w:line="230" w:lineRule="exact"/>
        <w:rPr>
          <w:sz w:val="20"/>
          <w:szCs w:val="20"/>
          <w:color w:val="auto"/>
        </w:rPr>
      </w:pPr>
    </w:p>
    <w:p>
      <w:pPr>
        <w:ind w:right="320"/>
        <w:spacing w:after="0" w:line="237" w:lineRule="auto"/>
        <w:rPr>
          <w:sz w:val="20"/>
          <w:szCs w:val="20"/>
          <w:color w:val="auto"/>
        </w:rPr>
      </w:pPr>
      <w:r>
        <w:rPr>
          <w:rFonts w:ascii="Arial" w:cs="Arial" w:eastAsia="Arial" w:hAnsi="Arial"/>
          <w:sz w:val="13"/>
          <w:szCs w:val="13"/>
          <w:color w:val="auto"/>
        </w:rPr>
        <w:t>We introduced direct Treasury bill trading for corporate treasurers through a seamless integration between our ICD Portal and institutional platform —</w:t>
      </w:r>
    </w:p>
    <w:p>
      <w:pPr>
        <w:spacing w:after="0"/>
        <w:rPr>
          <w:sz w:val="20"/>
          <w:szCs w:val="20"/>
          <w:color w:val="auto"/>
        </w:rPr>
      </w:pPr>
      <w:r>
        <w:rPr>
          <w:rFonts w:ascii="Arial" w:cs="Arial" w:eastAsia="Arial" w:hAnsi="Arial"/>
          <w:sz w:val="13"/>
          <w:szCs w:val="13"/>
          <w:color w:val="auto"/>
        </w:rPr>
        <w:t>demonstrating the capabilities and innovation we're able to provide clients</w:t>
      </w:r>
    </w:p>
    <w:p>
      <w:pPr>
        <w:ind w:right="100"/>
        <w:spacing w:after="0" w:line="227" w:lineRule="auto"/>
        <w:rPr>
          <w:sz w:val="20"/>
          <w:szCs w:val="20"/>
          <w:color w:val="auto"/>
        </w:rPr>
      </w:pPr>
      <w:r>
        <w:rPr>
          <w:rFonts w:ascii="Arial" w:cs="Arial" w:eastAsia="Arial" w:hAnsi="Arial"/>
          <w:sz w:val="13"/>
          <w:szCs w:val="13"/>
          <w:color w:val="auto"/>
        </w:rPr>
        <w:t>through our fourth client channel. Building on our successes in credit, we were excited to introduce electronic portfolio trading for European government bonds</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 extending this innovative protocol to this asset class.</w:t>
      </w:r>
    </w:p>
    <w:p>
      <w:pPr>
        <w:spacing w:after="0" w:line="230" w:lineRule="exact"/>
        <w:rPr>
          <w:sz w:val="20"/>
          <w:szCs w:val="20"/>
          <w:color w:val="auto"/>
        </w:rPr>
      </w:pPr>
    </w:p>
    <w:p>
      <w:pPr>
        <w:ind w:right="200"/>
        <w:spacing w:after="0" w:line="237" w:lineRule="auto"/>
        <w:rPr>
          <w:sz w:val="20"/>
          <w:szCs w:val="20"/>
          <w:color w:val="auto"/>
        </w:rPr>
      </w:pPr>
      <w:r>
        <w:rPr>
          <w:rFonts w:ascii="Arial" w:cs="Arial" w:eastAsia="Arial" w:hAnsi="Arial"/>
          <w:sz w:val="13"/>
          <w:szCs w:val="13"/>
          <w:color w:val="auto"/>
        </w:rPr>
        <w:t>Finally, we were honored to be named a "Best Company to Work For" by U.S. News &amp; World Report. I’m proud of what we’ve built together and even more</w:t>
      </w:r>
    </w:p>
    <w:p>
      <w:pPr>
        <w:spacing w:after="0"/>
        <w:rPr>
          <w:sz w:val="20"/>
          <w:szCs w:val="20"/>
          <w:color w:val="auto"/>
        </w:rPr>
      </w:pPr>
      <w:r>
        <w:rPr>
          <w:rFonts w:ascii="Arial" w:cs="Arial" w:eastAsia="Arial" w:hAnsi="Arial"/>
          <w:sz w:val="13"/>
          <w:szCs w:val="13"/>
          <w:color w:val="auto"/>
        </w:rPr>
        <w:t>excited about where we’re headed next.”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3086100" cy="5575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86100" cy="5575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00" w:space="200"/>
            <w:col w:w="4840"/>
          </w:cols>
          <w:pgMar w:left="320" w:top="179" w:right="739" w:bottom="1440" w:gutter="0" w:footer="0" w:header="0"/>
          <w:type w:val="continuous"/>
        </w:sect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740" w:type="dxa"/>
            <w:vAlign w:val="bottom"/>
            <w:shd w:val="clear" w:color="auto" w:fill="083566"/>
          </w:tcPr>
          <w:p>
            <w:pPr>
              <w:spacing w:after="0"/>
              <w:rPr>
                <w:sz w:val="17"/>
                <w:szCs w:val="17"/>
                <w:color w:val="auto"/>
              </w:rPr>
            </w:pPr>
          </w:p>
        </w:tc>
        <w:tc>
          <w:tcPr>
            <w:tcW w:w="260" w:type="dxa"/>
            <w:vAlign w:val="bottom"/>
            <w:shd w:val="clear" w:color="auto" w:fill="083566"/>
          </w:tcPr>
          <w:p>
            <w:pPr>
              <w:spacing w:after="0"/>
              <w:rPr>
                <w:sz w:val="17"/>
                <w:szCs w:val="17"/>
                <w:color w:val="auto"/>
              </w:rPr>
            </w:pPr>
          </w:p>
        </w:tc>
        <w:tc>
          <w:tcPr>
            <w:tcW w:w="880" w:type="dxa"/>
            <w:vAlign w:val="bottom"/>
            <w:shd w:val="clear" w:color="auto" w:fill="083566"/>
          </w:tcPr>
          <w:p>
            <w:pPr>
              <w:spacing w:after="0"/>
              <w:rPr>
                <w:sz w:val="17"/>
                <w:szCs w:val="17"/>
                <w:color w:val="auto"/>
              </w:rPr>
            </w:pPr>
          </w:p>
        </w:tc>
        <w:tc>
          <w:tcPr>
            <w:tcW w:w="200" w:type="dxa"/>
            <w:vAlign w:val="bottom"/>
            <w:shd w:val="clear" w:color="auto" w:fill="083566"/>
          </w:tcPr>
          <w:p>
            <w:pPr>
              <w:spacing w:after="0"/>
              <w:rPr>
                <w:sz w:val="17"/>
                <w:szCs w:val="17"/>
                <w:color w:val="auto"/>
              </w:rPr>
            </w:pPr>
          </w:p>
        </w:tc>
        <w:tc>
          <w:tcPr>
            <w:tcW w:w="960" w:type="dxa"/>
            <w:vAlign w:val="bottom"/>
            <w:shd w:val="clear" w:color="auto" w:fill="083566"/>
          </w:tcPr>
          <w:p>
            <w:pPr>
              <w:spacing w:after="0"/>
              <w:rPr>
                <w:sz w:val="17"/>
                <w:szCs w:val="17"/>
                <w:color w:val="auto"/>
              </w:rPr>
            </w:pPr>
          </w:p>
        </w:tc>
        <w:tc>
          <w:tcPr>
            <w:tcW w:w="920" w:type="dxa"/>
            <w:vAlign w:val="bottom"/>
            <w:shd w:val="clear" w:color="auto" w:fill="083566"/>
          </w:tcPr>
          <w:p>
            <w:pPr>
              <w:spacing w:after="0"/>
              <w:rPr>
                <w:sz w:val="17"/>
                <w:szCs w:val="17"/>
                <w:color w:val="auto"/>
              </w:rPr>
            </w:pPr>
          </w:p>
        </w:tc>
        <w:tc>
          <w:tcPr>
            <w:tcW w:w="940" w:type="dxa"/>
            <w:vAlign w:val="bottom"/>
            <w:gridSpan w:val="2"/>
            <w:shd w:val="clear" w:color="auto" w:fill="083566"/>
          </w:tcPr>
          <w:p>
            <w:pPr>
              <w:jc w:val="right"/>
              <w:ind w:right="39"/>
              <w:spacing w:after="0"/>
              <w:rPr>
                <w:sz w:val="20"/>
                <w:szCs w:val="20"/>
                <w:color w:val="auto"/>
              </w:rPr>
            </w:pPr>
            <w:r>
              <w:rPr>
                <w:rFonts w:ascii="Arial" w:cs="Arial" w:eastAsia="Arial" w:hAnsi="Arial"/>
                <w:sz w:val="16"/>
                <w:szCs w:val="16"/>
                <w:b w:val="1"/>
                <w:bCs w:val="1"/>
                <w:color w:val="FFFFFF"/>
              </w:rPr>
              <w:t>Constant</w:t>
            </w:r>
          </w:p>
        </w:tc>
        <w:tc>
          <w:tcPr>
            <w:tcW w:w="0" w:type="dxa"/>
            <w:vAlign w:val="bottom"/>
          </w:tcPr>
          <w:p>
            <w:pPr>
              <w:spacing w:after="0"/>
              <w:rPr>
                <w:sz w:val="1"/>
                <w:szCs w:val="1"/>
                <w:color w:val="auto"/>
              </w:rPr>
            </w:pPr>
          </w:p>
        </w:tc>
      </w:tr>
      <w:tr>
        <w:trPr>
          <w:trHeight w:val="189"/>
        </w:trPr>
        <w:tc>
          <w:tcPr>
            <w:tcW w:w="174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SELECT FINANCIAL</w:t>
            </w:r>
          </w:p>
        </w:tc>
        <w:tc>
          <w:tcPr>
            <w:tcW w:w="260" w:type="dxa"/>
            <w:vAlign w:val="bottom"/>
            <w:shd w:val="clear" w:color="auto" w:fill="083566"/>
          </w:tcPr>
          <w:p>
            <w:pPr>
              <w:spacing w:after="0"/>
              <w:rPr>
                <w:sz w:val="16"/>
                <w:szCs w:val="16"/>
                <w:color w:val="auto"/>
              </w:rPr>
            </w:pPr>
          </w:p>
        </w:tc>
        <w:tc>
          <w:tcPr>
            <w:tcW w:w="880" w:type="dxa"/>
            <w:vAlign w:val="bottom"/>
            <w:shd w:val="clear" w:color="auto" w:fill="083566"/>
          </w:tcPr>
          <w:p>
            <w:pPr>
              <w:spacing w:after="0"/>
              <w:rPr>
                <w:sz w:val="16"/>
                <w:szCs w:val="16"/>
                <w:color w:val="auto"/>
              </w:rPr>
            </w:pPr>
          </w:p>
        </w:tc>
        <w:tc>
          <w:tcPr>
            <w:tcW w:w="200" w:type="dxa"/>
            <w:vAlign w:val="bottom"/>
            <w:shd w:val="clear" w:color="auto" w:fill="083566"/>
          </w:tcPr>
          <w:p>
            <w:pPr>
              <w:spacing w:after="0"/>
              <w:rPr>
                <w:sz w:val="16"/>
                <w:szCs w:val="16"/>
                <w:color w:val="auto"/>
              </w:rPr>
            </w:pPr>
          </w:p>
        </w:tc>
        <w:tc>
          <w:tcPr>
            <w:tcW w:w="960" w:type="dxa"/>
            <w:vAlign w:val="bottom"/>
            <w:shd w:val="clear" w:color="auto" w:fill="083566"/>
          </w:tcPr>
          <w:p>
            <w:pPr>
              <w:spacing w:after="0"/>
              <w:rPr>
                <w:sz w:val="16"/>
                <w:szCs w:val="16"/>
                <w:color w:val="auto"/>
              </w:rPr>
            </w:pPr>
          </w:p>
        </w:tc>
        <w:tc>
          <w:tcPr>
            <w:tcW w:w="920" w:type="dxa"/>
            <w:vAlign w:val="bottom"/>
            <w:shd w:val="clear" w:color="auto" w:fill="083566"/>
          </w:tcPr>
          <w:p>
            <w:pPr>
              <w:spacing w:after="0"/>
              <w:rPr>
                <w:sz w:val="16"/>
                <w:szCs w:val="16"/>
                <w:color w:val="auto"/>
              </w:rPr>
            </w:pPr>
          </w:p>
        </w:tc>
        <w:tc>
          <w:tcPr>
            <w:tcW w:w="940" w:type="dxa"/>
            <w:vAlign w:val="bottom"/>
            <w:gridSpan w:val="2"/>
            <w:shd w:val="clear" w:color="auto" w:fill="083566"/>
          </w:tcPr>
          <w:p>
            <w:pPr>
              <w:jc w:val="right"/>
              <w:ind w:right="39"/>
              <w:spacing w:after="0"/>
              <w:rPr>
                <w:sz w:val="20"/>
                <w:szCs w:val="20"/>
                <w:color w:val="auto"/>
              </w:rPr>
            </w:pPr>
            <w:r>
              <w:rPr>
                <w:rFonts w:ascii="Arial" w:cs="Arial" w:eastAsia="Arial" w:hAnsi="Arial"/>
                <w:sz w:val="16"/>
                <w:szCs w:val="16"/>
                <w:b w:val="1"/>
                <w:bCs w:val="1"/>
                <w:color w:val="FFFFFF"/>
              </w:rPr>
              <w:t>Currency</w:t>
            </w:r>
          </w:p>
        </w:tc>
        <w:tc>
          <w:tcPr>
            <w:tcW w:w="0" w:type="dxa"/>
            <w:vAlign w:val="bottom"/>
          </w:tcPr>
          <w:p>
            <w:pPr>
              <w:spacing w:after="0"/>
              <w:rPr>
                <w:sz w:val="1"/>
                <w:szCs w:val="1"/>
                <w:color w:val="auto"/>
              </w:rPr>
            </w:pPr>
          </w:p>
        </w:tc>
      </w:tr>
      <w:tr>
        <w:trPr>
          <w:trHeight w:val="256"/>
        </w:trPr>
        <w:tc>
          <w:tcPr>
            <w:tcW w:w="174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RESULTS</w:t>
            </w:r>
          </w:p>
        </w:tc>
        <w:tc>
          <w:tcPr>
            <w:tcW w:w="260" w:type="dxa"/>
            <w:vAlign w:val="bottom"/>
            <w:shd w:val="clear" w:color="auto" w:fill="083566"/>
          </w:tcPr>
          <w:p>
            <w:pPr>
              <w:spacing w:after="0"/>
              <w:rPr>
                <w:sz w:val="22"/>
                <w:szCs w:val="22"/>
                <w:color w:val="auto"/>
              </w:rPr>
            </w:pPr>
          </w:p>
        </w:tc>
        <w:tc>
          <w:tcPr>
            <w:tcW w:w="880" w:type="dxa"/>
            <w:vAlign w:val="bottom"/>
            <w:shd w:val="clear" w:color="auto" w:fill="083566"/>
          </w:tcPr>
          <w:p>
            <w:pPr>
              <w:jc w:val="right"/>
              <w:ind w:right="279"/>
              <w:spacing w:after="0"/>
              <w:rPr>
                <w:sz w:val="20"/>
                <w:szCs w:val="20"/>
                <w:color w:val="auto"/>
              </w:rPr>
            </w:pPr>
            <w:r>
              <w:rPr>
                <w:rFonts w:ascii="Arial" w:cs="Arial" w:eastAsia="Arial" w:hAnsi="Arial"/>
                <w:sz w:val="16"/>
                <w:szCs w:val="16"/>
                <w:b w:val="1"/>
                <w:bCs w:val="1"/>
                <w:color w:val="FFFFFF"/>
              </w:rPr>
              <w:t>2Q25</w:t>
            </w:r>
          </w:p>
        </w:tc>
        <w:tc>
          <w:tcPr>
            <w:tcW w:w="200" w:type="dxa"/>
            <w:vAlign w:val="bottom"/>
            <w:shd w:val="clear" w:color="auto" w:fill="083566"/>
          </w:tcPr>
          <w:p>
            <w:pPr>
              <w:spacing w:after="0"/>
              <w:rPr>
                <w:sz w:val="22"/>
                <w:szCs w:val="22"/>
                <w:color w:val="auto"/>
              </w:rPr>
            </w:pPr>
          </w:p>
        </w:tc>
        <w:tc>
          <w:tcPr>
            <w:tcW w:w="960" w:type="dxa"/>
            <w:vAlign w:val="bottom"/>
            <w:shd w:val="clear" w:color="auto" w:fill="083566"/>
          </w:tcPr>
          <w:p>
            <w:pPr>
              <w:jc w:val="right"/>
              <w:ind w:right="339"/>
              <w:spacing w:after="0"/>
              <w:rPr>
                <w:sz w:val="20"/>
                <w:szCs w:val="20"/>
                <w:color w:val="auto"/>
              </w:rPr>
            </w:pPr>
            <w:r>
              <w:rPr>
                <w:rFonts w:ascii="Arial" w:cs="Arial" w:eastAsia="Arial" w:hAnsi="Arial"/>
                <w:sz w:val="16"/>
                <w:szCs w:val="16"/>
                <w:b w:val="1"/>
                <w:bCs w:val="1"/>
                <w:color w:val="FFFFFF"/>
              </w:rPr>
              <w:t>2Q24</w:t>
            </w:r>
          </w:p>
        </w:tc>
        <w:tc>
          <w:tcPr>
            <w:tcW w:w="920" w:type="dxa"/>
            <w:vAlign w:val="bottom"/>
            <w:shd w:val="clear" w:color="auto" w:fill="083566"/>
          </w:tcPr>
          <w:p>
            <w:pPr>
              <w:jc w:val="right"/>
              <w:ind w:right="139"/>
              <w:spacing w:after="0"/>
              <w:rPr>
                <w:sz w:val="20"/>
                <w:szCs w:val="20"/>
                <w:color w:val="auto"/>
              </w:rPr>
            </w:pPr>
            <w:r>
              <w:rPr>
                <w:rFonts w:ascii="Arial" w:cs="Arial" w:eastAsia="Arial" w:hAnsi="Arial"/>
                <w:sz w:val="16"/>
                <w:szCs w:val="16"/>
                <w:b w:val="1"/>
                <w:bCs w:val="1"/>
                <w:color w:val="FFFFFF"/>
              </w:rPr>
              <w:t>Change</w:t>
            </w:r>
          </w:p>
        </w:tc>
        <w:tc>
          <w:tcPr>
            <w:tcW w:w="940" w:type="dxa"/>
            <w:vAlign w:val="bottom"/>
            <w:gridSpan w:val="2"/>
            <w:shd w:val="clear" w:color="auto" w:fill="083566"/>
          </w:tcPr>
          <w:p>
            <w:pPr>
              <w:jc w:val="right"/>
              <w:ind w:right="39"/>
              <w:spacing w:after="0"/>
              <w:rPr>
                <w:sz w:val="20"/>
                <w:szCs w:val="20"/>
                <w:color w:val="auto"/>
              </w:rPr>
            </w:pPr>
            <w:r>
              <w:rPr>
                <w:rFonts w:ascii="Arial" w:cs="Arial" w:eastAsia="Arial" w:hAnsi="Arial"/>
                <w:sz w:val="16"/>
                <w:szCs w:val="16"/>
                <w:b w:val="1"/>
                <w:bCs w:val="1"/>
                <w:color w:val="FFFFFF"/>
              </w:rPr>
              <w:t>Change</w:t>
            </w:r>
            <w:r>
              <w:rPr>
                <w:rFonts w:ascii="Arial" w:cs="Arial" w:eastAsia="Arial" w:hAnsi="Arial"/>
                <w:sz w:val="21"/>
                <w:szCs w:val="21"/>
                <w:b w:val="1"/>
                <w:bCs w:val="1"/>
                <w:color w:val="FFFFFF"/>
                <w:vertAlign w:val="superscript"/>
              </w:rPr>
              <w:t>(1)</w:t>
            </w:r>
          </w:p>
        </w:tc>
        <w:tc>
          <w:tcPr>
            <w:tcW w:w="0" w:type="dxa"/>
            <w:vAlign w:val="bottom"/>
          </w:tcPr>
          <w:p>
            <w:pPr>
              <w:spacing w:after="0"/>
              <w:rPr>
                <w:sz w:val="1"/>
                <w:szCs w:val="1"/>
                <w:color w:val="auto"/>
              </w:rPr>
            </w:pPr>
          </w:p>
        </w:tc>
      </w:tr>
      <w:tr>
        <w:trPr>
          <w:trHeight w:val="230"/>
        </w:trPr>
        <w:tc>
          <w:tcPr>
            <w:tcW w:w="4960" w:type="dxa"/>
            <w:vAlign w:val="bottom"/>
            <w:gridSpan w:val="6"/>
            <w:shd w:val="clear" w:color="auto" w:fill="083566"/>
          </w:tcPr>
          <w:p>
            <w:pPr>
              <w:ind w:left="20"/>
              <w:spacing w:after="0"/>
              <w:rPr>
                <w:sz w:val="20"/>
                <w:szCs w:val="20"/>
                <w:color w:val="auto"/>
              </w:rPr>
            </w:pPr>
            <w:r>
              <w:rPr>
                <w:rFonts w:ascii="Arial" w:cs="Arial" w:eastAsia="Arial" w:hAnsi="Arial"/>
                <w:sz w:val="16"/>
                <w:szCs w:val="16"/>
                <w:color w:val="FFFFFF"/>
              </w:rPr>
              <w:t>(dollars in thousands, except per share amounts)(Unaudited)</w:t>
            </w:r>
          </w:p>
        </w:tc>
        <w:tc>
          <w:tcPr>
            <w:tcW w:w="560" w:type="dxa"/>
            <w:vAlign w:val="bottom"/>
            <w:shd w:val="clear" w:color="auto" w:fill="083566"/>
          </w:tcPr>
          <w:p>
            <w:pPr>
              <w:spacing w:after="0"/>
              <w:rPr>
                <w:sz w:val="20"/>
                <w:szCs w:val="20"/>
                <w:color w:val="auto"/>
              </w:rPr>
            </w:pPr>
          </w:p>
        </w:tc>
        <w:tc>
          <w:tcPr>
            <w:tcW w:w="380" w:type="dxa"/>
            <w:vAlign w:val="bottom"/>
            <w:shd w:val="clear" w:color="auto" w:fill="083566"/>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GAAP Financial Measures</w:t>
            </w:r>
          </w:p>
        </w:tc>
        <w:tc>
          <w:tcPr>
            <w:tcW w:w="8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960" w:type="dxa"/>
            <w:vAlign w:val="bottom"/>
            <w:shd w:val="clear" w:color="auto" w:fill="D5DCE4"/>
          </w:tcPr>
          <w:p>
            <w:pPr>
              <w:spacing w:after="0"/>
              <w:rPr>
                <w:sz w:val="21"/>
                <w:szCs w:val="21"/>
                <w:color w:val="auto"/>
              </w:rPr>
            </w:pPr>
          </w:p>
        </w:tc>
        <w:tc>
          <w:tcPr>
            <w:tcW w:w="92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380" w:type="dxa"/>
            <w:vAlign w:val="bottom"/>
            <w:shd w:val="clear" w:color="auto" w:fill="D5DCE4"/>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174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512,971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404,951</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26.7 %</w:t>
            </w:r>
          </w:p>
        </w:tc>
        <w:tc>
          <w:tcPr>
            <w:tcW w:w="560" w:type="dxa"/>
            <w:vAlign w:val="bottom"/>
          </w:tcPr>
          <w:p>
            <w:pPr>
              <w:jc w:val="right"/>
              <w:spacing w:after="0"/>
              <w:rPr>
                <w:sz w:val="20"/>
                <w:szCs w:val="20"/>
                <w:color w:val="auto"/>
              </w:rPr>
            </w:pPr>
            <w:r>
              <w:rPr>
                <w:rFonts w:ascii="Arial" w:cs="Arial" w:eastAsia="Arial" w:hAnsi="Arial"/>
                <w:sz w:val="16"/>
                <w:szCs w:val="16"/>
                <w:color w:val="auto"/>
              </w:rPr>
              <w:t>24.7</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740" w:type="dxa"/>
            <w:vAlign w:val="bottom"/>
          </w:tcPr>
          <w:p>
            <w:pPr>
              <w:ind w:left="140"/>
              <w:spacing w:after="0"/>
              <w:rPr>
                <w:sz w:val="20"/>
                <w:szCs w:val="20"/>
                <w:color w:val="auto"/>
              </w:rPr>
            </w:pPr>
            <w:r>
              <w:rPr>
                <w:rFonts w:ascii="Arial" w:cs="Arial" w:eastAsia="Arial" w:hAnsi="Arial"/>
                <w:sz w:val="16"/>
                <w:szCs w:val="16"/>
                <w:color w:val="auto"/>
              </w:rPr>
              <w:t>Rates</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274,517</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217,531</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26.2 %</w:t>
            </w:r>
          </w:p>
        </w:tc>
        <w:tc>
          <w:tcPr>
            <w:tcW w:w="560" w:type="dxa"/>
            <w:vAlign w:val="bottom"/>
          </w:tcPr>
          <w:p>
            <w:pPr>
              <w:jc w:val="right"/>
              <w:spacing w:after="0"/>
              <w:rPr>
                <w:sz w:val="20"/>
                <w:szCs w:val="20"/>
                <w:color w:val="auto"/>
              </w:rPr>
            </w:pPr>
            <w:r>
              <w:rPr>
                <w:rFonts w:ascii="Arial" w:cs="Arial" w:eastAsia="Arial" w:hAnsi="Arial"/>
                <w:sz w:val="16"/>
                <w:szCs w:val="16"/>
                <w:color w:val="auto"/>
              </w:rPr>
              <w:t>23.9</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1740" w:type="dxa"/>
            <w:vAlign w:val="bottom"/>
          </w:tcPr>
          <w:p>
            <w:pPr>
              <w:ind w:left="140"/>
              <w:spacing w:after="0"/>
              <w:rPr>
                <w:sz w:val="20"/>
                <w:szCs w:val="20"/>
                <w:color w:val="auto"/>
              </w:rPr>
            </w:pPr>
            <w:r>
              <w:rPr>
                <w:rFonts w:ascii="Arial" w:cs="Arial" w:eastAsia="Arial" w:hAnsi="Arial"/>
                <w:sz w:val="16"/>
                <w:szCs w:val="16"/>
                <w:color w:val="auto"/>
              </w:rPr>
              <w:t>Credit</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124,295</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111,324</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11.7 %</w:t>
            </w:r>
          </w:p>
        </w:tc>
        <w:tc>
          <w:tcPr>
            <w:tcW w:w="560" w:type="dxa"/>
            <w:vAlign w:val="bottom"/>
          </w:tcPr>
          <w:p>
            <w:pPr>
              <w:jc w:val="right"/>
              <w:spacing w:after="0"/>
              <w:rPr>
                <w:sz w:val="20"/>
                <w:szCs w:val="20"/>
                <w:color w:val="auto"/>
              </w:rPr>
            </w:pPr>
            <w:r>
              <w:rPr>
                <w:rFonts w:ascii="Arial" w:cs="Arial" w:eastAsia="Arial" w:hAnsi="Arial"/>
                <w:sz w:val="16"/>
                <w:szCs w:val="16"/>
                <w:color w:val="auto"/>
              </w:rPr>
              <w:t>10.5</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740" w:type="dxa"/>
            <w:vAlign w:val="bottom"/>
          </w:tcPr>
          <w:p>
            <w:pPr>
              <w:ind w:left="140"/>
              <w:spacing w:after="0"/>
              <w:rPr>
                <w:sz w:val="20"/>
                <w:szCs w:val="20"/>
                <w:color w:val="auto"/>
              </w:rPr>
            </w:pPr>
            <w:r>
              <w:rPr>
                <w:rFonts w:ascii="Arial" w:cs="Arial" w:eastAsia="Arial" w:hAnsi="Arial"/>
                <w:sz w:val="16"/>
                <w:szCs w:val="16"/>
                <w:color w:val="auto"/>
              </w:rPr>
              <w:t>Equities</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34,252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22,871</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49.8 %</w:t>
            </w:r>
          </w:p>
        </w:tc>
        <w:tc>
          <w:tcPr>
            <w:tcW w:w="560" w:type="dxa"/>
            <w:vAlign w:val="bottom"/>
          </w:tcPr>
          <w:p>
            <w:pPr>
              <w:jc w:val="right"/>
              <w:spacing w:after="0"/>
              <w:rPr>
                <w:sz w:val="20"/>
                <w:szCs w:val="20"/>
                <w:color w:val="auto"/>
              </w:rPr>
            </w:pPr>
            <w:r>
              <w:rPr>
                <w:rFonts w:ascii="Arial" w:cs="Arial" w:eastAsia="Arial" w:hAnsi="Arial"/>
                <w:sz w:val="16"/>
                <w:szCs w:val="16"/>
                <w:color w:val="auto"/>
              </w:rPr>
              <w:t>46.7</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740" w:type="dxa"/>
            <w:vAlign w:val="bottom"/>
          </w:tcPr>
          <w:p>
            <w:pPr>
              <w:ind w:left="140"/>
              <w:spacing w:after="0"/>
              <w:rPr>
                <w:sz w:val="20"/>
                <w:szCs w:val="20"/>
                <w:color w:val="auto"/>
              </w:rPr>
            </w:pPr>
            <w:r>
              <w:rPr>
                <w:rFonts w:ascii="Arial" w:cs="Arial" w:eastAsia="Arial" w:hAnsi="Arial"/>
                <w:sz w:val="16"/>
                <w:szCs w:val="16"/>
                <w:color w:val="auto"/>
              </w:rPr>
              <w:t>Money Markets</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41,636</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18,045</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130.7 %</w:t>
            </w:r>
          </w:p>
        </w:tc>
        <w:tc>
          <w:tcPr>
            <w:tcW w:w="560" w:type="dxa"/>
            <w:vAlign w:val="bottom"/>
          </w:tcPr>
          <w:p>
            <w:pPr>
              <w:jc w:val="right"/>
              <w:spacing w:after="0"/>
              <w:rPr>
                <w:sz w:val="20"/>
                <w:szCs w:val="20"/>
                <w:color w:val="auto"/>
              </w:rPr>
            </w:pPr>
            <w:r>
              <w:rPr>
                <w:rFonts w:ascii="Arial" w:cs="Arial" w:eastAsia="Arial" w:hAnsi="Arial"/>
                <w:sz w:val="16"/>
                <w:szCs w:val="16"/>
                <w:color w:val="auto"/>
              </w:rPr>
              <w:t>128.5</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1740" w:type="dxa"/>
            <w:vAlign w:val="bottom"/>
          </w:tcPr>
          <w:p>
            <w:pPr>
              <w:ind w:left="140"/>
              <w:spacing w:after="0"/>
              <w:rPr>
                <w:sz w:val="20"/>
                <w:szCs w:val="20"/>
                <w:color w:val="auto"/>
              </w:rPr>
            </w:pPr>
            <w:r>
              <w:rPr>
                <w:rFonts w:ascii="Arial" w:cs="Arial" w:eastAsia="Arial" w:hAnsi="Arial"/>
                <w:sz w:val="16"/>
                <w:szCs w:val="16"/>
                <w:color w:val="auto"/>
              </w:rPr>
              <w:t>Market Data</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30,417</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29,227</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4.1 %</w:t>
            </w:r>
          </w:p>
        </w:tc>
        <w:tc>
          <w:tcPr>
            <w:tcW w:w="560" w:type="dxa"/>
            <w:vAlign w:val="bottom"/>
          </w:tcPr>
          <w:p>
            <w:pPr>
              <w:jc w:val="right"/>
              <w:spacing w:after="0"/>
              <w:rPr>
                <w:sz w:val="20"/>
                <w:szCs w:val="20"/>
                <w:color w:val="auto"/>
              </w:rPr>
            </w:pPr>
            <w:r>
              <w:rPr>
                <w:rFonts w:ascii="Arial" w:cs="Arial" w:eastAsia="Arial" w:hAnsi="Arial"/>
                <w:sz w:val="16"/>
                <w:szCs w:val="16"/>
                <w:color w:val="auto"/>
              </w:rPr>
              <w:t>2.9</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740" w:type="dxa"/>
            <w:vAlign w:val="bottom"/>
          </w:tcPr>
          <w:p>
            <w:pPr>
              <w:ind w:left="140"/>
              <w:spacing w:after="0"/>
              <w:rPr>
                <w:sz w:val="20"/>
                <w:szCs w:val="20"/>
                <w:color w:val="auto"/>
              </w:rPr>
            </w:pPr>
            <w:r>
              <w:rPr>
                <w:rFonts w:ascii="Arial" w:cs="Arial" w:eastAsia="Arial" w:hAnsi="Arial"/>
                <w:sz w:val="16"/>
                <w:szCs w:val="16"/>
                <w:color w:val="auto"/>
              </w:rPr>
              <w:t>Other</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7,854</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5,953</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31.9 %</w:t>
            </w:r>
          </w:p>
        </w:tc>
        <w:tc>
          <w:tcPr>
            <w:tcW w:w="560" w:type="dxa"/>
            <w:vAlign w:val="bottom"/>
          </w:tcPr>
          <w:p>
            <w:pPr>
              <w:jc w:val="right"/>
              <w:spacing w:after="0"/>
              <w:rPr>
                <w:sz w:val="20"/>
                <w:szCs w:val="20"/>
                <w:color w:val="auto"/>
              </w:rPr>
            </w:pPr>
            <w:r>
              <w:rPr>
                <w:rFonts w:ascii="Arial" w:cs="Arial" w:eastAsia="Arial" w:hAnsi="Arial"/>
                <w:sz w:val="16"/>
                <w:szCs w:val="16"/>
                <w:color w:val="auto"/>
              </w:rPr>
              <w:t>31.9</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7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175,522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136,416</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28.7 %</w:t>
            </w: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740" w:type="dxa"/>
            <w:vAlign w:val="bottom"/>
          </w:tcPr>
          <w:p>
            <w:pPr>
              <w:ind w:left="20"/>
              <w:spacing w:after="0"/>
              <w:rPr>
                <w:sz w:val="20"/>
                <w:szCs w:val="20"/>
                <w:color w:val="auto"/>
              </w:rPr>
            </w:pPr>
            <w:r>
              <w:rPr>
                <w:rFonts w:ascii="Arial" w:cs="Arial" w:eastAsia="Arial" w:hAnsi="Arial"/>
                <w:sz w:val="16"/>
                <w:szCs w:val="16"/>
                <w:color w:val="auto"/>
              </w:rPr>
              <w:t>Net income attributable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40" w:type="dxa"/>
            <w:vAlign w:val="bottom"/>
          </w:tcPr>
          <w:p>
            <w:pPr>
              <w:ind w:left="20"/>
              <w:spacing w:after="0"/>
              <w:rPr>
                <w:sz w:val="20"/>
                <w:szCs w:val="20"/>
                <w:color w:val="auto"/>
              </w:rPr>
            </w:pPr>
            <w:r>
              <w:rPr>
                <w:rFonts w:ascii="Arial" w:cs="Arial" w:eastAsia="Arial" w:hAnsi="Arial"/>
                <w:sz w:val="16"/>
                <w:szCs w:val="16"/>
                <w:color w:val="auto"/>
              </w:rPr>
              <w:t>to Tradeweb Markets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740" w:type="dxa"/>
            <w:vAlign w:val="bottom"/>
          </w:tcPr>
          <w:p>
            <w:pPr>
              <w:ind w:left="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21"/>
                <w:szCs w:val="21"/>
                <w:color w:val="auto"/>
                <w:vertAlign w:val="superscript"/>
              </w:rPr>
              <w:t>(2)</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153,782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119,239</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29.0 %</w:t>
            </w:r>
          </w:p>
        </w:tc>
        <w:tc>
          <w:tcPr>
            <w:tcW w:w="5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1740" w:type="dxa"/>
            <w:vAlign w:val="bottom"/>
          </w:tcPr>
          <w:p>
            <w:pPr>
              <w:ind w:left="20"/>
              <w:spacing w:after="0"/>
              <w:rPr>
                <w:sz w:val="20"/>
                <w:szCs w:val="20"/>
                <w:color w:val="auto"/>
              </w:rPr>
            </w:pPr>
            <w:r>
              <w:rPr>
                <w:rFonts w:ascii="Arial" w:cs="Arial" w:eastAsia="Arial" w:hAnsi="Arial"/>
                <w:sz w:val="16"/>
                <w:szCs w:val="16"/>
                <w:color w:val="auto"/>
              </w:rPr>
              <w:t>Diluted EPS</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0.71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0.55</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29.1 %</w:t>
            </w: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20"/>
              <w:spacing w:after="0"/>
              <w:rPr>
                <w:sz w:val="20"/>
                <w:szCs w:val="20"/>
                <w:color w:val="auto"/>
              </w:rPr>
            </w:pPr>
            <w:r>
              <w:rPr>
                <w:rFonts w:ascii="Arial" w:cs="Arial" w:eastAsia="Arial" w:hAnsi="Arial"/>
                <w:sz w:val="16"/>
                <w:szCs w:val="16"/>
                <w:color w:val="auto"/>
              </w:rPr>
              <w:t>Net income margin</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34.2 %</w:t>
            </w:r>
          </w:p>
        </w:tc>
        <w:tc>
          <w:tcPr>
            <w:tcW w:w="20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33.7 %</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+53 bps</w:t>
            </w: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gridSpan w:val="3"/>
          </w:tcPr>
          <w:p>
            <w:pPr>
              <w:ind w:left="20"/>
              <w:spacing w:after="0"/>
              <w:rPr>
                <w:sz w:val="20"/>
                <w:szCs w:val="20"/>
                <w:color w:val="auto"/>
              </w:rPr>
            </w:pPr>
            <w:r>
              <w:rPr>
                <w:rFonts w:ascii="Arial" w:cs="Arial" w:eastAsia="Arial" w:hAnsi="Arial"/>
                <w:sz w:val="16"/>
                <w:szCs w:val="16"/>
                <w:color w:val="auto"/>
              </w:rPr>
              <w:t>Non-GAAP Financial Measures</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740" w:type="dxa"/>
            <w:vAlign w:val="bottom"/>
          </w:tcPr>
          <w:p>
            <w:pPr>
              <w:ind w:left="20"/>
              <w:spacing w:after="0"/>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(1)</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277,896</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216,533</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28.3 %</w:t>
            </w:r>
          </w:p>
        </w:tc>
        <w:tc>
          <w:tcPr>
            <w:tcW w:w="560" w:type="dxa"/>
            <w:vAlign w:val="bottom"/>
          </w:tcPr>
          <w:p>
            <w:pPr>
              <w:jc w:val="right"/>
              <w:spacing w:after="0"/>
              <w:rPr>
                <w:sz w:val="20"/>
                <w:szCs w:val="20"/>
                <w:color w:val="auto"/>
              </w:rPr>
            </w:pPr>
            <w:r>
              <w:rPr>
                <w:rFonts w:ascii="Arial" w:cs="Arial" w:eastAsia="Arial" w:hAnsi="Arial"/>
                <w:sz w:val="16"/>
                <w:szCs w:val="16"/>
                <w:color w:val="auto"/>
              </w:rPr>
              <w:t>27.1</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74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740" w:type="dxa"/>
            <w:vAlign w:val="bottom"/>
          </w:tcPr>
          <w:p>
            <w:pPr>
              <w:ind w:left="20"/>
              <w:spacing w:after="0"/>
              <w:rPr>
                <w:sz w:val="20"/>
                <w:szCs w:val="20"/>
                <w:color w:val="auto"/>
              </w:rPr>
            </w:pPr>
            <w:r>
              <w:rPr>
                <w:rFonts w:ascii="Arial" w:cs="Arial" w:eastAsia="Arial" w:hAnsi="Arial"/>
                <w:sz w:val="16"/>
                <w:szCs w:val="16"/>
                <w:color w:val="auto"/>
              </w:rPr>
              <w:t xml:space="preserve">margin </w:t>
            </w:r>
            <w:r>
              <w:rPr>
                <w:rFonts w:ascii="Arial" w:cs="Arial" w:eastAsia="Arial" w:hAnsi="Arial"/>
                <w:sz w:val="21"/>
                <w:szCs w:val="21"/>
                <w:color w:val="auto"/>
                <w:vertAlign w:val="superscript"/>
              </w:rPr>
              <w:t>(1)</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54.2 %</w:t>
            </w:r>
          </w:p>
        </w:tc>
        <w:tc>
          <w:tcPr>
            <w:tcW w:w="20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53.5 %</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+70 bps</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+101 bps</w:t>
            </w:r>
          </w:p>
        </w:tc>
        <w:tc>
          <w:tcPr>
            <w:tcW w:w="0" w:type="dxa"/>
            <w:vAlign w:val="bottom"/>
          </w:tcPr>
          <w:p>
            <w:pPr>
              <w:spacing w:after="0"/>
              <w:rPr>
                <w:sz w:val="1"/>
                <w:szCs w:val="1"/>
                <w:color w:val="auto"/>
              </w:rPr>
            </w:pPr>
          </w:p>
        </w:tc>
      </w:tr>
      <w:tr>
        <w:trPr>
          <w:trHeight w:val="243"/>
        </w:trPr>
        <w:tc>
          <w:tcPr>
            <w:tcW w:w="1740" w:type="dxa"/>
            <w:vAlign w:val="bottom"/>
          </w:tcPr>
          <w:p>
            <w:pPr>
              <w:ind w:left="20"/>
              <w:spacing w:after="0"/>
              <w:rPr>
                <w:sz w:val="20"/>
                <w:szCs w:val="20"/>
                <w:color w:val="auto"/>
              </w:rPr>
            </w:pPr>
            <w:r>
              <w:rPr>
                <w:rFonts w:ascii="Arial" w:cs="Arial" w:eastAsia="Arial" w:hAnsi="Arial"/>
                <w:sz w:val="16"/>
                <w:szCs w:val="16"/>
                <w:color w:val="auto"/>
              </w:rPr>
              <w:t xml:space="preserve">Adjusted EBIT </w:t>
            </w:r>
            <w:r>
              <w:rPr>
                <w:rFonts w:ascii="Arial" w:cs="Arial" w:eastAsia="Arial" w:hAnsi="Arial"/>
                <w:sz w:val="21"/>
                <w:szCs w:val="21"/>
                <w:color w:val="auto"/>
                <w:vertAlign w:val="superscript"/>
              </w:rPr>
              <w:t>(1)</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260,322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201,312</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29.3 %</w:t>
            </w:r>
          </w:p>
        </w:tc>
        <w:tc>
          <w:tcPr>
            <w:tcW w:w="560" w:type="dxa"/>
            <w:vAlign w:val="bottom"/>
          </w:tcPr>
          <w:p>
            <w:pPr>
              <w:jc w:val="right"/>
              <w:spacing w:after="0"/>
              <w:rPr>
                <w:sz w:val="20"/>
                <w:szCs w:val="20"/>
                <w:color w:val="auto"/>
              </w:rPr>
            </w:pPr>
            <w:r>
              <w:rPr>
                <w:rFonts w:ascii="Arial" w:cs="Arial" w:eastAsia="Arial" w:hAnsi="Arial"/>
                <w:sz w:val="16"/>
                <w:szCs w:val="16"/>
                <w:color w:val="auto"/>
              </w:rPr>
              <w:t>28.1</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1740" w:type="dxa"/>
            <w:vAlign w:val="bottom"/>
          </w:tcPr>
          <w:p>
            <w:pPr>
              <w:ind w:left="20"/>
              <w:spacing w:after="0" w:line="163" w:lineRule="exact"/>
              <w:rPr>
                <w:sz w:val="20"/>
                <w:szCs w:val="20"/>
                <w:color w:val="auto"/>
              </w:rPr>
            </w:pPr>
            <w:r>
              <w:rPr>
                <w:rFonts w:ascii="Arial" w:cs="Arial" w:eastAsia="Arial" w:hAnsi="Arial"/>
                <w:sz w:val="16"/>
                <w:szCs w:val="16"/>
                <w:color w:val="auto"/>
              </w:rPr>
              <w:t>Adjusted EBIT margin</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50.7 %</w:t>
            </w:r>
          </w:p>
        </w:tc>
        <w:tc>
          <w:tcPr>
            <w:tcW w:w="200" w:type="dxa"/>
            <w:vAlign w:val="bottom"/>
          </w:tcPr>
          <w:p>
            <w:pPr>
              <w:spacing w:after="0"/>
              <w:rPr>
                <w:sz w:val="14"/>
                <w:szCs w:val="14"/>
                <w:color w:val="auto"/>
              </w:rPr>
            </w:pPr>
          </w:p>
        </w:tc>
        <w:tc>
          <w:tcPr>
            <w:tcW w:w="960" w:type="dxa"/>
            <w:vAlign w:val="bottom"/>
            <w:vMerge w:val="restart"/>
          </w:tcPr>
          <w:p>
            <w:pPr>
              <w:jc w:val="right"/>
              <w:ind w:right="19"/>
              <w:spacing w:after="0"/>
              <w:rPr>
                <w:sz w:val="20"/>
                <w:szCs w:val="20"/>
                <w:color w:val="auto"/>
              </w:rPr>
            </w:pPr>
            <w:r>
              <w:rPr>
                <w:rFonts w:ascii="Arial" w:cs="Arial" w:eastAsia="Arial" w:hAnsi="Arial"/>
                <w:sz w:val="16"/>
                <w:szCs w:val="16"/>
                <w:color w:val="auto"/>
              </w:rPr>
              <w:t>49.7 %</w:t>
            </w:r>
          </w:p>
        </w:tc>
        <w:tc>
          <w:tcPr>
            <w:tcW w:w="920" w:type="dxa"/>
            <w:vAlign w:val="bottom"/>
            <w:vMerge w:val="restart"/>
          </w:tcPr>
          <w:p>
            <w:pPr>
              <w:jc w:val="right"/>
              <w:ind w:right="19"/>
              <w:spacing w:after="0"/>
              <w:rPr>
                <w:sz w:val="20"/>
                <w:szCs w:val="20"/>
                <w:color w:val="auto"/>
              </w:rPr>
            </w:pPr>
            <w:r>
              <w:rPr>
                <w:rFonts w:ascii="Arial" w:cs="Arial" w:eastAsia="Arial" w:hAnsi="Arial"/>
                <w:sz w:val="16"/>
                <w:szCs w:val="16"/>
                <w:color w:val="auto"/>
              </w:rPr>
              <w:t>+104 bps</w:t>
            </w:r>
          </w:p>
        </w:tc>
        <w:tc>
          <w:tcPr>
            <w:tcW w:w="940" w:type="dxa"/>
            <w:vAlign w:val="bottom"/>
            <w:gridSpan w:val="2"/>
            <w:vMerge w:val="restart"/>
          </w:tcPr>
          <w:p>
            <w:pPr>
              <w:jc w:val="right"/>
              <w:spacing w:after="0"/>
              <w:rPr>
                <w:sz w:val="20"/>
                <w:szCs w:val="20"/>
                <w:color w:val="auto"/>
              </w:rPr>
            </w:pPr>
            <w:r>
              <w:rPr>
                <w:rFonts w:ascii="Arial" w:cs="Arial" w:eastAsia="Arial" w:hAnsi="Arial"/>
                <w:sz w:val="16"/>
                <w:szCs w:val="16"/>
                <w:color w:val="auto"/>
              </w:rPr>
              <w:t>+131 bps</w:t>
            </w:r>
          </w:p>
        </w:tc>
        <w:tc>
          <w:tcPr>
            <w:tcW w:w="0" w:type="dxa"/>
            <w:vAlign w:val="bottom"/>
          </w:tcPr>
          <w:p>
            <w:pPr>
              <w:spacing w:after="0"/>
              <w:rPr>
                <w:sz w:val="1"/>
                <w:szCs w:val="1"/>
                <w:color w:val="auto"/>
              </w:rPr>
            </w:pPr>
          </w:p>
        </w:tc>
      </w:tr>
      <w:tr>
        <w:trPr>
          <w:trHeight w:val="135"/>
        </w:trPr>
        <w:tc>
          <w:tcPr>
            <w:tcW w:w="1740" w:type="dxa"/>
            <w:vAlign w:val="bottom"/>
          </w:tcPr>
          <w:p>
            <w:pPr>
              <w:ind w:left="20"/>
              <w:spacing w:after="0"/>
              <w:rPr>
                <w:sz w:val="20"/>
                <w:szCs w:val="20"/>
                <w:color w:val="auto"/>
              </w:rPr>
            </w:pPr>
            <w:r>
              <w:rPr>
                <w:rFonts w:ascii="Arial" w:cs="Arial" w:eastAsia="Arial" w:hAnsi="Arial"/>
                <w:sz w:val="11"/>
                <w:szCs w:val="11"/>
                <w:color w:val="auto"/>
              </w:rPr>
              <w:t>(1)</w:t>
            </w:r>
          </w:p>
        </w:tc>
        <w:tc>
          <w:tcPr>
            <w:tcW w:w="26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1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1"/>
        </w:trPr>
        <w:tc>
          <w:tcPr>
            <w:tcW w:w="1740" w:type="dxa"/>
            <w:vAlign w:val="bottom"/>
          </w:tcPr>
          <w:p>
            <w:pPr>
              <w:ind w:left="20"/>
              <w:spacing w:after="0"/>
              <w:rPr>
                <w:sz w:val="20"/>
                <w:szCs w:val="20"/>
                <w:color w:val="auto"/>
              </w:rPr>
            </w:pPr>
            <w:r>
              <w:rPr>
                <w:rFonts w:ascii="Arial" w:cs="Arial" w:eastAsia="Arial" w:hAnsi="Arial"/>
                <w:sz w:val="16"/>
                <w:szCs w:val="16"/>
                <w:color w:val="auto"/>
                <w:w w:val="99"/>
              </w:rPr>
              <w:t xml:space="preserve">Adjusted Net Income </w:t>
            </w:r>
            <w:r>
              <w:rPr>
                <w:rFonts w:ascii="Arial" w:cs="Arial" w:eastAsia="Arial" w:hAnsi="Arial"/>
                <w:sz w:val="21"/>
                <w:szCs w:val="21"/>
                <w:color w:val="auto"/>
                <w:w w:val="99"/>
                <w:vertAlign w:val="superscript"/>
              </w:rPr>
              <w:t>(1)</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206,149</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166,711</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23.7 %</w:t>
            </w:r>
          </w:p>
        </w:tc>
        <w:tc>
          <w:tcPr>
            <w:tcW w:w="560" w:type="dxa"/>
            <w:vAlign w:val="bottom"/>
          </w:tcPr>
          <w:p>
            <w:pPr>
              <w:jc w:val="right"/>
              <w:spacing w:after="0"/>
              <w:rPr>
                <w:sz w:val="20"/>
                <w:szCs w:val="20"/>
                <w:color w:val="auto"/>
              </w:rPr>
            </w:pPr>
            <w:r>
              <w:rPr>
                <w:rFonts w:ascii="Arial" w:cs="Arial" w:eastAsia="Arial" w:hAnsi="Arial"/>
                <w:sz w:val="16"/>
                <w:szCs w:val="16"/>
                <w:color w:val="auto"/>
              </w:rPr>
              <w:t>22.5</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1740" w:type="dxa"/>
            <w:vAlign w:val="bottom"/>
          </w:tcPr>
          <w:p>
            <w:pPr>
              <w:ind w:left="20"/>
              <w:spacing w:after="0" w:line="163" w:lineRule="exact"/>
              <w:rPr>
                <w:sz w:val="20"/>
                <w:szCs w:val="20"/>
                <w:color w:val="auto"/>
              </w:rPr>
            </w:pPr>
            <w:r>
              <w:rPr>
                <w:rFonts w:ascii="Arial" w:cs="Arial" w:eastAsia="Arial" w:hAnsi="Arial"/>
                <w:sz w:val="16"/>
                <w:szCs w:val="16"/>
                <w:color w:val="auto"/>
              </w:rPr>
              <w:t>Adjusted Diluted EPS</w:t>
            </w:r>
          </w:p>
        </w:tc>
        <w:tc>
          <w:tcPr>
            <w:tcW w:w="26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ind w:right="139"/>
              <w:spacing w:after="0"/>
              <w:rPr>
                <w:sz w:val="20"/>
                <w:szCs w:val="20"/>
                <w:color w:val="auto"/>
              </w:rPr>
            </w:pPr>
            <w:r>
              <w:rPr>
                <w:rFonts w:ascii="Arial" w:cs="Arial" w:eastAsia="Arial" w:hAnsi="Arial"/>
                <w:sz w:val="16"/>
                <w:szCs w:val="16"/>
                <w:color w:val="auto"/>
              </w:rPr>
              <w:t>0.87</w:t>
            </w: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vMerge w:val="restart"/>
          </w:tcPr>
          <w:p>
            <w:pPr>
              <w:jc w:val="right"/>
              <w:ind w:right="199"/>
              <w:spacing w:after="0"/>
              <w:rPr>
                <w:sz w:val="20"/>
                <w:szCs w:val="20"/>
                <w:color w:val="auto"/>
              </w:rPr>
            </w:pPr>
            <w:r>
              <w:rPr>
                <w:rFonts w:ascii="Arial" w:cs="Arial" w:eastAsia="Arial" w:hAnsi="Arial"/>
                <w:sz w:val="16"/>
                <w:szCs w:val="16"/>
                <w:color w:val="auto"/>
              </w:rPr>
              <w:t>0.70</w:t>
            </w:r>
          </w:p>
        </w:tc>
        <w:tc>
          <w:tcPr>
            <w:tcW w:w="920" w:type="dxa"/>
            <w:vAlign w:val="bottom"/>
            <w:vMerge w:val="restart"/>
          </w:tcPr>
          <w:p>
            <w:pPr>
              <w:jc w:val="right"/>
              <w:ind w:right="139"/>
              <w:spacing w:after="0"/>
              <w:rPr>
                <w:sz w:val="20"/>
                <w:szCs w:val="20"/>
                <w:color w:val="auto"/>
              </w:rPr>
            </w:pPr>
            <w:r>
              <w:rPr>
                <w:rFonts w:ascii="Arial" w:cs="Arial" w:eastAsia="Arial" w:hAnsi="Arial"/>
                <w:sz w:val="16"/>
                <w:szCs w:val="16"/>
                <w:color w:val="auto"/>
              </w:rPr>
              <w:t>24.3 %</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21.4</w:t>
            </w:r>
          </w:p>
        </w:tc>
        <w:tc>
          <w:tcPr>
            <w:tcW w:w="38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5"/>
        </w:trPr>
        <w:tc>
          <w:tcPr>
            <w:tcW w:w="1740" w:type="dxa"/>
            <w:vAlign w:val="bottom"/>
          </w:tcPr>
          <w:p>
            <w:pPr>
              <w:ind w:left="20"/>
              <w:spacing w:after="0"/>
              <w:rPr>
                <w:sz w:val="20"/>
                <w:szCs w:val="20"/>
                <w:color w:val="auto"/>
              </w:rPr>
            </w:pPr>
            <w:r>
              <w:rPr>
                <w:rFonts w:ascii="Arial" w:cs="Arial" w:eastAsia="Arial" w:hAnsi="Arial"/>
                <w:sz w:val="11"/>
                <w:szCs w:val="11"/>
                <w:color w:val="auto"/>
              </w:rPr>
              <w:t>(1)</w:t>
            </w:r>
          </w:p>
        </w:tc>
        <w:tc>
          <w:tcPr>
            <w:tcW w:w="26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174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 xml:space="preserve">ADV </w:t>
      </w:r>
      <w:r>
        <w:rPr>
          <w:rFonts w:ascii="Arial" w:cs="Arial" w:eastAsia="Arial" w:hAnsi="Arial"/>
          <w:sz w:val="16"/>
          <w:szCs w:val="16"/>
          <w:color w:val="FFFFFF"/>
        </w:rPr>
        <w:t>(US $bn)</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color w:val="FFFFFF"/>
        </w:rPr>
        <w:t>(Unaudited)</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80" w:type="dxa"/>
            <w:vAlign w:val="bottom"/>
          </w:tcPr>
          <w:p>
            <w:pPr>
              <w:ind w:left="20"/>
              <w:spacing w:after="0"/>
              <w:rPr>
                <w:sz w:val="20"/>
                <w:szCs w:val="20"/>
                <w:color w:val="auto"/>
              </w:rPr>
            </w:pPr>
            <w:r>
              <w:rPr>
                <w:rFonts w:ascii="Arial" w:cs="Arial" w:eastAsia="Arial" w:hAnsi="Arial"/>
                <w:sz w:val="16"/>
                <w:szCs w:val="16"/>
                <w:b w:val="1"/>
                <w:bCs w:val="1"/>
                <w:color w:val="FFFFFF"/>
              </w:rPr>
              <w:t>Asset Class</w:t>
            </w:r>
          </w:p>
        </w:tc>
        <w:tc>
          <w:tcPr>
            <w:tcW w:w="1000" w:type="dxa"/>
            <w:vAlign w:val="bottom"/>
          </w:tcPr>
          <w:p>
            <w:pPr>
              <w:ind w:left="20"/>
              <w:spacing w:after="0"/>
              <w:rPr>
                <w:sz w:val="20"/>
                <w:szCs w:val="20"/>
                <w:color w:val="auto"/>
              </w:rPr>
            </w:pPr>
            <w:r>
              <w:rPr>
                <w:rFonts w:ascii="Arial" w:cs="Arial" w:eastAsia="Arial" w:hAnsi="Arial"/>
                <w:sz w:val="16"/>
                <w:szCs w:val="16"/>
                <w:b w:val="1"/>
                <w:bCs w:val="1"/>
                <w:color w:val="FFFFFF"/>
              </w:rPr>
              <w:t>Product</w:t>
            </w:r>
          </w:p>
        </w:tc>
        <w:tc>
          <w:tcPr>
            <w:tcW w:w="160" w:type="dxa"/>
            <w:vAlign w:val="bottom"/>
          </w:tcPr>
          <w:p>
            <w:pPr>
              <w:spacing w:after="0"/>
              <w:rPr>
                <w:sz w:val="19"/>
                <w:szCs w:val="19"/>
                <w:color w:val="auto"/>
              </w:rPr>
            </w:pPr>
          </w:p>
        </w:tc>
        <w:tc>
          <w:tcPr>
            <w:tcW w:w="660" w:type="dxa"/>
            <w:vAlign w:val="bottom"/>
          </w:tcPr>
          <w:p>
            <w:pPr>
              <w:jc w:val="right"/>
              <w:ind w:right="139"/>
              <w:spacing w:after="0"/>
              <w:rPr>
                <w:sz w:val="20"/>
                <w:szCs w:val="20"/>
                <w:color w:val="auto"/>
              </w:rPr>
            </w:pPr>
            <w:r>
              <w:rPr>
                <w:rFonts w:ascii="Arial" w:cs="Arial" w:eastAsia="Arial" w:hAnsi="Arial"/>
                <w:sz w:val="16"/>
                <w:szCs w:val="16"/>
                <w:b w:val="1"/>
                <w:bCs w:val="1"/>
                <w:color w:val="FFFFFF"/>
              </w:rPr>
              <w:t>2Q25</w:t>
            </w:r>
          </w:p>
        </w:tc>
        <w:tc>
          <w:tcPr>
            <w:tcW w:w="140" w:type="dxa"/>
            <w:vAlign w:val="bottom"/>
          </w:tcPr>
          <w:p>
            <w:pPr>
              <w:spacing w:after="0"/>
              <w:rPr>
                <w:sz w:val="19"/>
                <w:szCs w:val="19"/>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FFFFFF"/>
              </w:rPr>
              <w:t>2Q24</w:t>
            </w: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FFFFFF"/>
              </w:rPr>
              <w:t>YoY</w:t>
            </w:r>
          </w:p>
        </w:tc>
      </w:tr>
      <w:tr>
        <w:trPr>
          <w:trHeight w:val="235"/>
        </w:trPr>
        <w:tc>
          <w:tcPr>
            <w:tcW w:w="1180" w:type="dxa"/>
            <w:vAlign w:val="bottom"/>
          </w:tcPr>
          <w:p>
            <w:pPr>
              <w:ind w:left="20"/>
              <w:spacing w:after="0"/>
              <w:rPr>
                <w:sz w:val="20"/>
                <w:szCs w:val="20"/>
                <w:color w:val="auto"/>
              </w:rPr>
            </w:pPr>
            <w:r>
              <w:rPr>
                <w:rFonts w:ascii="Arial" w:cs="Arial" w:eastAsia="Arial" w:hAnsi="Arial"/>
                <w:sz w:val="16"/>
                <w:szCs w:val="16"/>
                <w:color w:val="auto"/>
              </w:rPr>
              <w:t>Rates</w:t>
            </w:r>
          </w:p>
        </w:tc>
        <w:tc>
          <w:tcPr>
            <w:tcW w:w="1000" w:type="dxa"/>
            <w:vAlign w:val="bottom"/>
          </w:tcPr>
          <w:p>
            <w:pPr>
              <w:ind w:left="20"/>
              <w:spacing w:after="0"/>
              <w:rPr>
                <w:sz w:val="20"/>
                <w:szCs w:val="20"/>
                <w:color w:val="auto"/>
              </w:rPr>
            </w:pPr>
            <w:r>
              <w:rPr>
                <w:rFonts w:ascii="Arial" w:cs="Arial" w:eastAsia="Arial" w:hAnsi="Arial"/>
                <w:sz w:val="16"/>
                <w:szCs w:val="16"/>
                <w:color w:val="auto"/>
              </w:rPr>
              <w:t>Cash</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546</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462</w:t>
            </w:r>
          </w:p>
        </w:tc>
        <w:tc>
          <w:tcPr>
            <w:tcW w:w="880" w:type="dxa"/>
            <w:vAlign w:val="bottom"/>
          </w:tcPr>
          <w:p>
            <w:pPr>
              <w:jc w:val="right"/>
              <w:spacing w:after="0"/>
              <w:rPr>
                <w:sz w:val="20"/>
                <w:szCs w:val="20"/>
                <w:color w:val="auto"/>
              </w:rPr>
            </w:pPr>
            <w:r>
              <w:rPr>
                <w:rFonts w:ascii="Arial" w:cs="Arial" w:eastAsia="Arial" w:hAnsi="Arial"/>
                <w:sz w:val="16"/>
                <w:szCs w:val="16"/>
                <w:color w:val="auto"/>
              </w:rPr>
              <w:t>18.2 %</w:t>
            </w:r>
          </w:p>
        </w:tc>
      </w:tr>
      <w:tr>
        <w:trPr>
          <w:trHeight w:val="251"/>
        </w:trPr>
        <w:tc>
          <w:tcPr>
            <w:tcW w:w="1180" w:type="dxa"/>
            <w:vAlign w:val="bottom"/>
          </w:tcPr>
          <w:p>
            <w:pPr>
              <w:spacing w:after="0"/>
              <w:rPr>
                <w:sz w:val="21"/>
                <w:szCs w:val="21"/>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897</w:t>
            </w:r>
          </w:p>
        </w:tc>
        <w:tc>
          <w:tcPr>
            <w:tcW w:w="140" w:type="dxa"/>
            <w:vAlign w:val="bottom"/>
          </w:tcPr>
          <w:p>
            <w:pPr>
              <w:spacing w:after="0"/>
              <w:rPr>
                <w:sz w:val="21"/>
                <w:szCs w:val="21"/>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787</w:t>
            </w:r>
          </w:p>
        </w:tc>
        <w:tc>
          <w:tcPr>
            <w:tcW w:w="880" w:type="dxa"/>
            <w:vAlign w:val="bottom"/>
          </w:tcPr>
          <w:p>
            <w:pPr>
              <w:jc w:val="right"/>
              <w:spacing w:after="0"/>
              <w:rPr>
                <w:sz w:val="20"/>
                <w:szCs w:val="20"/>
                <w:color w:val="auto"/>
              </w:rPr>
            </w:pPr>
            <w:r>
              <w:rPr>
                <w:rFonts w:ascii="Arial" w:cs="Arial" w:eastAsia="Arial" w:hAnsi="Arial"/>
                <w:sz w:val="16"/>
                <w:szCs w:val="16"/>
                <w:color w:val="auto"/>
              </w:rPr>
              <w:t>13.9 %</w:t>
            </w:r>
          </w:p>
        </w:tc>
      </w:tr>
      <w:tr>
        <w:trPr>
          <w:trHeight w:val="244"/>
        </w:trPr>
        <w:tc>
          <w:tcPr>
            <w:tcW w:w="118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083566"/>
            </w:tcBorders>
          </w:tcPr>
          <w:p>
            <w:pPr>
              <w:spacing w:after="0"/>
              <w:rPr>
                <w:sz w:val="21"/>
                <w:szCs w:val="21"/>
                <w:color w:val="auto"/>
              </w:rPr>
            </w:pPr>
          </w:p>
        </w:tc>
        <w:tc>
          <w:tcPr>
            <w:tcW w:w="660" w:type="dxa"/>
            <w:vAlign w:val="bottom"/>
            <w:tcBorders>
              <w:bottom w:val="single" w:sz="8" w:color="083566"/>
            </w:tcBorders>
          </w:tcPr>
          <w:p>
            <w:pPr>
              <w:jc w:val="right"/>
              <w:spacing w:after="0"/>
              <w:rPr>
                <w:sz w:val="20"/>
                <w:szCs w:val="20"/>
                <w:color w:val="auto"/>
              </w:rPr>
            </w:pPr>
            <w:r>
              <w:rPr>
                <w:rFonts w:ascii="Arial" w:cs="Arial" w:eastAsia="Arial" w:hAnsi="Arial"/>
                <w:sz w:val="16"/>
                <w:szCs w:val="16"/>
                <w:color w:val="auto"/>
              </w:rPr>
              <w:t>1,443</w:t>
            </w:r>
          </w:p>
        </w:tc>
        <w:tc>
          <w:tcPr>
            <w:tcW w:w="140" w:type="dxa"/>
            <w:vAlign w:val="bottom"/>
            <w:tcBorders>
              <w:bottom w:val="single" w:sz="8" w:color="083566"/>
            </w:tcBorders>
          </w:tcPr>
          <w:p>
            <w:pPr>
              <w:spacing w:after="0"/>
              <w:rPr>
                <w:sz w:val="21"/>
                <w:szCs w:val="21"/>
                <w:color w:val="auto"/>
              </w:rPr>
            </w:pPr>
          </w:p>
        </w:tc>
        <w:tc>
          <w:tcPr>
            <w:tcW w:w="840" w:type="dxa"/>
            <w:vAlign w:val="bottom"/>
            <w:tcBorders>
              <w:bottom w:val="single" w:sz="8" w:color="083566"/>
            </w:tcBorders>
          </w:tcPr>
          <w:p>
            <w:pPr>
              <w:jc w:val="right"/>
              <w:ind w:right="119"/>
              <w:spacing w:after="0"/>
              <w:rPr>
                <w:sz w:val="20"/>
                <w:szCs w:val="20"/>
                <w:color w:val="auto"/>
              </w:rPr>
            </w:pPr>
            <w:r>
              <w:rPr>
                <w:rFonts w:ascii="Arial" w:cs="Arial" w:eastAsia="Arial" w:hAnsi="Arial"/>
                <w:sz w:val="16"/>
                <w:szCs w:val="16"/>
                <w:color w:val="auto"/>
              </w:rPr>
              <w:t>1,249</w:t>
            </w:r>
          </w:p>
        </w:tc>
        <w:tc>
          <w:tcPr>
            <w:tcW w:w="880" w:type="dxa"/>
            <w:vAlign w:val="bottom"/>
            <w:tcBorders>
              <w:bottom w:val="single" w:sz="8" w:color="083566"/>
            </w:tcBorders>
          </w:tcPr>
          <w:p>
            <w:pPr>
              <w:jc w:val="right"/>
              <w:spacing w:after="0"/>
              <w:rPr>
                <w:sz w:val="20"/>
                <w:szCs w:val="20"/>
                <w:color w:val="auto"/>
              </w:rPr>
            </w:pPr>
            <w:r>
              <w:rPr>
                <w:rFonts w:ascii="Arial" w:cs="Arial" w:eastAsia="Arial" w:hAnsi="Arial"/>
                <w:sz w:val="16"/>
                <w:szCs w:val="16"/>
                <w:color w:val="auto"/>
              </w:rPr>
              <w:t>15.5 %</w:t>
            </w:r>
          </w:p>
        </w:tc>
      </w:tr>
      <w:tr>
        <w:trPr>
          <w:trHeight w:val="228"/>
        </w:trPr>
        <w:tc>
          <w:tcPr>
            <w:tcW w:w="1180" w:type="dxa"/>
            <w:vAlign w:val="bottom"/>
          </w:tcPr>
          <w:p>
            <w:pPr>
              <w:ind w:left="20"/>
              <w:spacing w:after="0"/>
              <w:rPr>
                <w:sz w:val="20"/>
                <w:szCs w:val="20"/>
                <w:color w:val="auto"/>
              </w:rPr>
            </w:pPr>
            <w:r>
              <w:rPr>
                <w:rFonts w:ascii="Arial" w:cs="Arial" w:eastAsia="Arial" w:hAnsi="Arial"/>
                <w:sz w:val="16"/>
                <w:szCs w:val="16"/>
                <w:color w:val="auto"/>
              </w:rPr>
              <w:t>Credit</w:t>
            </w:r>
          </w:p>
        </w:tc>
        <w:tc>
          <w:tcPr>
            <w:tcW w:w="1000" w:type="dxa"/>
            <w:vAlign w:val="bottom"/>
          </w:tcPr>
          <w:p>
            <w:pPr>
              <w:ind w:left="20"/>
              <w:spacing w:after="0"/>
              <w:rPr>
                <w:sz w:val="20"/>
                <w:szCs w:val="20"/>
                <w:color w:val="auto"/>
              </w:rPr>
            </w:pPr>
            <w:r>
              <w:rPr>
                <w:rFonts w:ascii="Arial" w:cs="Arial" w:eastAsia="Arial" w:hAnsi="Arial"/>
                <w:sz w:val="16"/>
                <w:szCs w:val="16"/>
                <w:color w:val="auto"/>
              </w:rPr>
              <w:t>Cash</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w:t>
            </w:r>
          </w:p>
        </w:tc>
        <w:tc>
          <w:tcPr>
            <w:tcW w:w="140" w:type="dxa"/>
            <w:vAlign w:val="bottom"/>
          </w:tcPr>
          <w:p>
            <w:pPr>
              <w:spacing w:after="0"/>
              <w:rPr>
                <w:sz w:val="19"/>
                <w:szCs w:val="19"/>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17</w:t>
            </w:r>
          </w:p>
        </w:tc>
        <w:tc>
          <w:tcPr>
            <w:tcW w:w="880" w:type="dxa"/>
            <w:vAlign w:val="bottom"/>
          </w:tcPr>
          <w:p>
            <w:pPr>
              <w:jc w:val="right"/>
              <w:spacing w:after="0"/>
              <w:rPr>
                <w:sz w:val="20"/>
                <w:szCs w:val="20"/>
                <w:color w:val="auto"/>
              </w:rPr>
            </w:pPr>
            <w:r>
              <w:rPr>
                <w:rFonts w:ascii="Arial" w:cs="Arial" w:eastAsia="Arial" w:hAnsi="Arial"/>
                <w:sz w:val="16"/>
                <w:szCs w:val="16"/>
                <w:color w:val="auto"/>
              </w:rPr>
              <w:t>8.1 %</w:t>
            </w:r>
          </w:p>
        </w:tc>
      </w:tr>
      <w:tr>
        <w:trPr>
          <w:trHeight w:val="251"/>
        </w:trPr>
        <w:tc>
          <w:tcPr>
            <w:tcW w:w="1180" w:type="dxa"/>
            <w:vAlign w:val="bottom"/>
          </w:tcPr>
          <w:p>
            <w:pPr>
              <w:spacing w:after="0"/>
              <w:rPr>
                <w:sz w:val="21"/>
                <w:szCs w:val="21"/>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w:t>
            </w:r>
          </w:p>
        </w:tc>
        <w:tc>
          <w:tcPr>
            <w:tcW w:w="140" w:type="dxa"/>
            <w:vAlign w:val="bottom"/>
          </w:tcPr>
          <w:p>
            <w:pPr>
              <w:spacing w:after="0"/>
              <w:rPr>
                <w:sz w:val="21"/>
                <w:szCs w:val="21"/>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13</w:t>
            </w:r>
          </w:p>
        </w:tc>
        <w:tc>
          <w:tcPr>
            <w:tcW w:w="880" w:type="dxa"/>
            <w:vAlign w:val="bottom"/>
          </w:tcPr>
          <w:p>
            <w:pPr>
              <w:jc w:val="right"/>
              <w:spacing w:after="0"/>
              <w:rPr>
                <w:sz w:val="20"/>
                <w:szCs w:val="20"/>
                <w:color w:val="auto"/>
              </w:rPr>
            </w:pPr>
            <w:r>
              <w:rPr>
                <w:rFonts w:ascii="Arial" w:cs="Arial" w:eastAsia="Arial" w:hAnsi="Arial"/>
                <w:sz w:val="16"/>
                <w:szCs w:val="16"/>
                <w:color w:val="auto"/>
              </w:rPr>
              <w:t>51.8 %</w:t>
            </w:r>
          </w:p>
        </w:tc>
      </w:tr>
      <w:tr>
        <w:trPr>
          <w:trHeight w:val="244"/>
        </w:trPr>
        <w:tc>
          <w:tcPr>
            <w:tcW w:w="118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083566"/>
            </w:tcBorders>
          </w:tcPr>
          <w:p>
            <w:pPr>
              <w:spacing w:after="0"/>
              <w:rPr>
                <w:sz w:val="21"/>
                <w:szCs w:val="21"/>
                <w:color w:val="auto"/>
              </w:rPr>
            </w:pPr>
          </w:p>
        </w:tc>
        <w:tc>
          <w:tcPr>
            <w:tcW w:w="660" w:type="dxa"/>
            <w:vAlign w:val="bottom"/>
            <w:tcBorders>
              <w:bottom w:val="single" w:sz="8" w:color="083566"/>
            </w:tcBorders>
          </w:tcPr>
          <w:p>
            <w:pPr>
              <w:jc w:val="right"/>
              <w:spacing w:after="0"/>
              <w:rPr>
                <w:sz w:val="20"/>
                <w:szCs w:val="20"/>
                <w:color w:val="auto"/>
              </w:rPr>
            </w:pPr>
            <w:r>
              <w:rPr>
                <w:rFonts w:ascii="Arial" w:cs="Arial" w:eastAsia="Arial" w:hAnsi="Arial"/>
                <w:sz w:val="16"/>
                <w:szCs w:val="16"/>
                <w:color w:val="auto"/>
              </w:rPr>
              <w:t>38</w:t>
            </w:r>
          </w:p>
        </w:tc>
        <w:tc>
          <w:tcPr>
            <w:tcW w:w="140" w:type="dxa"/>
            <w:vAlign w:val="bottom"/>
            <w:tcBorders>
              <w:bottom w:val="single" w:sz="8" w:color="083566"/>
            </w:tcBorders>
          </w:tcPr>
          <w:p>
            <w:pPr>
              <w:spacing w:after="0"/>
              <w:rPr>
                <w:sz w:val="21"/>
                <w:szCs w:val="21"/>
                <w:color w:val="auto"/>
              </w:rPr>
            </w:pPr>
          </w:p>
        </w:tc>
        <w:tc>
          <w:tcPr>
            <w:tcW w:w="840" w:type="dxa"/>
            <w:vAlign w:val="bottom"/>
            <w:tcBorders>
              <w:bottom w:val="single" w:sz="8" w:color="083566"/>
            </w:tcBorders>
          </w:tcPr>
          <w:p>
            <w:pPr>
              <w:jc w:val="right"/>
              <w:ind w:right="119"/>
              <w:spacing w:after="0"/>
              <w:rPr>
                <w:sz w:val="20"/>
                <w:szCs w:val="20"/>
                <w:color w:val="auto"/>
              </w:rPr>
            </w:pPr>
            <w:r>
              <w:rPr>
                <w:rFonts w:ascii="Arial" w:cs="Arial" w:eastAsia="Arial" w:hAnsi="Arial"/>
                <w:sz w:val="16"/>
                <w:szCs w:val="16"/>
                <w:color w:val="auto"/>
              </w:rPr>
              <w:t>30</w:t>
            </w:r>
          </w:p>
        </w:tc>
        <w:tc>
          <w:tcPr>
            <w:tcW w:w="880" w:type="dxa"/>
            <w:vAlign w:val="bottom"/>
            <w:tcBorders>
              <w:bottom w:val="single" w:sz="8" w:color="083566"/>
            </w:tcBorders>
          </w:tcPr>
          <w:p>
            <w:pPr>
              <w:jc w:val="right"/>
              <w:spacing w:after="0"/>
              <w:rPr>
                <w:sz w:val="20"/>
                <w:szCs w:val="20"/>
                <w:color w:val="auto"/>
              </w:rPr>
            </w:pPr>
            <w:r>
              <w:rPr>
                <w:rFonts w:ascii="Arial" w:cs="Arial" w:eastAsia="Arial" w:hAnsi="Arial"/>
                <w:sz w:val="16"/>
                <w:szCs w:val="16"/>
                <w:color w:val="auto"/>
              </w:rPr>
              <w:t>27.0 %</w:t>
            </w:r>
          </w:p>
        </w:tc>
      </w:tr>
      <w:tr>
        <w:trPr>
          <w:trHeight w:val="228"/>
        </w:trPr>
        <w:tc>
          <w:tcPr>
            <w:tcW w:w="1180" w:type="dxa"/>
            <w:vAlign w:val="bottom"/>
          </w:tcPr>
          <w:p>
            <w:pPr>
              <w:ind w:left="20"/>
              <w:spacing w:after="0"/>
              <w:rPr>
                <w:sz w:val="20"/>
                <w:szCs w:val="20"/>
                <w:color w:val="auto"/>
              </w:rPr>
            </w:pPr>
            <w:r>
              <w:rPr>
                <w:rFonts w:ascii="Arial" w:cs="Arial" w:eastAsia="Arial" w:hAnsi="Arial"/>
                <w:sz w:val="16"/>
                <w:szCs w:val="16"/>
                <w:color w:val="auto"/>
              </w:rPr>
              <w:t>Equities</w:t>
            </w:r>
          </w:p>
        </w:tc>
        <w:tc>
          <w:tcPr>
            <w:tcW w:w="1000" w:type="dxa"/>
            <w:vAlign w:val="bottom"/>
          </w:tcPr>
          <w:p>
            <w:pPr>
              <w:ind w:left="20"/>
              <w:spacing w:after="0"/>
              <w:rPr>
                <w:sz w:val="20"/>
                <w:szCs w:val="20"/>
                <w:color w:val="auto"/>
              </w:rPr>
            </w:pPr>
            <w:r>
              <w:rPr>
                <w:rFonts w:ascii="Arial" w:cs="Arial" w:eastAsia="Arial" w:hAnsi="Arial"/>
                <w:sz w:val="16"/>
                <w:szCs w:val="16"/>
                <w:color w:val="auto"/>
              </w:rPr>
              <w:t>Cash</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19"/>
                <w:szCs w:val="19"/>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10</w:t>
            </w:r>
          </w:p>
        </w:tc>
        <w:tc>
          <w:tcPr>
            <w:tcW w:w="880" w:type="dxa"/>
            <w:vAlign w:val="bottom"/>
          </w:tcPr>
          <w:p>
            <w:pPr>
              <w:jc w:val="right"/>
              <w:spacing w:after="0"/>
              <w:rPr>
                <w:sz w:val="20"/>
                <w:szCs w:val="20"/>
                <w:color w:val="auto"/>
              </w:rPr>
            </w:pPr>
            <w:r>
              <w:rPr>
                <w:rFonts w:ascii="Arial" w:cs="Arial" w:eastAsia="Arial" w:hAnsi="Arial"/>
                <w:sz w:val="16"/>
                <w:szCs w:val="16"/>
                <w:color w:val="auto"/>
              </w:rPr>
              <w:t>37.7 %</w:t>
            </w:r>
          </w:p>
        </w:tc>
      </w:tr>
      <w:tr>
        <w:trPr>
          <w:trHeight w:val="243"/>
        </w:trPr>
        <w:tc>
          <w:tcPr>
            <w:tcW w:w="1180" w:type="dxa"/>
            <w:vAlign w:val="bottom"/>
          </w:tcPr>
          <w:p>
            <w:pPr>
              <w:spacing w:after="0"/>
              <w:rPr>
                <w:sz w:val="21"/>
                <w:szCs w:val="21"/>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21"/>
                <w:szCs w:val="21"/>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11</w:t>
            </w:r>
          </w:p>
        </w:tc>
        <w:tc>
          <w:tcPr>
            <w:tcW w:w="880" w:type="dxa"/>
            <w:vAlign w:val="bottom"/>
          </w:tcPr>
          <w:p>
            <w:pPr>
              <w:jc w:val="right"/>
              <w:spacing w:after="0"/>
              <w:rPr>
                <w:sz w:val="20"/>
                <w:szCs w:val="20"/>
                <w:color w:val="auto"/>
              </w:rPr>
            </w:pPr>
            <w:r>
              <w:rPr>
                <w:rFonts w:ascii="Arial" w:cs="Arial" w:eastAsia="Arial" w:hAnsi="Arial"/>
                <w:sz w:val="16"/>
                <w:szCs w:val="16"/>
                <w:color w:val="auto"/>
              </w:rPr>
              <w:t>22.5 %</w:t>
            </w:r>
          </w:p>
        </w:tc>
      </w:tr>
      <w:tr>
        <w:trPr>
          <w:trHeight w:val="252"/>
        </w:trPr>
        <w:tc>
          <w:tcPr>
            <w:tcW w:w="118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083566"/>
            </w:tcBorders>
          </w:tcPr>
          <w:p>
            <w:pPr>
              <w:spacing w:after="0"/>
              <w:rPr>
                <w:sz w:val="21"/>
                <w:szCs w:val="21"/>
                <w:color w:val="auto"/>
              </w:rPr>
            </w:pPr>
          </w:p>
        </w:tc>
        <w:tc>
          <w:tcPr>
            <w:tcW w:w="660" w:type="dxa"/>
            <w:vAlign w:val="bottom"/>
            <w:tcBorders>
              <w:bottom w:val="single" w:sz="8" w:color="083566"/>
            </w:tcBorders>
          </w:tcPr>
          <w:p>
            <w:pPr>
              <w:jc w:val="right"/>
              <w:spacing w:after="0"/>
              <w:rPr>
                <w:sz w:val="20"/>
                <w:szCs w:val="20"/>
                <w:color w:val="auto"/>
              </w:rPr>
            </w:pPr>
            <w:r>
              <w:rPr>
                <w:rFonts w:ascii="Arial" w:cs="Arial" w:eastAsia="Arial" w:hAnsi="Arial"/>
                <w:sz w:val="16"/>
                <w:szCs w:val="16"/>
                <w:color w:val="auto"/>
              </w:rPr>
              <w:t>28</w:t>
            </w:r>
          </w:p>
        </w:tc>
        <w:tc>
          <w:tcPr>
            <w:tcW w:w="140" w:type="dxa"/>
            <w:vAlign w:val="bottom"/>
            <w:tcBorders>
              <w:bottom w:val="single" w:sz="8" w:color="083566"/>
            </w:tcBorders>
          </w:tcPr>
          <w:p>
            <w:pPr>
              <w:spacing w:after="0"/>
              <w:rPr>
                <w:sz w:val="21"/>
                <w:szCs w:val="21"/>
                <w:color w:val="auto"/>
              </w:rPr>
            </w:pPr>
          </w:p>
        </w:tc>
        <w:tc>
          <w:tcPr>
            <w:tcW w:w="840" w:type="dxa"/>
            <w:vAlign w:val="bottom"/>
            <w:tcBorders>
              <w:bottom w:val="single" w:sz="8" w:color="083566"/>
            </w:tcBorders>
          </w:tcPr>
          <w:p>
            <w:pPr>
              <w:jc w:val="right"/>
              <w:ind w:right="119"/>
              <w:spacing w:after="0"/>
              <w:rPr>
                <w:sz w:val="20"/>
                <w:szCs w:val="20"/>
                <w:color w:val="auto"/>
              </w:rPr>
            </w:pPr>
            <w:r>
              <w:rPr>
                <w:rFonts w:ascii="Arial" w:cs="Arial" w:eastAsia="Arial" w:hAnsi="Arial"/>
                <w:sz w:val="16"/>
                <w:szCs w:val="16"/>
                <w:color w:val="auto"/>
              </w:rPr>
              <w:t>21</w:t>
            </w:r>
          </w:p>
        </w:tc>
        <w:tc>
          <w:tcPr>
            <w:tcW w:w="880" w:type="dxa"/>
            <w:vAlign w:val="bottom"/>
            <w:tcBorders>
              <w:bottom w:val="single" w:sz="8" w:color="083566"/>
            </w:tcBorders>
          </w:tcPr>
          <w:p>
            <w:pPr>
              <w:jc w:val="right"/>
              <w:spacing w:after="0"/>
              <w:rPr>
                <w:sz w:val="20"/>
                <w:szCs w:val="20"/>
                <w:color w:val="auto"/>
              </w:rPr>
            </w:pPr>
            <w:r>
              <w:rPr>
                <w:rFonts w:ascii="Arial" w:cs="Arial" w:eastAsia="Arial" w:hAnsi="Arial"/>
                <w:sz w:val="16"/>
                <w:szCs w:val="16"/>
                <w:color w:val="auto"/>
              </w:rPr>
              <w:t>29.6 %</w:t>
            </w:r>
          </w:p>
        </w:tc>
      </w:tr>
      <w:tr>
        <w:trPr>
          <w:trHeight w:val="295"/>
        </w:trPr>
        <w:tc>
          <w:tcPr>
            <w:tcW w:w="2180" w:type="dxa"/>
            <w:vAlign w:val="bottom"/>
            <w:gridSpan w:val="2"/>
          </w:tcPr>
          <w:p>
            <w:pPr>
              <w:ind w:left="20"/>
              <w:spacing w:after="0"/>
              <w:rPr>
                <w:sz w:val="20"/>
                <w:szCs w:val="20"/>
                <w:color w:val="auto"/>
              </w:rPr>
            </w:pPr>
            <w:r>
              <w:rPr>
                <w:rFonts w:ascii="Arial" w:cs="Arial" w:eastAsia="Arial" w:hAnsi="Arial"/>
                <w:sz w:val="16"/>
                <w:szCs w:val="16"/>
                <w:color w:val="auto"/>
              </w:rPr>
              <w:t>Money Markets Cash</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1,042</w:t>
            </w:r>
          </w:p>
        </w:tc>
        <w:tc>
          <w:tcPr>
            <w:tcW w:w="140" w:type="dxa"/>
            <w:vAlign w:val="bottom"/>
          </w:tcPr>
          <w:p>
            <w:pPr>
              <w:spacing w:after="0"/>
              <w:rPr>
                <w:sz w:val="24"/>
                <w:szCs w:val="24"/>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622</w:t>
            </w:r>
          </w:p>
        </w:tc>
        <w:tc>
          <w:tcPr>
            <w:tcW w:w="880" w:type="dxa"/>
            <w:vAlign w:val="bottom"/>
          </w:tcPr>
          <w:p>
            <w:pPr>
              <w:jc w:val="right"/>
              <w:spacing w:after="0"/>
              <w:rPr>
                <w:sz w:val="20"/>
                <w:szCs w:val="20"/>
                <w:color w:val="auto"/>
              </w:rPr>
            </w:pPr>
            <w:r>
              <w:rPr>
                <w:rFonts w:ascii="Arial" w:cs="Arial" w:eastAsia="Arial" w:hAnsi="Arial"/>
                <w:sz w:val="16"/>
                <w:szCs w:val="16"/>
                <w:color w:val="auto"/>
              </w:rPr>
              <w:t>67.5 %</w:t>
            </w:r>
          </w:p>
        </w:tc>
      </w:tr>
      <w:tr>
        <w:trPr>
          <w:trHeight w:val="319"/>
        </w:trPr>
        <w:tc>
          <w:tcPr>
            <w:tcW w:w="1180" w:type="dxa"/>
            <w:vAlign w:val="bottom"/>
            <w:tcBorders>
              <w:bottom w:val="single" w:sz="8" w:color="083566"/>
            </w:tcBorders>
          </w:tcPr>
          <w:p>
            <w:pPr>
              <w:spacing w:after="0"/>
              <w:rPr>
                <w:sz w:val="24"/>
                <w:szCs w:val="24"/>
                <w:color w:val="auto"/>
              </w:rPr>
            </w:pPr>
          </w:p>
        </w:tc>
        <w:tc>
          <w:tcPr>
            <w:tcW w:w="1000" w:type="dxa"/>
            <w:vAlign w:val="bottom"/>
            <w:tcBorders>
              <w:bottom w:val="single" w:sz="8" w:color="083566"/>
            </w:tcBorders>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083566"/>
            </w:tcBorders>
          </w:tcPr>
          <w:p>
            <w:pPr>
              <w:spacing w:after="0"/>
              <w:rPr>
                <w:sz w:val="24"/>
                <w:szCs w:val="24"/>
                <w:color w:val="auto"/>
              </w:rPr>
            </w:pPr>
          </w:p>
        </w:tc>
        <w:tc>
          <w:tcPr>
            <w:tcW w:w="660" w:type="dxa"/>
            <w:vAlign w:val="bottom"/>
            <w:tcBorders>
              <w:bottom w:val="single" w:sz="8" w:color="083566"/>
            </w:tcBorders>
          </w:tcPr>
          <w:p>
            <w:pPr>
              <w:jc w:val="right"/>
              <w:spacing w:after="0"/>
              <w:rPr>
                <w:sz w:val="20"/>
                <w:szCs w:val="20"/>
                <w:color w:val="auto"/>
              </w:rPr>
            </w:pPr>
            <w:r>
              <w:rPr>
                <w:rFonts w:ascii="Arial" w:cs="Arial" w:eastAsia="Arial" w:hAnsi="Arial"/>
                <w:sz w:val="16"/>
                <w:szCs w:val="16"/>
                <w:color w:val="auto"/>
              </w:rPr>
              <w:t>1,042</w:t>
            </w:r>
          </w:p>
        </w:tc>
        <w:tc>
          <w:tcPr>
            <w:tcW w:w="140" w:type="dxa"/>
            <w:vAlign w:val="bottom"/>
            <w:tcBorders>
              <w:bottom w:val="single" w:sz="8" w:color="083566"/>
            </w:tcBorders>
          </w:tcPr>
          <w:p>
            <w:pPr>
              <w:spacing w:after="0"/>
              <w:rPr>
                <w:sz w:val="24"/>
                <w:szCs w:val="24"/>
                <w:color w:val="auto"/>
              </w:rPr>
            </w:pPr>
          </w:p>
        </w:tc>
        <w:tc>
          <w:tcPr>
            <w:tcW w:w="840" w:type="dxa"/>
            <w:vAlign w:val="bottom"/>
            <w:tcBorders>
              <w:bottom w:val="single" w:sz="8" w:color="083566"/>
            </w:tcBorders>
          </w:tcPr>
          <w:p>
            <w:pPr>
              <w:jc w:val="right"/>
              <w:ind w:right="119"/>
              <w:spacing w:after="0"/>
              <w:rPr>
                <w:sz w:val="20"/>
                <w:szCs w:val="20"/>
                <w:color w:val="auto"/>
              </w:rPr>
            </w:pPr>
            <w:r>
              <w:rPr>
                <w:rFonts w:ascii="Arial" w:cs="Arial" w:eastAsia="Arial" w:hAnsi="Arial"/>
                <w:sz w:val="16"/>
                <w:szCs w:val="16"/>
                <w:color w:val="auto"/>
              </w:rPr>
              <w:t>622</w:t>
            </w:r>
          </w:p>
        </w:tc>
        <w:tc>
          <w:tcPr>
            <w:tcW w:w="880" w:type="dxa"/>
            <w:vAlign w:val="bottom"/>
            <w:tcBorders>
              <w:bottom w:val="single" w:sz="8" w:color="083566"/>
            </w:tcBorders>
          </w:tcPr>
          <w:p>
            <w:pPr>
              <w:jc w:val="right"/>
              <w:spacing w:after="0"/>
              <w:rPr>
                <w:sz w:val="20"/>
                <w:szCs w:val="20"/>
                <w:color w:val="auto"/>
              </w:rPr>
            </w:pPr>
            <w:r>
              <w:rPr>
                <w:rFonts w:ascii="Arial" w:cs="Arial" w:eastAsia="Arial" w:hAnsi="Arial"/>
                <w:sz w:val="16"/>
                <w:szCs w:val="16"/>
                <w:color w:val="auto"/>
              </w:rPr>
              <w:t>67.5 %</w:t>
            </w:r>
          </w:p>
        </w:tc>
      </w:tr>
      <w:tr>
        <w:trPr>
          <w:trHeight w:val="235"/>
        </w:trPr>
        <w:tc>
          <w:tcPr>
            <w:tcW w:w="118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2,550</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ind w:right="159"/>
              <w:spacing w:after="0"/>
              <w:rPr>
                <w:sz w:val="20"/>
                <w:szCs w:val="20"/>
                <w:color w:val="auto"/>
              </w:rPr>
            </w:pPr>
            <w:r>
              <w:rPr>
                <w:rFonts w:ascii="Arial" w:cs="Arial" w:eastAsia="Arial" w:hAnsi="Arial"/>
                <w:sz w:val="16"/>
                <w:szCs w:val="16"/>
                <w:b w:val="1"/>
                <w:bCs w:val="1"/>
                <w:color w:val="auto"/>
              </w:rPr>
              <w:t>1,922</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32.7 %</w:t>
            </w:r>
          </w:p>
        </w:tc>
      </w:tr>
    </w:tbl>
    <w:p>
      <w:pPr>
        <w:spacing w:after="0" w:line="200" w:lineRule="exact"/>
        <w:rPr>
          <w:sz w:val="20"/>
          <w:szCs w:val="20"/>
          <w:color w:val="auto"/>
        </w:rPr>
      </w:pPr>
    </w:p>
    <w:p>
      <w:pPr>
        <w:spacing w:after="0" w:line="307" w:lineRule="exact"/>
        <w:rPr>
          <w:sz w:val="20"/>
          <w:szCs w:val="20"/>
          <w:color w:val="auto"/>
        </w:rPr>
      </w:pPr>
    </w:p>
    <w:p>
      <w:pPr>
        <w:ind w:left="260" w:right="120" w:hanging="234"/>
        <w:spacing w:after="0" w:line="261" w:lineRule="auto"/>
        <w:tabs>
          <w:tab w:leader="none" w:pos="198" w:val="left"/>
        </w:tabs>
        <w:numPr>
          <w:ilvl w:val="0"/>
          <w:numId w:val="2"/>
        </w:numPr>
        <w:rPr>
          <w:rFonts w:ascii="Arial" w:cs="Arial" w:eastAsia="Arial" w:hAnsi="Arial"/>
          <w:sz w:val="12"/>
          <w:szCs w:val="12"/>
          <w:color w:val="auto"/>
        </w:rPr>
      </w:pPr>
      <w:r>
        <w:rPr>
          <w:rFonts w:ascii="Arial" w:cs="Arial" w:eastAsia="Arial" w:hAnsi="Arial"/>
          <w:sz w:val="12"/>
          <w:szCs w:val="12"/>
          <w:color w:val="auto"/>
        </w:rPr>
        <w:t>Adjusted EBITDA, Adjusted EBITDA margin, Adjusted EBIT, Adjusted EBIT margin, Adjusted Net Income, Adjusted Diluted EPS and constant currency change are non-GAAP financial measures. See "Non-GAAP Financial Measures" below and the attached schedules for additional information and reconciliations of such non-GAAP financial measures.</w:t>
      </w:r>
    </w:p>
    <w:p>
      <w:pPr>
        <w:spacing w:after="0" w:line="5" w:lineRule="exact"/>
        <w:rPr>
          <w:rFonts w:ascii="Arial" w:cs="Arial" w:eastAsia="Arial" w:hAnsi="Arial"/>
          <w:sz w:val="12"/>
          <w:szCs w:val="12"/>
          <w:color w:val="auto"/>
        </w:rPr>
      </w:pPr>
    </w:p>
    <w:p>
      <w:pPr>
        <w:ind w:left="200" w:hanging="174"/>
        <w:spacing w:after="0"/>
        <w:tabs>
          <w:tab w:leader="none" w:pos="200" w:val="left"/>
        </w:tabs>
        <w:numPr>
          <w:ilvl w:val="0"/>
          <w:numId w:val="2"/>
        </w:numPr>
        <w:rPr>
          <w:rFonts w:ascii="Arial" w:cs="Arial" w:eastAsia="Arial" w:hAnsi="Arial"/>
          <w:sz w:val="12"/>
          <w:szCs w:val="12"/>
          <w:color w:val="auto"/>
        </w:rPr>
      </w:pPr>
      <w:r>
        <w:rPr>
          <w:rFonts w:ascii="Arial" w:cs="Arial" w:eastAsia="Arial" w:hAnsi="Arial"/>
          <w:sz w:val="12"/>
          <w:szCs w:val="12"/>
          <w:color w:val="auto"/>
        </w:rPr>
        <w:t>Represents net income less net income attributable to non-controlling interests.</w:t>
      </w:r>
    </w:p>
    <w:p>
      <w:pPr>
        <w:sectPr>
          <w:pgSz w:w="11900" w:h="16838" w:orient="portrait"/>
          <w:cols w:equalWidth="0" w:num="2">
            <w:col w:w="5900" w:space="80"/>
            <w:col w:w="4860"/>
          </w:cols>
          <w:pgMar w:left="320" w:top="179" w:right="7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b w:val="1"/>
          <w:bCs w:val="1"/>
          <w:color w:val="083566"/>
        </w:rPr>
        <w:t>DISCUSSION OF RESULTS</w:t>
      </w:r>
    </w:p>
    <w:p>
      <w:pPr>
        <w:spacing w:after="0" w:line="100"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b w:val="1"/>
          <w:bCs w:val="1"/>
          <w:color w:val="auto"/>
        </w:rPr>
        <w:t xml:space="preserve">Rates </w:t>
      </w:r>
      <w:r>
        <w:rPr>
          <w:rFonts w:ascii="Arial" w:cs="Arial" w:eastAsia="Arial" w:hAnsi="Arial"/>
          <w:sz w:val="16"/>
          <w:szCs w:val="16"/>
          <w:color w:val="auto"/>
        </w:rPr>
        <w:t>– Revenues of $274.5 million in the second quarter of 2025 increased 26.2% compared to prior year period (increased 23.9% on a constant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basis). Rates ADV was up 15.5% from prior year period, driven by record ADV in U.S. government bonds and swaps/swaptions &lt; 1-year. Strong U.S. Treasuries ADV was led by robust activity across the institutional and wholesale client channels. Global swaps/swaptions ≥ 1-year saw strong activity YoY driven by significant volatility in global rates markets, due to changes in U.S. trade policy, geopolitical tensions and shifts in investor sentiment. European</w:t>
      </w:r>
    </w:p>
    <w:p>
      <w:pPr>
        <w:spacing w:after="0" w:line="3"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 xml:space="preserve">government bonds ADV was </w:t>
      </w:r>
      <w:r>
        <w:rPr>
          <w:rFonts w:ascii="Arial" w:cs="Arial" w:eastAsia="Arial" w:hAnsi="Arial"/>
          <w:sz w:val="17"/>
          <w:szCs w:val="17"/>
          <w:color w:val="auto"/>
        </w:rPr>
        <w:t>up</w:t>
      </w:r>
      <w:r>
        <w:rPr>
          <w:rFonts w:ascii="Arial" w:cs="Arial" w:eastAsia="Arial" w:hAnsi="Arial"/>
          <w:sz w:val="16"/>
          <w:szCs w:val="16"/>
          <w:color w:val="auto"/>
        </w:rPr>
        <w:t xml:space="preserve"> 20.4% from prior year period, led by strong volumes across our institutional client channel. Mortgages ADV was up 12.7% from prior year period, reflecting strong specified pool volumes, driven by a record number of clients executing on the platform and strong To-Be-Announced ("TBA") activity, which was primarily driven by robust dollar-roll trading volume.</w:t>
      </w:r>
    </w:p>
    <w:p>
      <w:pPr>
        <w:spacing w:after="0" w:line="211"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b w:val="1"/>
          <w:bCs w:val="1"/>
          <w:color w:val="auto"/>
        </w:rPr>
        <w:t xml:space="preserve">Credit </w:t>
      </w:r>
      <w:r>
        <w:rPr>
          <w:rFonts w:ascii="Arial" w:cs="Arial" w:eastAsia="Arial" w:hAnsi="Arial"/>
          <w:sz w:val="16"/>
          <w:szCs w:val="16"/>
          <w:color w:val="auto"/>
        </w:rPr>
        <w:t>– Revenues of $124.3 million in the second quarter of 2025 increased 11.7% compared to prior year period (increased 10.5% on a constant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basis). U.S. credit ADV was up 16.2% from prior year period, driven by record ADV in fully electronic U.S. high yield credit and continued client adoption</w:t>
      </w:r>
    </w:p>
    <w:p>
      <w:pPr>
        <w:spacing w:after="0" w:line="1" w:lineRule="exact"/>
        <w:rPr>
          <w:sz w:val="20"/>
          <w:szCs w:val="20"/>
          <w:color w:val="auto"/>
        </w:rPr>
      </w:pPr>
    </w:p>
    <w:p>
      <w:pPr>
        <w:ind w:right="140"/>
        <w:spacing w:after="0" w:line="220" w:lineRule="auto"/>
        <w:rPr>
          <w:sz w:val="20"/>
          <w:szCs w:val="20"/>
          <w:color w:val="auto"/>
        </w:rPr>
      </w:pPr>
      <w:r>
        <w:rPr>
          <w:rFonts w:ascii="Arial" w:cs="Arial" w:eastAsia="Arial" w:hAnsi="Arial"/>
          <w:sz w:val="16"/>
          <w:szCs w:val="16"/>
          <w:color w:val="auto"/>
        </w:rPr>
        <w:t>across Tradeweb protocols, most notably in request-for-quote ("RFQ") and Portfolio Trading. European credit ADV was up 8.9% from prior year period, driven by strong activity across a wide range of protocols, including Tradeweb's Automated Intelligent Execution ("AiEX") tool and Tradeweb AllTrade®. We</w:t>
      </w:r>
    </w:p>
    <w:p>
      <w:pPr>
        <w:ind w:right="160"/>
        <w:spacing w:after="0" w:line="238" w:lineRule="auto"/>
        <w:rPr>
          <w:sz w:val="20"/>
          <w:szCs w:val="20"/>
          <w:color w:val="auto"/>
        </w:rPr>
      </w:pPr>
      <w:r>
        <w:rPr>
          <w:rFonts w:ascii="Arial" w:cs="Arial" w:eastAsia="Arial" w:hAnsi="Arial"/>
          <w:sz w:val="16"/>
          <w:szCs w:val="16"/>
          <w:color w:val="auto"/>
        </w:rPr>
        <w:t>reported 17.9% share of fully electronic U.S. high grade TRACE, down 100 basis points (bps) from prior year period and 8.2% share of fully electronic U.S. high yield TRACE, up 60 bps from prior year period. We also reported 26.0% total share of U.S. high grade TRACE, down 108 bps from prior year period and 10.7% total share of U.S. high yield TRACE, up 79 bps from prior year period.</w:t>
      </w:r>
    </w:p>
    <w:p>
      <w:pPr>
        <w:spacing w:after="0" w:line="220"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b w:val="1"/>
          <w:bCs w:val="1"/>
          <w:color w:val="auto"/>
        </w:rPr>
        <w:t xml:space="preserve">Equities </w:t>
      </w:r>
      <w:r>
        <w:rPr>
          <w:rFonts w:ascii="Arial" w:cs="Arial" w:eastAsia="Arial" w:hAnsi="Arial"/>
          <w:sz w:val="16"/>
          <w:szCs w:val="16"/>
          <w:color w:val="auto"/>
        </w:rPr>
        <w:t>– Revenues of $34.3 million in the second quarter of 2025 increased 49.8% compared to prior year period (increased 46.7% on a constant</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basis). Equities ADV was up 29.6% from prior year period, driven by strong growth YoY in equity derivatives, a growing client base across the U.S. and Europe, increased client adoption of Tradeweb's AiEX tool, and record ADV in European ETFs.</w:t>
      </w:r>
    </w:p>
    <w:p>
      <w:pPr>
        <w:spacing w:after="0" w:line="178"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b w:val="1"/>
          <w:bCs w:val="1"/>
          <w:color w:val="auto"/>
        </w:rPr>
        <w:t xml:space="preserve">Money Markets </w:t>
      </w:r>
      <w:r>
        <w:rPr>
          <w:rFonts w:ascii="Arial" w:cs="Arial" w:eastAsia="Arial" w:hAnsi="Arial"/>
          <w:sz w:val="16"/>
          <w:szCs w:val="16"/>
          <w:color w:val="auto"/>
        </w:rPr>
        <w:t>– Revenues of $41.6 million in the second quarter of 2025 increased 130.7% compared to prior year period (increased 128.5% on a</w:t>
      </w:r>
      <w:r>
        <w:rPr>
          <w:rFonts w:ascii="Arial" w:cs="Arial" w:eastAsia="Arial" w:hAnsi="Arial"/>
          <w:sz w:val="16"/>
          <w:szCs w:val="16"/>
          <w:b w:val="1"/>
          <w:bCs w:val="1"/>
          <w:color w:val="auto"/>
        </w:rPr>
        <w:t xml:space="preserve"> </w:t>
      </w:r>
      <w:r>
        <w:rPr>
          <w:rFonts w:ascii="Arial" w:cs="Arial" w:eastAsia="Arial" w:hAnsi="Arial"/>
          <w:sz w:val="16"/>
          <w:szCs w:val="16"/>
          <w:color w:val="auto"/>
        </w:rPr>
        <w:t>constant currency basis). Money Markets ADV was up 67.5% from prior year period, driven by contributions from the August 1, 2024 acquisition of ICD and record activity in global repurchase agreements. In the U.S., strong repo volume growth was driven by the effects of the Fed's balance sheet unwind, in addition to balances in the Fed's reverse repo facility ("RRP") remaining at relatively low levels. In Europe, increased repo volumes were driven by increased government bond issuance, as well as market volatility.</w:t>
      </w:r>
    </w:p>
    <w:p>
      <w:pPr>
        <w:spacing w:after="0" w:line="214" w:lineRule="exact"/>
        <w:rPr>
          <w:sz w:val="20"/>
          <w:szCs w:val="20"/>
          <w:color w:val="auto"/>
        </w:rPr>
      </w:pPr>
    </w:p>
    <w:p>
      <w:pPr>
        <w:ind w:right="560"/>
        <w:spacing w:after="0" w:line="304" w:lineRule="auto"/>
        <w:rPr>
          <w:sz w:val="20"/>
          <w:szCs w:val="20"/>
          <w:color w:val="auto"/>
        </w:rPr>
      </w:pPr>
      <w:r>
        <w:rPr>
          <w:rFonts w:ascii="Arial" w:cs="Arial" w:eastAsia="Arial" w:hAnsi="Arial"/>
          <w:sz w:val="16"/>
          <w:szCs w:val="16"/>
          <w:b w:val="1"/>
          <w:bCs w:val="1"/>
          <w:color w:val="auto"/>
        </w:rPr>
        <w:t xml:space="preserve">Market Data </w:t>
      </w:r>
      <w:r>
        <w:rPr>
          <w:rFonts w:ascii="Arial" w:cs="Arial" w:eastAsia="Arial" w:hAnsi="Arial"/>
          <w:sz w:val="16"/>
          <w:szCs w:val="16"/>
          <w:color w:val="auto"/>
        </w:rPr>
        <w:t>– Revenues of $30.4 million in the second quarter of 2025 increased 4.1% compared to prior year period (increased 2.9% on a constant</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basis).</w:t>
      </w:r>
    </w:p>
    <w:p>
      <w:pPr>
        <w:spacing w:after="0" w:line="168" w:lineRule="exact"/>
        <w:rPr>
          <w:sz w:val="20"/>
          <w:szCs w:val="20"/>
          <w:color w:val="auto"/>
        </w:rPr>
      </w:pPr>
    </w:p>
    <w:p>
      <w:pPr>
        <w:jc w:val="both"/>
        <w:ind w:right="280"/>
        <w:spacing w:after="0" w:line="275" w:lineRule="auto"/>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 Revenues of $7.9 million in the second quarter of 2025 increased 31.9% compared to prior year period (increased 31.9% on a constant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basis) primarily due to an increase in the value of Canton Coins earned during the second quarter of 2025, in exchange for providing services as a Super Validator and Validator on the Canton Network. The Company began providing services to the Canton Network during the third quarter of 2024.</w:t>
      </w:r>
    </w:p>
    <w:p>
      <w:pPr>
        <w:spacing w:after="0" w:line="178"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b w:val="1"/>
          <w:bCs w:val="1"/>
          <w:color w:val="auto"/>
        </w:rPr>
        <w:t xml:space="preserve">Operating Expenses </w:t>
      </w:r>
      <w:r>
        <w:rPr>
          <w:rFonts w:ascii="Arial" w:cs="Arial" w:eastAsia="Arial" w:hAnsi="Arial"/>
          <w:sz w:val="16"/>
          <w:szCs w:val="16"/>
          <w:color w:val="auto"/>
        </w:rPr>
        <w:t>of $313.1 million in the second quarter of 2025 increased 29.1% compared to $242.5 million in prior year period, primarily due to (i) an</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 in employee compensation and benefits as a result of an increase in incentive compensation expense tied to our financial performance and an increase in headcount to support our continued growth, (ii) a $14.6 million increase in foreign exchange losses and (iii) an increase in depreciation and amortization expense primarily related to the assets acquired in connection with the 2024 acquisition of ICD.</w:t>
      </w:r>
    </w:p>
    <w:p>
      <w:pPr>
        <w:spacing w:after="0" w:line="225"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b w:val="1"/>
          <w:bCs w:val="1"/>
          <w:color w:val="auto"/>
        </w:rPr>
        <w:t xml:space="preserve">Adjusted Expenses </w:t>
      </w:r>
      <w:r>
        <w:rPr>
          <w:rFonts w:ascii="Arial" w:cs="Arial" w:eastAsia="Arial" w:hAnsi="Arial"/>
          <w:sz w:val="16"/>
          <w:szCs w:val="16"/>
          <w:color w:val="auto"/>
        </w:rPr>
        <w:t>of $252.6 million in the second quarter of 2025 increased 24.1% (increased 21.5% on a constant currency basis) compared to prior</w:t>
      </w:r>
      <w:r>
        <w:rPr>
          <w:rFonts w:ascii="Arial" w:cs="Arial" w:eastAsia="Arial" w:hAnsi="Arial"/>
          <w:sz w:val="16"/>
          <w:szCs w:val="16"/>
          <w:b w:val="1"/>
          <w:bCs w:val="1"/>
          <w:color w:val="auto"/>
        </w:rPr>
        <w:t xml:space="preserve"> </w:t>
      </w:r>
      <w:r>
        <w:rPr>
          <w:rFonts w:ascii="Arial" w:cs="Arial" w:eastAsia="Arial" w:hAnsi="Arial"/>
          <w:sz w:val="16"/>
          <w:szCs w:val="16"/>
          <w:color w:val="auto"/>
        </w:rPr>
        <w:t>year period primarily due to (i) an increase in employee compensation and benefits as a result of an increase in incentive compensation expense tied to our financial performance and an increase in headcount to support our continued growth (ii) an increase in technology and communications expense due to increased investment in our data strategy and infrastructure and increased clearance and data fees driven primarily by higher trading volumes as compared to prior year period and (iii) a $3.9 million increase in foreign exchange losses. Please see "Non-GAAP Financial Measures" below for additional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RECENT HIGHLIGHTS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July 2025</w:t>
      </w:r>
    </w:p>
    <w:p>
      <w:pPr>
        <w:spacing w:after="0" w:line="35" w:lineRule="exact"/>
        <w:rPr>
          <w:sz w:val="20"/>
          <w:szCs w:val="20"/>
          <w:color w:val="auto"/>
        </w:rPr>
      </w:pPr>
    </w:p>
    <w:p>
      <w:pPr>
        <w:ind w:left="660" w:right="40" w:hanging="328"/>
        <w:spacing w:after="0" w:line="250"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Co-led a $135 million strategic fundraising round with DRW Venture Capital for Digital Asset, the company behind the pioneering Canton Network -- a next generation blockchain that combines the privacy and control of permissioned systems with the interoperability and scalability of public blockchains. The funding aims to accelerate the adoption of institutional and decentralized finance on the Canton Network.</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Enrico Bruni included in </w:t>
      </w:r>
      <w:r>
        <w:rPr>
          <w:rFonts w:ascii="Arial" w:cs="Arial" w:eastAsia="Arial" w:hAnsi="Arial"/>
          <w:sz w:val="16"/>
          <w:szCs w:val="16"/>
          <w:i w:val="1"/>
          <w:iCs w:val="1"/>
          <w:color w:val="auto"/>
        </w:rPr>
        <w:t>Financial News</w:t>
      </w:r>
      <w:r>
        <w:rPr>
          <w:rFonts w:ascii="Arial" w:cs="Arial" w:eastAsia="Arial" w:hAnsi="Arial"/>
          <w:sz w:val="16"/>
          <w:szCs w:val="16"/>
          <w:color w:val="auto"/>
        </w:rPr>
        <w:t>' Most Influential in European Finance list.</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Second Quarter 2025</w:t>
      </w:r>
    </w:p>
    <w:p>
      <w:pPr>
        <w:spacing w:after="0" w:line="21" w:lineRule="exact"/>
        <w:rPr>
          <w:sz w:val="20"/>
          <w:szCs w:val="20"/>
          <w:color w:val="auto"/>
        </w:rPr>
      </w:pPr>
    </w:p>
    <w:p>
      <w:pPr>
        <w:ind w:left="660" w:right="120" w:hanging="328"/>
        <w:spacing w:after="0" w:line="228"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Introduced direct U.S. Treasury bill (T-bill) trading for corporate treasurers via direct connection between Tradeweb's ICD Portal and its institutional trading platform.</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Appointed Sherry Marcus as Head of Artificial Intelligence in a newly-created global role for the company.</w:t>
      </w:r>
    </w:p>
    <w:p>
      <w:pPr>
        <w:spacing w:after="0" w:line="5" w:lineRule="exact"/>
        <w:rPr>
          <w:rFonts w:ascii="Arial" w:cs="Arial" w:eastAsia="Arial" w:hAnsi="Arial"/>
          <w:sz w:val="16"/>
          <w:szCs w:val="16"/>
          <w:color w:val="auto"/>
        </w:rPr>
      </w:pPr>
    </w:p>
    <w:p>
      <w:pPr>
        <w:ind w:left="660" w:right="80" w:hanging="328"/>
        <w:spacing w:after="0" w:line="234"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Participated in a collaboration with Novaprime, a mortgage technology company dedicated to making home ownership more affordable, to leverage Novaprime's lender-focused Loan Intelligence and Marketplace products and Tradeweb's electronic trading execution platform to offer a new solution for hedging mortgage-related risk for the mortgage industry.</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Introduced electronic portfolio trading for European government bonds, spanning UK Gilts, EUR and single currency notes.</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2</w:t>
      </w:r>
    </w:p>
    <w:p>
      <w:pPr>
        <w:sectPr>
          <w:pgSz w:w="11900" w:h="16838" w:orient="portrait"/>
          <w:cols w:equalWidth="0" w:num="1">
            <w:col w:w="11240"/>
          </w:cols>
          <w:pgMar w:left="320" w:top="908" w:right="339" w:bottom="1440" w:gutter="0" w:footer="0" w:header="0"/>
        </w:sectPr>
      </w:pPr>
    </w:p>
    <w:bookmarkStart w:id="5" w:name="page6"/>
    <w:bookmarkEnd w:id="5"/>
    <w:p>
      <w:pPr>
        <w:ind w:left="660" w:hanging="328"/>
        <w:spacing w:after="0" w:line="265"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Recognized in numerous awards celebrating our company and employees, including: </w:t>
      </w:r>
      <w:r>
        <w:rPr>
          <w:rFonts w:ascii="Arial" w:cs="Arial" w:eastAsia="Arial" w:hAnsi="Arial"/>
          <w:sz w:val="16"/>
          <w:szCs w:val="16"/>
          <w:i w:val="1"/>
          <w:iCs w:val="1"/>
          <w:color w:val="auto"/>
        </w:rPr>
        <w:t>Best Companies to Work For, Finance and Insurance (U.S.</w:t>
      </w:r>
      <w:r>
        <w:rPr>
          <w:rFonts w:ascii="Arial" w:cs="Arial" w:eastAsia="Arial" w:hAnsi="Arial"/>
          <w:sz w:val="16"/>
          <w:szCs w:val="16"/>
          <w:color w:val="auto"/>
        </w:rPr>
        <w:t xml:space="preserve"> </w:t>
      </w:r>
      <w:r>
        <w:rPr>
          <w:rFonts w:ascii="Arial" w:cs="Arial" w:eastAsia="Arial" w:hAnsi="Arial"/>
          <w:sz w:val="16"/>
          <w:szCs w:val="16"/>
          <w:i w:val="1"/>
          <w:iCs w:val="1"/>
          <w:color w:val="auto"/>
        </w:rPr>
        <w:t>News &amp; World Report); Best Companies to Work For, Overall (U.S. News &amp; World Report); Best Companies to Work For, Northeast (U.S. News &amp; World Report); Notable Leaders in Finance (Billy Hult) (Crain's New York Business); Best in Fixed Income, Global Finance Awards (Markets Media); Excellence in Trading Platforms, Women in Finance Asia Awards (Meha Thind) (Markets Media); Rising Stars of European Finance (Will Tarr) (Financial News)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CAPITAL MANAGEMENT</w:t>
      </w:r>
    </w:p>
    <w:p>
      <w:pPr>
        <w:spacing w:after="0" w:line="113"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$1.6 billion in cash and cash equivalents and an undrawn $500 million credit facility at June 30, 2025</w:t>
      </w:r>
    </w:p>
    <w:p>
      <w:pPr>
        <w:spacing w:after="0" w:line="30" w:lineRule="exact"/>
        <w:rPr>
          <w:rFonts w:ascii="Arial" w:cs="Arial" w:eastAsia="Arial" w:hAnsi="Arial"/>
          <w:sz w:val="16"/>
          <w:szCs w:val="16"/>
          <w:color w:val="auto"/>
        </w:rPr>
      </w:pPr>
    </w:p>
    <w:p>
      <w:pPr>
        <w:ind w:left="660" w:right="420" w:hanging="328"/>
        <w:spacing w:after="0" w:line="25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Free cash flow for the trailing twelve months ended June 30, 2025 of $951.7 million, up 31.9% compared to prior year period. See “Non-GAAP Financial Measures” for additional information</w:t>
      </w: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Cash capital expenditures and capitalized software development in the second quarter 2025 of $22.1 million</w:t>
      </w:r>
    </w:p>
    <w:p>
      <w:pPr>
        <w:spacing w:after="0" w:line="8" w:lineRule="exact"/>
        <w:rPr>
          <w:rFonts w:ascii="Arial" w:cs="Arial" w:eastAsia="Arial" w:hAnsi="Arial"/>
          <w:sz w:val="16"/>
          <w:szCs w:val="16"/>
          <w:color w:val="auto"/>
        </w:rPr>
      </w:pPr>
    </w:p>
    <w:p>
      <w:pPr>
        <w:ind w:left="660" w:right="360" w:hanging="328"/>
        <w:spacing w:after="0" w:line="252"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$179.9 million remained available for repurchase pursuant to the share repurchase program authorization as of June 30, 2025. No shares were repurchased during the second quarter of 2025</w:t>
      </w:r>
    </w:p>
    <w:p>
      <w:pPr>
        <w:spacing w:after="0" w:line="1" w:lineRule="exact"/>
        <w:rPr>
          <w:rFonts w:ascii="Arial" w:cs="Arial" w:eastAsia="Arial" w:hAnsi="Arial"/>
          <w:sz w:val="16"/>
          <w:szCs w:val="16"/>
          <w:color w:val="auto"/>
        </w:rPr>
      </w:pPr>
    </w:p>
    <w:p>
      <w:pPr>
        <w:ind w:left="660" w:right="220" w:hanging="328"/>
        <w:spacing w:after="0" w:line="249"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$43.7 thousand in shares of Class A common stock were withheld in the second quarter of 2025 to satisfy tax obligations related to the vesting of restricted stock units and performance-based restricted stock units held by employees</w:t>
      </w:r>
    </w:p>
    <w:p>
      <w:pPr>
        <w:ind w:left="660" w:right="580" w:hanging="328"/>
        <w:spacing w:after="0" w:line="283"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Board declared a quarterly cash dividend of $0.12 per share of Class A common stock and Class B common stock. The dividend will be payable on September 16, 2025 to stockholders of record as of September 2, 2025</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OTHER MATTERS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Updated Full-Year 2025 Guidance*</w:t>
      </w:r>
    </w:p>
    <w:p>
      <w:pPr>
        <w:spacing w:after="0" w:line="113" w:lineRule="exact"/>
        <w:rPr>
          <w:sz w:val="20"/>
          <w:szCs w:val="20"/>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Adjusted Expenses: $1,000 - 1,050 million (trending toward middle of range)</w:t>
      </w:r>
    </w:p>
    <w:p>
      <w:pPr>
        <w:spacing w:after="0" w:line="30" w:lineRule="exact"/>
        <w:rPr>
          <w:rFonts w:ascii="Arial" w:cs="Arial" w:eastAsia="Arial" w:hAnsi="Arial"/>
          <w:sz w:val="16"/>
          <w:szCs w:val="16"/>
          <w:color w:val="auto"/>
        </w:rPr>
      </w:pPr>
    </w:p>
    <w:p>
      <w:pPr>
        <w:ind w:left="660" w:hanging="328"/>
        <w:spacing w:after="0" w:line="23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6"/>
          <w:szCs w:val="16"/>
          <w:color w:val="auto"/>
        </w:rPr>
        <w:t>Acquisition and Refinitiv Transaction related depreciation and amortization expense: $176 million</w:t>
      </w:r>
    </w:p>
    <w:p>
      <w:pPr>
        <w:spacing w:after="0" w:line="4" w:lineRule="exact"/>
        <w:rPr>
          <w:rFonts w:ascii="Arial" w:cs="Arial" w:eastAsia="Arial" w:hAnsi="Arial"/>
          <w:sz w:val="18"/>
          <w:szCs w:val="18"/>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Assumed non-GAAP tax rate: ~24.5% - 25.5%</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Cash capital expenditures and capitalized software development: ~$99 - 109 million</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LSEG Market Data Contract Revenue: ~$90 million</w:t>
      </w:r>
    </w:p>
    <w:p>
      <w:pPr>
        <w:spacing w:after="0" w:line="246"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guidance has been revised to reflect higher adjusted expenses in light of strong business momentum and accelerated investments in future growth initiatives. Depreciation and amortization, assumed non-GAAP tax rate, expenditures and LSEG Market Data Contract Revenue guidance is unchanged from the prior quarter guidance.</w:t>
      </w:r>
    </w:p>
    <w:p>
      <w:pPr>
        <w:spacing w:after="0" w:line="219" w:lineRule="exact"/>
        <w:rPr>
          <w:sz w:val="20"/>
          <w:szCs w:val="20"/>
          <w:color w:val="auto"/>
        </w:rPr>
      </w:pPr>
    </w:p>
    <w:p>
      <w:pPr>
        <w:ind w:left="340" w:right="400"/>
        <w:spacing w:after="0" w:line="302" w:lineRule="auto"/>
        <w:rPr>
          <w:sz w:val="20"/>
          <w:szCs w:val="20"/>
          <w:color w:val="auto"/>
        </w:rPr>
      </w:pPr>
      <w:r>
        <w:rPr>
          <w:rFonts w:ascii="Arial" w:cs="Arial" w:eastAsia="Arial" w:hAnsi="Arial"/>
          <w:sz w:val="14"/>
          <w:szCs w:val="14"/>
          <w:i w:val="1"/>
          <w:iCs w:val="1"/>
          <w:color w:val="auto"/>
        </w:rPr>
        <w:t>*GAAP operating expenses and tax rate guidance are not provided due to the inherent difficulty in quantifying certain amounts due to a variety of factors including the unpredictability in the movement of foreign currency rates. Expense guidance assumes an average 2025 Sterling/US$ foreign exchange rate of 1.28.</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CONFERENCE CALL</w:t>
      </w:r>
    </w:p>
    <w:p>
      <w:pPr>
        <w:spacing w:after="0" w:line="127"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 xml:space="preserve">Tradeweb Markets will hold a conference call to discuss second quarter 2025 results starting at 9:30 AM EDT today, July 30, 2025. A live, audio webcast of the conference call along with related presentation materials will be available at </w:t>
      </w:r>
      <w:r>
        <w:rPr>
          <w:rFonts w:ascii="Arial" w:cs="Arial" w:eastAsia="Arial" w:hAnsi="Arial"/>
          <w:sz w:val="16"/>
          <w:szCs w:val="16"/>
          <w:u w:val="single" w:color="auto"/>
          <w:color w:val="0E32E1"/>
        </w:rPr>
        <w:t>https://investors.tradeweb.com/events-and-presentations</w:t>
      </w:r>
      <w:r>
        <w:rPr>
          <w:rFonts w:ascii="Arial" w:cs="Arial" w:eastAsia="Arial" w:hAnsi="Arial"/>
          <w:sz w:val="16"/>
          <w:szCs w:val="16"/>
          <w:color w:val="auto"/>
        </w:rPr>
        <w:t>.</w:t>
      </w:r>
    </w:p>
    <w:p>
      <w:pPr>
        <w:spacing w:after="0" w:line="208" w:lineRule="exact"/>
        <w:rPr>
          <w:sz w:val="20"/>
          <w:szCs w:val="20"/>
          <w:color w:val="auto"/>
        </w:rPr>
      </w:pPr>
    </w:p>
    <w:p>
      <w:pPr>
        <w:ind w:left="620" w:hanging="288"/>
        <w:spacing w:after="0"/>
        <w:tabs>
          <w:tab w:leader="none" w:pos="620" w:val="left"/>
        </w:tabs>
        <w:numPr>
          <w:ilvl w:val="0"/>
          <w:numId w:val="8"/>
        </w:numPr>
        <w:rPr>
          <w:rFonts w:ascii="Arial" w:cs="Arial" w:eastAsia="Arial" w:hAnsi="Arial"/>
          <w:sz w:val="20"/>
          <w:szCs w:val="20"/>
          <w:color w:val="auto"/>
        </w:rPr>
      </w:pPr>
      <w:r>
        <w:rPr>
          <w:rFonts w:ascii="Arial" w:cs="Arial" w:eastAsia="Arial" w:hAnsi="Arial"/>
          <w:sz w:val="16"/>
          <w:szCs w:val="16"/>
          <w:color w:val="auto"/>
        </w:rPr>
        <w:t xml:space="preserve">To join the call via audio webcast, click here: </w:t>
      </w:r>
      <w:r>
        <w:rPr>
          <w:rFonts w:ascii="Arial" w:cs="Arial" w:eastAsia="Arial" w:hAnsi="Arial"/>
          <w:sz w:val="16"/>
          <w:szCs w:val="16"/>
          <w:u w:val="single" w:color="auto"/>
          <w:color w:val="0E32E1"/>
        </w:rPr>
        <w:t>https://edge.media-server.com/mmc/p/8d5ghru6/</w:t>
      </w:r>
    </w:p>
    <w:p>
      <w:pPr>
        <w:spacing w:after="0" w:line="3" w:lineRule="exact"/>
        <w:rPr>
          <w:rFonts w:ascii="Arial" w:cs="Arial" w:eastAsia="Arial" w:hAnsi="Arial"/>
          <w:sz w:val="20"/>
          <w:szCs w:val="20"/>
          <w:color w:val="auto"/>
        </w:rPr>
      </w:pPr>
    </w:p>
    <w:p>
      <w:pPr>
        <w:ind w:left="660" w:right="80" w:hanging="328"/>
        <w:spacing w:after="0" w:line="216" w:lineRule="auto"/>
        <w:tabs>
          <w:tab w:leader="none" w:pos="621" w:val="left"/>
        </w:tabs>
        <w:numPr>
          <w:ilvl w:val="0"/>
          <w:numId w:val="8"/>
        </w:numPr>
        <w:rPr>
          <w:rFonts w:ascii="Arial" w:cs="Arial" w:eastAsia="Arial" w:hAnsi="Arial"/>
          <w:sz w:val="20"/>
          <w:szCs w:val="20"/>
          <w:color w:val="auto"/>
        </w:rPr>
      </w:pPr>
      <w:r>
        <w:rPr>
          <w:rFonts w:ascii="Arial" w:cs="Arial" w:eastAsia="Arial" w:hAnsi="Arial"/>
          <w:sz w:val="16"/>
          <w:szCs w:val="16"/>
          <w:color w:val="auto"/>
        </w:rPr>
        <w:t xml:space="preserve">To join the call via phone, please register in advance here: </w:t>
      </w:r>
      <w:r>
        <w:rPr>
          <w:rFonts w:ascii="Arial" w:cs="Arial" w:eastAsia="Arial" w:hAnsi="Arial"/>
          <w:sz w:val="16"/>
          <w:szCs w:val="16"/>
          <w:u w:val="single" w:color="auto"/>
          <w:color w:val="0E32E1"/>
        </w:rPr>
        <w:t>https://register-conf.media-server.com/register/BI18aec58059fb4fe6b48dbae5a8db94e6</w:t>
      </w:r>
      <w:r>
        <w:rPr>
          <w:rFonts w:ascii="Arial" w:cs="Arial" w:eastAsia="Arial" w:hAnsi="Arial"/>
          <w:sz w:val="16"/>
          <w:szCs w:val="16"/>
          <w:color w:val="auto"/>
        </w:rPr>
        <w:t>. Registered participants will receive an email confirmation with a unique PIN to access the conference call.</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 archived recording of the call will be available afterward at </w:t>
      </w:r>
      <w:r>
        <w:rPr>
          <w:rFonts w:ascii="Arial" w:cs="Arial" w:eastAsia="Arial" w:hAnsi="Arial"/>
          <w:sz w:val="16"/>
          <w:szCs w:val="16"/>
          <w:u w:val="single" w:color="auto"/>
          <w:color w:val="0E32E1"/>
        </w:rPr>
        <w:t>https://investors.tradeweb.com</w:t>
      </w:r>
      <w:r>
        <w:rPr>
          <w:rFonts w:ascii="Arial" w:cs="Arial" w:eastAsia="Arial" w:hAnsi="Arial"/>
          <w:sz w:val="16"/>
          <w:szCs w:val="16"/>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ABOUT TRADEWEB MARKETS</w:t>
      </w:r>
    </w:p>
    <w:p>
      <w:pPr>
        <w:spacing w:after="0" w:line="127"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 xml:space="preserve">Tradeweb Markets Inc. (Nasdaq: TW) is a leading, global operator of electronic marketplaces for rates, credit, equities and money markets. Founded in 1996, Tradeweb provides access to markets, data and analytics, electronic trading, straight-through-processing and reporting for more than 50 products to clients in the institutional, wholesale, retail and corporates markets. Advanced technologies developed by Tradeweb enhance price discovery, order execution and trade workflows while allowing for greater scale and helping to reduce risks in client trading operations. Tradeweb serves more than 3,000 clients in more than 85 countries. On average, Tradeweb facilitated more than $2.4 trillion in notional value traded per day over the past four fiscal quarters. For more information, please go to </w:t>
      </w:r>
      <w:r>
        <w:rPr>
          <w:rFonts w:ascii="Arial" w:cs="Arial" w:eastAsia="Arial" w:hAnsi="Arial"/>
          <w:sz w:val="16"/>
          <w:szCs w:val="16"/>
          <w:u w:val="single" w:color="auto"/>
          <w:color w:val="0E32E1"/>
        </w:rPr>
        <w:t>www.tradeweb.com</w:t>
      </w:r>
      <w:r>
        <w:rPr>
          <w:rFonts w:ascii="Arial" w:cs="Arial" w:eastAsia="Arial" w:hAnsi="Arial"/>
          <w:sz w:val="16"/>
          <w:szCs w:val="16"/>
          <w:color w:val="0E32E1"/>
        </w:rPr>
        <w:t>.</w:t>
      </w:r>
    </w:p>
    <w:p>
      <w:pPr>
        <w:spacing w:after="0" w:line="1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3</w:t>
      </w:r>
    </w:p>
    <w:p>
      <w:pPr>
        <w:sectPr>
          <w:pgSz w:w="11900" w:h="16838" w:orient="portrait"/>
          <w:cols w:equalWidth="0" w:num="1">
            <w:col w:w="11240"/>
          </w:cols>
          <w:pgMar w:left="320" w:top="692"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CONSOLIDATED STATEMENTS OF INCOME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(UNAUDITED)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40" w:type="dxa"/>
            <w:vAlign w:val="bottom"/>
            <w:gridSpan w:val="5"/>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9"/>
                <w:szCs w:val="19"/>
                <w:color w:val="auto"/>
              </w:rPr>
            </w:pPr>
          </w:p>
        </w:tc>
        <w:tc>
          <w:tcPr>
            <w:tcW w:w="278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Six Months Ended</w:t>
            </w:r>
          </w:p>
        </w:tc>
      </w:tr>
      <w:tr>
        <w:trPr>
          <w:trHeight w:val="247"/>
        </w:trPr>
        <w:tc>
          <w:tcPr>
            <w:tcW w:w="49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11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1100" w:type="dxa"/>
            <w:vAlign w:val="bottom"/>
            <w:tcBorders>
              <w:bottom w:val="single" w:sz="8" w:color="auto"/>
            </w:tcBorders>
          </w:tcPr>
          <w:p>
            <w:pPr>
              <w:spacing w:after="0"/>
              <w:rPr>
                <w:sz w:val="21"/>
                <w:szCs w:val="21"/>
                <w:color w:val="auto"/>
              </w:rPr>
            </w:pPr>
          </w:p>
        </w:tc>
      </w:tr>
      <w:tr>
        <w:trPr>
          <w:trHeight w:val="237"/>
        </w:trPr>
        <w:tc>
          <w:tcPr>
            <w:tcW w:w="498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D5DCE4"/>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D5DCE4"/>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r>
      <w:tr>
        <w:trPr>
          <w:trHeight w:val="227"/>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Revenues</w:t>
            </w:r>
          </w:p>
        </w:tc>
        <w:tc>
          <w:tcPr>
            <w:tcW w:w="320" w:type="dxa"/>
            <w:vAlign w:val="bottom"/>
            <w:shd w:val="clear" w:color="auto" w:fill="D5DCE4"/>
          </w:tcPr>
          <w:p>
            <w:pPr>
              <w:spacing w:after="0"/>
              <w:rPr>
                <w:sz w:val="19"/>
                <w:szCs w:val="19"/>
                <w:color w:val="auto"/>
              </w:rPr>
            </w:pPr>
          </w:p>
        </w:tc>
        <w:tc>
          <w:tcPr>
            <w:tcW w:w="4840" w:type="dxa"/>
            <w:vAlign w:val="bottom"/>
            <w:gridSpan w:val="9"/>
            <w:shd w:val="clear" w:color="auto" w:fill="D5DCE4"/>
          </w:tcPr>
          <w:p>
            <w:pPr>
              <w:jc w:val="right"/>
              <w:ind w:right="99"/>
              <w:spacing w:after="0"/>
              <w:rPr>
                <w:sz w:val="20"/>
                <w:szCs w:val="20"/>
                <w:color w:val="auto"/>
              </w:rPr>
            </w:pPr>
            <w:r>
              <w:rPr>
                <w:rFonts w:ascii="Arial" w:cs="Arial" w:eastAsia="Arial" w:hAnsi="Arial"/>
                <w:sz w:val="16"/>
                <w:szCs w:val="16"/>
                <w:b w:val="1"/>
                <w:bCs w:val="1"/>
                <w:color w:val="auto"/>
              </w:rPr>
              <w:t>(dollars in thousands, except per share amounts)</w:t>
            </w:r>
          </w:p>
        </w:tc>
        <w:tc>
          <w:tcPr>
            <w:tcW w:w="1100" w:type="dxa"/>
            <w:vAlign w:val="bottom"/>
            <w:shd w:val="clear" w:color="auto" w:fill="D5DCE4"/>
          </w:tcPr>
          <w:p>
            <w:pPr>
              <w:spacing w:after="0"/>
              <w:rPr>
                <w:sz w:val="19"/>
                <w:szCs w:val="19"/>
                <w:color w:val="auto"/>
              </w:rPr>
            </w:pPr>
          </w:p>
        </w:tc>
      </w:tr>
      <w:tr>
        <w:trPr>
          <w:trHeight w:val="235"/>
        </w:trPr>
        <w:tc>
          <w:tcPr>
            <w:tcW w:w="4980" w:type="dxa"/>
            <w:vAlign w:val="bottom"/>
          </w:tcPr>
          <w:p>
            <w:pPr>
              <w:ind w:left="140"/>
              <w:spacing w:after="0"/>
              <w:rPr>
                <w:sz w:val="20"/>
                <w:szCs w:val="20"/>
                <w:color w:val="auto"/>
              </w:rPr>
            </w:pPr>
            <w:r>
              <w:rPr>
                <w:rFonts w:ascii="Arial" w:cs="Arial" w:eastAsia="Arial" w:hAnsi="Arial"/>
                <w:sz w:val="16"/>
                <w:szCs w:val="16"/>
                <w:color w:val="auto"/>
              </w:rPr>
              <w:t>Transaction fees and commissions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429,768</w:t>
            </w:r>
          </w:p>
        </w:tc>
        <w:tc>
          <w:tcPr>
            <w:tcW w:w="8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330,475</w:t>
            </w:r>
          </w:p>
        </w:tc>
        <w:tc>
          <w:tcPr>
            <w:tcW w:w="8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851,112</w:t>
            </w:r>
          </w:p>
        </w:tc>
        <w:tc>
          <w:tcPr>
            <w:tcW w:w="8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665,926</w:t>
            </w:r>
          </w:p>
        </w:tc>
      </w:tr>
      <w:tr>
        <w:trPr>
          <w:trHeight w:val="251"/>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Subscription fees</w:t>
            </w: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57,392</w:t>
            </w:r>
          </w:p>
        </w:tc>
        <w:tc>
          <w:tcPr>
            <w:tcW w:w="80" w:type="dxa"/>
            <w:vAlign w:val="bottom"/>
            <w:shd w:val="clear" w:color="auto" w:fill="D5DCE4"/>
          </w:tcPr>
          <w:p>
            <w:pPr>
              <w:spacing w:after="0"/>
              <w:rPr>
                <w:sz w:val="21"/>
                <w:szCs w:val="21"/>
                <w:color w:val="auto"/>
              </w:rPr>
            </w:pPr>
          </w:p>
        </w:tc>
        <w:tc>
          <w:tcPr>
            <w:tcW w:w="400" w:type="dxa"/>
            <w:vAlign w:val="bottom"/>
            <w:shd w:val="clear" w:color="auto" w:fill="D5DCE4"/>
          </w:tcPr>
          <w:p>
            <w:pPr>
              <w:spacing w:after="0"/>
              <w:rPr>
                <w:sz w:val="21"/>
                <w:szCs w:val="21"/>
                <w:color w:val="auto"/>
              </w:rPr>
            </w:pP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50,746</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113,169</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spacing w:after="0"/>
              <w:rPr>
                <w:sz w:val="21"/>
                <w:szCs w:val="21"/>
                <w:color w:val="auto"/>
              </w:rPr>
            </w:pP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100,427</w:t>
            </w:r>
          </w:p>
        </w:tc>
      </w:tr>
      <w:tr>
        <w:trPr>
          <w:trHeight w:val="235"/>
        </w:trPr>
        <w:tc>
          <w:tcPr>
            <w:tcW w:w="4980" w:type="dxa"/>
            <w:vAlign w:val="bottom"/>
          </w:tcPr>
          <w:p>
            <w:pPr>
              <w:ind w:left="140"/>
              <w:spacing w:after="0"/>
              <w:rPr>
                <w:sz w:val="20"/>
                <w:szCs w:val="20"/>
                <w:color w:val="auto"/>
              </w:rPr>
            </w:pPr>
            <w:r>
              <w:rPr>
                <w:rFonts w:ascii="Arial" w:cs="Arial" w:eastAsia="Arial" w:hAnsi="Arial"/>
                <w:sz w:val="16"/>
                <w:szCs w:val="16"/>
                <w:color w:val="auto"/>
              </w:rPr>
              <w:t>LSEG market data fees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20,569</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20,581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49,494</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41,081</w:t>
            </w:r>
          </w:p>
        </w:tc>
      </w:tr>
      <w:tr>
        <w:trPr>
          <w:trHeight w:val="251"/>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D5DCE4"/>
          </w:tcPr>
          <w:p>
            <w:pPr>
              <w:spacing w:after="0"/>
              <w:rPr>
                <w:sz w:val="21"/>
                <w:szCs w:val="21"/>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5,242</w:t>
            </w:r>
          </w:p>
        </w:tc>
        <w:tc>
          <w:tcPr>
            <w:tcW w:w="80" w:type="dxa"/>
            <w:vAlign w:val="bottom"/>
            <w:shd w:val="clear" w:color="auto" w:fill="D5DCE4"/>
          </w:tcPr>
          <w:p>
            <w:pPr>
              <w:spacing w:after="0"/>
              <w:rPr>
                <w:sz w:val="21"/>
                <w:szCs w:val="21"/>
                <w:color w:val="auto"/>
              </w:rPr>
            </w:pPr>
          </w:p>
        </w:tc>
        <w:tc>
          <w:tcPr>
            <w:tcW w:w="400" w:type="dxa"/>
            <w:vAlign w:val="bottom"/>
            <w:tcBorders>
              <w:bottom w:val="single" w:sz="8" w:color="auto"/>
            </w:tcBorders>
            <w:shd w:val="clear" w:color="auto" w:fill="D5DCE4"/>
          </w:tcPr>
          <w:p>
            <w:pPr>
              <w:spacing w:after="0"/>
              <w:rPr>
                <w:sz w:val="21"/>
                <w:szCs w:val="21"/>
                <w:color w:val="auto"/>
              </w:rPr>
            </w:pPr>
          </w:p>
        </w:tc>
        <w:tc>
          <w:tcPr>
            <w:tcW w:w="11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3,149</w:t>
            </w:r>
          </w:p>
        </w:tc>
        <w:tc>
          <w:tcPr>
            <w:tcW w:w="80" w:type="dxa"/>
            <w:vAlign w:val="bottom"/>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8,873</w:t>
            </w:r>
          </w:p>
        </w:tc>
        <w:tc>
          <w:tcPr>
            <w:tcW w:w="80" w:type="dxa"/>
            <w:vAlign w:val="bottom"/>
            <w:shd w:val="clear" w:color="auto" w:fill="D5DCE4"/>
          </w:tcPr>
          <w:p>
            <w:pPr>
              <w:spacing w:after="0"/>
              <w:rPr>
                <w:sz w:val="21"/>
                <w:szCs w:val="21"/>
                <w:color w:val="auto"/>
              </w:rPr>
            </w:pPr>
          </w:p>
        </w:tc>
        <w:tc>
          <w:tcPr>
            <w:tcW w:w="420" w:type="dxa"/>
            <w:vAlign w:val="bottom"/>
            <w:tcBorders>
              <w:bottom w:val="single" w:sz="8" w:color="auto"/>
            </w:tcBorders>
            <w:shd w:val="clear" w:color="auto" w:fill="D5DCE4"/>
          </w:tcPr>
          <w:p>
            <w:pPr>
              <w:spacing w:after="0"/>
              <w:rPr>
                <w:sz w:val="21"/>
                <w:szCs w:val="21"/>
                <w:color w:val="auto"/>
              </w:rPr>
            </w:pPr>
          </w:p>
        </w:tc>
        <w:tc>
          <w:tcPr>
            <w:tcW w:w="11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6,256</w:t>
            </w:r>
          </w:p>
        </w:tc>
      </w:tr>
      <w:tr>
        <w:trPr>
          <w:trHeight w:val="233"/>
        </w:trPr>
        <w:tc>
          <w:tcPr>
            <w:tcW w:w="4980" w:type="dxa"/>
            <w:vAlign w:val="bottom"/>
          </w:tcPr>
          <w:p>
            <w:pPr>
              <w:ind w:left="220"/>
              <w:spacing w:after="0"/>
              <w:rPr>
                <w:sz w:val="20"/>
                <w:szCs w:val="20"/>
                <w:color w:val="auto"/>
              </w:rPr>
            </w:pPr>
            <w:r>
              <w:rPr>
                <w:rFonts w:ascii="Arial" w:cs="Arial" w:eastAsia="Arial" w:hAnsi="Arial"/>
                <w:sz w:val="16"/>
                <w:szCs w:val="16"/>
                <w:b w:val="1"/>
                <w:bCs w:val="1"/>
                <w:color w:val="auto"/>
              </w:rPr>
              <w:t>Total revenue</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512,971</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404,951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1,022,648</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813,690</w:t>
            </w:r>
          </w:p>
        </w:tc>
      </w:tr>
      <w:tr>
        <w:trPr>
          <w:trHeight w:val="274"/>
        </w:trPr>
        <w:tc>
          <w:tcPr>
            <w:tcW w:w="4980" w:type="dxa"/>
            <w:vAlign w:val="bottom"/>
            <w:shd w:val="clear" w:color="auto" w:fill="D5DCE4"/>
          </w:tcPr>
          <w:p>
            <w:pPr>
              <w:spacing w:after="0"/>
              <w:rPr>
                <w:sz w:val="23"/>
                <w:szCs w:val="23"/>
                <w:color w:val="auto"/>
              </w:rPr>
            </w:pPr>
          </w:p>
        </w:tc>
        <w:tc>
          <w:tcPr>
            <w:tcW w:w="320" w:type="dxa"/>
            <w:vAlign w:val="bottom"/>
            <w:shd w:val="clear" w:color="auto" w:fill="D5DCE4"/>
          </w:tcPr>
          <w:p>
            <w:pPr>
              <w:spacing w:after="0"/>
              <w:rPr>
                <w:sz w:val="23"/>
                <w:szCs w:val="23"/>
                <w:color w:val="auto"/>
              </w:rPr>
            </w:pPr>
          </w:p>
        </w:tc>
        <w:tc>
          <w:tcPr>
            <w:tcW w:w="1180" w:type="dxa"/>
            <w:vAlign w:val="bottom"/>
            <w:shd w:val="clear" w:color="auto" w:fill="D5DCE4"/>
          </w:tcPr>
          <w:p>
            <w:pPr>
              <w:spacing w:after="0"/>
              <w:rPr>
                <w:sz w:val="23"/>
                <w:szCs w:val="23"/>
                <w:color w:val="auto"/>
              </w:rPr>
            </w:pPr>
          </w:p>
        </w:tc>
        <w:tc>
          <w:tcPr>
            <w:tcW w:w="80" w:type="dxa"/>
            <w:vAlign w:val="bottom"/>
            <w:shd w:val="clear" w:color="auto" w:fill="D5DCE4"/>
          </w:tcPr>
          <w:p>
            <w:pPr>
              <w:spacing w:after="0"/>
              <w:rPr>
                <w:sz w:val="23"/>
                <w:szCs w:val="23"/>
                <w:color w:val="auto"/>
              </w:rPr>
            </w:pPr>
          </w:p>
        </w:tc>
        <w:tc>
          <w:tcPr>
            <w:tcW w:w="400" w:type="dxa"/>
            <w:vAlign w:val="bottom"/>
            <w:shd w:val="clear" w:color="auto" w:fill="D5DCE4"/>
          </w:tcPr>
          <w:p>
            <w:pPr>
              <w:spacing w:after="0"/>
              <w:rPr>
                <w:sz w:val="23"/>
                <w:szCs w:val="23"/>
                <w:color w:val="auto"/>
              </w:rPr>
            </w:pPr>
          </w:p>
        </w:tc>
        <w:tc>
          <w:tcPr>
            <w:tcW w:w="1100" w:type="dxa"/>
            <w:vAlign w:val="bottom"/>
            <w:shd w:val="clear" w:color="auto" w:fill="D5DCE4"/>
          </w:tcPr>
          <w:p>
            <w:pPr>
              <w:spacing w:after="0"/>
              <w:rPr>
                <w:sz w:val="23"/>
                <w:szCs w:val="23"/>
                <w:color w:val="auto"/>
              </w:rPr>
            </w:pPr>
          </w:p>
        </w:tc>
        <w:tc>
          <w:tcPr>
            <w:tcW w:w="80" w:type="dxa"/>
            <w:vAlign w:val="bottom"/>
            <w:shd w:val="clear" w:color="auto" w:fill="D5DCE4"/>
          </w:tcPr>
          <w:p>
            <w:pPr>
              <w:spacing w:after="0"/>
              <w:rPr>
                <w:sz w:val="23"/>
                <w:szCs w:val="23"/>
                <w:color w:val="auto"/>
              </w:rPr>
            </w:pPr>
          </w:p>
        </w:tc>
        <w:tc>
          <w:tcPr>
            <w:tcW w:w="320" w:type="dxa"/>
            <w:vAlign w:val="bottom"/>
            <w:shd w:val="clear" w:color="auto" w:fill="D5DCE4"/>
          </w:tcPr>
          <w:p>
            <w:pPr>
              <w:spacing w:after="0"/>
              <w:rPr>
                <w:sz w:val="23"/>
                <w:szCs w:val="23"/>
                <w:color w:val="auto"/>
              </w:rPr>
            </w:pPr>
          </w:p>
        </w:tc>
        <w:tc>
          <w:tcPr>
            <w:tcW w:w="1180" w:type="dxa"/>
            <w:vAlign w:val="bottom"/>
            <w:shd w:val="clear" w:color="auto" w:fill="D5DCE4"/>
          </w:tcPr>
          <w:p>
            <w:pPr>
              <w:spacing w:after="0"/>
              <w:rPr>
                <w:sz w:val="23"/>
                <w:szCs w:val="23"/>
                <w:color w:val="auto"/>
              </w:rPr>
            </w:pPr>
          </w:p>
        </w:tc>
        <w:tc>
          <w:tcPr>
            <w:tcW w:w="80" w:type="dxa"/>
            <w:vAlign w:val="bottom"/>
            <w:shd w:val="clear" w:color="auto" w:fill="D5DCE4"/>
          </w:tcPr>
          <w:p>
            <w:pPr>
              <w:spacing w:after="0"/>
              <w:rPr>
                <w:sz w:val="23"/>
                <w:szCs w:val="23"/>
                <w:color w:val="auto"/>
              </w:rPr>
            </w:pPr>
          </w:p>
        </w:tc>
        <w:tc>
          <w:tcPr>
            <w:tcW w:w="420" w:type="dxa"/>
            <w:vAlign w:val="bottom"/>
            <w:shd w:val="clear" w:color="auto" w:fill="D5DCE4"/>
          </w:tcPr>
          <w:p>
            <w:pPr>
              <w:spacing w:after="0"/>
              <w:rPr>
                <w:sz w:val="23"/>
                <w:szCs w:val="23"/>
                <w:color w:val="auto"/>
              </w:rPr>
            </w:pPr>
          </w:p>
        </w:tc>
        <w:tc>
          <w:tcPr>
            <w:tcW w:w="1100" w:type="dxa"/>
            <w:vAlign w:val="bottom"/>
            <w:shd w:val="clear" w:color="auto" w:fill="D5DCE4"/>
          </w:tcPr>
          <w:p>
            <w:pPr>
              <w:spacing w:after="0"/>
              <w:rPr>
                <w:sz w:val="23"/>
                <w:szCs w:val="23"/>
                <w:color w:val="auto"/>
              </w:rPr>
            </w:pPr>
          </w:p>
        </w:tc>
      </w:tr>
      <w:tr>
        <w:trPr>
          <w:trHeight w:val="239"/>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47"/>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Employee compensation and benefits</w:t>
            </w: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169,693</w:t>
            </w:r>
          </w:p>
        </w:tc>
        <w:tc>
          <w:tcPr>
            <w:tcW w:w="80" w:type="dxa"/>
            <w:vAlign w:val="bottom"/>
            <w:shd w:val="clear" w:color="auto" w:fill="D5DCE4"/>
          </w:tcPr>
          <w:p>
            <w:pPr>
              <w:spacing w:after="0"/>
              <w:rPr>
                <w:sz w:val="21"/>
                <w:szCs w:val="21"/>
                <w:color w:val="auto"/>
              </w:rPr>
            </w:pPr>
          </w:p>
        </w:tc>
        <w:tc>
          <w:tcPr>
            <w:tcW w:w="400" w:type="dxa"/>
            <w:vAlign w:val="bottom"/>
            <w:shd w:val="clear" w:color="auto" w:fill="D5DCE4"/>
          </w:tcPr>
          <w:p>
            <w:pPr>
              <w:spacing w:after="0"/>
              <w:rPr>
                <w:sz w:val="21"/>
                <w:szCs w:val="21"/>
                <w:color w:val="auto"/>
              </w:rPr>
            </w:pP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137,236</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346,570</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spacing w:after="0"/>
              <w:rPr>
                <w:sz w:val="21"/>
                <w:szCs w:val="21"/>
                <w:color w:val="auto"/>
              </w:rPr>
            </w:pP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280,323</w:t>
            </w:r>
          </w:p>
        </w:tc>
      </w:tr>
      <w:tr>
        <w:trPr>
          <w:trHeight w:val="235"/>
        </w:trPr>
        <w:tc>
          <w:tcPr>
            <w:tcW w:w="498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63,048</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49,936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125,747</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99,273</w:t>
            </w:r>
          </w:p>
        </w:tc>
      </w:tr>
      <w:tr>
        <w:trPr>
          <w:trHeight w:val="251"/>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Technology and communications</w:t>
            </w: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30,212</w:t>
            </w:r>
          </w:p>
        </w:tc>
        <w:tc>
          <w:tcPr>
            <w:tcW w:w="80" w:type="dxa"/>
            <w:vAlign w:val="bottom"/>
            <w:shd w:val="clear" w:color="auto" w:fill="D5DCE4"/>
          </w:tcPr>
          <w:p>
            <w:pPr>
              <w:spacing w:after="0"/>
              <w:rPr>
                <w:sz w:val="21"/>
                <w:szCs w:val="21"/>
                <w:color w:val="auto"/>
              </w:rPr>
            </w:pPr>
          </w:p>
        </w:tc>
        <w:tc>
          <w:tcPr>
            <w:tcW w:w="400" w:type="dxa"/>
            <w:vAlign w:val="bottom"/>
            <w:shd w:val="clear" w:color="auto" w:fill="D5DCE4"/>
          </w:tcPr>
          <w:p>
            <w:pPr>
              <w:spacing w:after="0"/>
              <w:rPr>
                <w:sz w:val="21"/>
                <w:szCs w:val="21"/>
                <w:color w:val="auto"/>
              </w:rPr>
            </w:pP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24,230</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58,940</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spacing w:after="0"/>
              <w:rPr>
                <w:sz w:val="21"/>
                <w:szCs w:val="21"/>
                <w:color w:val="auto"/>
              </w:rPr>
            </w:pP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45,540</w:t>
            </w:r>
          </w:p>
        </w:tc>
      </w:tr>
      <w:tr>
        <w:trPr>
          <w:trHeight w:val="235"/>
        </w:trPr>
        <w:tc>
          <w:tcPr>
            <w:tcW w:w="4980" w:type="dxa"/>
            <w:vAlign w:val="bottom"/>
          </w:tcPr>
          <w:p>
            <w:pPr>
              <w:ind w:left="140"/>
              <w:spacing w:after="0"/>
              <w:rPr>
                <w:sz w:val="20"/>
                <w:szCs w:val="20"/>
                <w:color w:val="auto"/>
              </w:rPr>
            </w:pPr>
            <w:r>
              <w:rPr>
                <w:rFonts w:ascii="Arial" w:cs="Arial" w:eastAsia="Arial" w:hAnsi="Arial"/>
                <w:sz w:val="16"/>
                <w:szCs w:val="16"/>
                <w:color w:val="auto"/>
              </w:rPr>
              <w:t>General and administrative</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29,984</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12,755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49,724</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23,609</w:t>
            </w:r>
          </w:p>
        </w:tc>
      </w:tr>
      <w:tr>
        <w:trPr>
          <w:trHeight w:val="251"/>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Professional fees</w:t>
            </w: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14,159</w:t>
            </w:r>
          </w:p>
        </w:tc>
        <w:tc>
          <w:tcPr>
            <w:tcW w:w="80" w:type="dxa"/>
            <w:vAlign w:val="bottom"/>
            <w:shd w:val="clear" w:color="auto" w:fill="D5DCE4"/>
          </w:tcPr>
          <w:p>
            <w:pPr>
              <w:spacing w:after="0"/>
              <w:rPr>
                <w:sz w:val="21"/>
                <w:szCs w:val="21"/>
                <w:color w:val="auto"/>
              </w:rPr>
            </w:pPr>
          </w:p>
        </w:tc>
        <w:tc>
          <w:tcPr>
            <w:tcW w:w="400" w:type="dxa"/>
            <w:vAlign w:val="bottom"/>
            <w:shd w:val="clear" w:color="auto" w:fill="D5DCE4"/>
          </w:tcPr>
          <w:p>
            <w:pPr>
              <w:spacing w:after="0"/>
              <w:rPr>
                <w:sz w:val="21"/>
                <w:szCs w:val="21"/>
                <w:color w:val="auto"/>
              </w:rPr>
            </w:pP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13,324</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26,617</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spacing w:after="0"/>
              <w:rPr>
                <w:sz w:val="21"/>
                <w:szCs w:val="21"/>
                <w:color w:val="auto"/>
              </w:rPr>
            </w:pP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25,124</w:t>
            </w:r>
          </w:p>
        </w:tc>
      </w:tr>
      <w:tr>
        <w:trPr>
          <w:trHeight w:val="237"/>
        </w:trPr>
        <w:tc>
          <w:tcPr>
            <w:tcW w:w="4980" w:type="dxa"/>
            <w:vAlign w:val="bottom"/>
            <w:tcBorders>
              <w:bottom w:val="single" w:sz="8" w:color="D5DCE4"/>
            </w:tcBorders>
          </w:tcPr>
          <w:p>
            <w:pPr>
              <w:ind w:left="140"/>
              <w:spacing w:after="0"/>
              <w:rPr>
                <w:sz w:val="20"/>
                <w:szCs w:val="20"/>
                <w:color w:val="auto"/>
              </w:rPr>
            </w:pPr>
            <w:r>
              <w:rPr>
                <w:rFonts w:ascii="Arial" w:cs="Arial" w:eastAsia="Arial" w:hAnsi="Arial"/>
                <w:sz w:val="16"/>
                <w:szCs w:val="16"/>
                <w:color w:val="auto"/>
              </w:rPr>
              <w:t>Occupancy</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6,022</w:t>
            </w:r>
          </w:p>
        </w:tc>
        <w:tc>
          <w:tcPr>
            <w:tcW w:w="80" w:type="dxa"/>
            <w:vAlign w:val="bottom"/>
            <w:tcBorders>
              <w:bottom w:val="single" w:sz="8" w:color="D5DCE4"/>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4,976</w:t>
            </w:r>
          </w:p>
        </w:tc>
        <w:tc>
          <w:tcPr>
            <w:tcW w:w="8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11,096</w:t>
            </w:r>
          </w:p>
        </w:tc>
        <w:tc>
          <w:tcPr>
            <w:tcW w:w="80" w:type="dxa"/>
            <w:vAlign w:val="bottom"/>
            <w:tcBorders>
              <w:bottom w:val="single" w:sz="8" w:color="D5DCE4"/>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9,649</w:t>
            </w:r>
          </w:p>
        </w:tc>
      </w:tr>
      <w:tr>
        <w:trPr>
          <w:trHeight w:val="243"/>
        </w:trPr>
        <w:tc>
          <w:tcPr>
            <w:tcW w:w="4980" w:type="dxa"/>
            <w:vAlign w:val="bottom"/>
            <w:shd w:val="clear" w:color="auto" w:fill="D5DCE4"/>
          </w:tcPr>
          <w:p>
            <w:pPr>
              <w:ind w:left="220"/>
              <w:spacing w:after="0"/>
              <w:rPr>
                <w:sz w:val="20"/>
                <w:szCs w:val="20"/>
                <w:color w:val="auto"/>
              </w:rPr>
            </w:pPr>
            <w:r>
              <w:rPr>
                <w:rFonts w:ascii="Arial" w:cs="Arial" w:eastAsia="Arial" w:hAnsi="Arial"/>
                <w:sz w:val="16"/>
                <w:szCs w:val="16"/>
                <w:b w:val="1"/>
                <w:bCs w:val="1"/>
                <w:color w:val="auto"/>
              </w:rPr>
              <w:t>Total expenses</w:t>
            </w:r>
          </w:p>
        </w:tc>
        <w:tc>
          <w:tcPr>
            <w:tcW w:w="320" w:type="dxa"/>
            <w:vAlign w:val="bottom"/>
            <w:tcBorders>
              <w:bottom w:val="single" w:sz="8" w:color="auto"/>
            </w:tcBorders>
            <w:shd w:val="clear" w:color="auto" w:fill="D5DCE4"/>
          </w:tcPr>
          <w:p>
            <w:pPr>
              <w:spacing w:after="0"/>
              <w:rPr>
                <w:sz w:val="21"/>
                <w:szCs w:val="21"/>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313,118</w:t>
            </w:r>
          </w:p>
        </w:tc>
        <w:tc>
          <w:tcPr>
            <w:tcW w:w="80" w:type="dxa"/>
            <w:vAlign w:val="bottom"/>
            <w:shd w:val="clear" w:color="auto" w:fill="D5DCE4"/>
          </w:tcPr>
          <w:p>
            <w:pPr>
              <w:spacing w:after="0"/>
              <w:rPr>
                <w:sz w:val="21"/>
                <w:szCs w:val="21"/>
                <w:color w:val="auto"/>
              </w:rPr>
            </w:pPr>
          </w:p>
        </w:tc>
        <w:tc>
          <w:tcPr>
            <w:tcW w:w="400" w:type="dxa"/>
            <w:vAlign w:val="bottom"/>
            <w:tcBorders>
              <w:bottom w:val="single" w:sz="8" w:color="auto"/>
            </w:tcBorders>
            <w:shd w:val="clear" w:color="auto" w:fill="D5DCE4"/>
          </w:tcPr>
          <w:p>
            <w:pPr>
              <w:spacing w:after="0"/>
              <w:rPr>
                <w:sz w:val="21"/>
                <w:szCs w:val="21"/>
                <w:color w:val="auto"/>
              </w:rPr>
            </w:pPr>
          </w:p>
        </w:tc>
        <w:tc>
          <w:tcPr>
            <w:tcW w:w="11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242,457</w:t>
            </w:r>
          </w:p>
        </w:tc>
        <w:tc>
          <w:tcPr>
            <w:tcW w:w="80" w:type="dxa"/>
            <w:vAlign w:val="bottom"/>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618,694</w:t>
            </w:r>
          </w:p>
        </w:tc>
        <w:tc>
          <w:tcPr>
            <w:tcW w:w="80" w:type="dxa"/>
            <w:vAlign w:val="bottom"/>
            <w:shd w:val="clear" w:color="auto" w:fill="D5DCE4"/>
          </w:tcPr>
          <w:p>
            <w:pPr>
              <w:spacing w:after="0"/>
              <w:rPr>
                <w:sz w:val="21"/>
                <w:szCs w:val="21"/>
                <w:color w:val="auto"/>
              </w:rPr>
            </w:pPr>
          </w:p>
        </w:tc>
        <w:tc>
          <w:tcPr>
            <w:tcW w:w="420" w:type="dxa"/>
            <w:vAlign w:val="bottom"/>
            <w:tcBorders>
              <w:bottom w:val="single" w:sz="8" w:color="auto"/>
            </w:tcBorders>
            <w:shd w:val="clear" w:color="auto" w:fill="D5DCE4"/>
          </w:tcPr>
          <w:p>
            <w:pPr>
              <w:spacing w:after="0"/>
              <w:rPr>
                <w:sz w:val="21"/>
                <w:szCs w:val="21"/>
                <w:color w:val="auto"/>
              </w:rPr>
            </w:pPr>
          </w:p>
        </w:tc>
        <w:tc>
          <w:tcPr>
            <w:tcW w:w="11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483,518</w:t>
            </w:r>
          </w:p>
        </w:tc>
      </w:tr>
      <w:tr>
        <w:trPr>
          <w:trHeight w:val="233"/>
        </w:trPr>
        <w:tc>
          <w:tcPr>
            <w:tcW w:w="4980" w:type="dxa"/>
            <w:vAlign w:val="bottom"/>
            <w:tcBorders>
              <w:bottom w:val="single" w:sz="8" w:color="D5DCE4"/>
            </w:tcBorders>
          </w:tcPr>
          <w:p>
            <w:pPr>
              <w:ind w:left="20"/>
              <w:spacing w:after="0"/>
              <w:rPr>
                <w:sz w:val="20"/>
                <w:szCs w:val="20"/>
                <w:color w:val="auto"/>
              </w:rPr>
            </w:pPr>
            <w:r>
              <w:rPr>
                <w:rFonts w:ascii="Arial" w:cs="Arial" w:eastAsia="Arial" w:hAnsi="Arial"/>
                <w:sz w:val="16"/>
                <w:szCs w:val="16"/>
                <w:b w:val="1"/>
                <w:bCs w:val="1"/>
                <w:color w:val="auto"/>
              </w:rPr>
              <w:t>Operating income</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199,853</w:t>
            </w:r>
          </w:p>
        </w:tc>
        <w:tc>
          <w:tcPr>
            <w:tcW w:w="80" w:type="dxa"/>
            <w:vAlign w:val="bottom"/>
            <w:tcBorders>
              <w:bottom w:val="single" w:sz="8" w:color="D5DCE4"/>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162,494</w:t>
            </w:r>
          </w:p>
        </w:tc>
        <w:tc>
          <w:tcPr>
            <w:tcW w:w="8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403,954</w:t>
            </w:r>
          </w:p>
        </w:tc>
        <w:tc>
          <w:tcPr>
            <w:tcW w:w="80" w:type="dxa"/>
            <w:vAlign w:val="bottom"/>
            <w:tcBorders>
              <w:bottom w:val="single" w:sz="8" w:color="D5DCE4"/>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330,172</w:t>
            </w:r>
          </w:p>
        </w:tc>
      </w:tr>
      <w:tr>
        <w:trPr>
          <w:trHeight w:val="240"/>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Interest income</w:t>
            </w:r>
          </w:p>
        </w:tc>
        <w:tc>
          <w:tcPr>
            <w:tcW w:w="320" w:type="dxa"/>
            <w:vAlign w:val="bottom"/>
            <w:shd w:val="clear" w:color="auto" w:fill="D5DCE4"/>
          </w:tcPr>
          <w:p>
            <w:pPr>
              <w:spacing w:after="0"/>
              <w:rPr>
                <w:sz w:val="20"/>
                <w:szCs w:val="20"/>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14,972</w:t>
            </w:r>
          </w:p>
        </w:tc>
        <w:tc>
          <w:tcPr>
            <w:tcW w:w="80" w:type="dxa"/>
            <w:vAlign w:val="bottom"/>
            <w:shd w:val="clear" w:color="auto" w:fill="D5DCE4"/>
          </w:tcPr>
          <w:p>
            <w:pPr>
              <w:spacing w:after="0"/>
              <w:rPr>
                <w:sz w:val="20"/>
                <w:szCs w:val="20"/>
                <w:color w:val="auto"/>
              </w:rPr>
            </w:pPr>
          </w:p>
        </w:tc>
        <w:tc>
          <w:tcPr>
            <w:tcW w:w="400" w:type="dxa"/>
            <w:vAlign w:val="bottom"/>
            <w:shd w:val="clear" w:color="auto" w:fill="D5DCE4"/>
          </w:tcPr>
          <w:p>
            <w:pPr>
              <w:spacing w:after="0"/>
              <w:rPr>
                <w:sz w:val="20"/>
                <w:szCs w:val="20"/>
                <w:color w:val="auto"/>
              </w:rPr>
            </w:pP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21,511</w:t>
            </w:r>
          </w:p>
        </w:tc>
        <w:tc>
          <w:tcPr>
            <w:tcW w:w="80" w:type="dxa"/>
            <w:vAlign w:val="bottom"/>
            <w:shd w:val="clear" w:color="auto" w:fill="D5DCE4"/>
          </w:tcPr>
          <w:p>
            <w:pPr>
              <w:spacing w:after="0"/>
              <w:rPr>
                <w:sz w:val="20"/>
                <w:szCs w:val="20"/>
                <w:color w:val="auto"/>
              </w:rPr>
            </w:pPr>
          </w:p>
        </w:tc>
        <w:tc>
          <w:tcPr>
            <w:tcW w:w="320" w:type="dxa"/>
            <w:vAlign w:val="bottom"/>
            <w:shd w:val="clear" w:color="auto" w:fill="D5DCE4"/>
          </w:tcPr>
          <w:p>
            <w:pPr>
              <w:spacing w:after="0"/>
              <w:rPr>
                <w:sz w:val="20"/>
                <w:szCs w:val="20"/>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28,821</w:t>
            </w:r>
          </w:p>
        </w:tc>
        <w:tc>
          <w:tcPr>
            <w:tcW w:w="80" w:type="dxa"/>
            <w:vAlign w:val="bottom"/>
            <w:shd w:val="clear" w:color="auto" w:fill="D5DCE4"/>
          </w:tcPr>
          <w:p>
            <w:pPr>
              <w:spacing w:after="0"/>
              <w:rPr>
                <w:sz w:val="20"/>
                <w:szCs w:val="20"/>
                <w:color w:val="auto"/>
              </w:rPr>
            </w:pPr>
          </w:p>
        </w:tc>
        <w:tc>
          <w:tcPr>
            <w:tcW w:w="420" w:type="dxa"/>
            <w:vAlign w:val="bottom"/>
            <w:shd w:val="clear" w:color="auto" w:fill="D5DCE4"/>
          </w:tcPr>
          <w:p>
            <w:pPr>
              <w:spacing w:after="0"/>
              <w:rPr>
                <w:sz w:val="20"/>
                <w:szCs w:val="20"/>
                <w:color w:val="auto"/>
              </w:rPr>
            </w:pP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42,571</w:t>
            </w:r>
          </w:p>
        </w:tc>
      </w:tr>
      <w:tr>
        <w:trPr>
          <w:trHeight w:val="235"/>
        </w:trPr>
        <w:tc>
          <w:tcPr>
            <w:tcW w:w="498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(429)</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(1,016)</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(2,260)</w:t>
            </w:r>
          </w:p>
        </w:tc>
      </w:tr>
      <w:tr>
        <w:trPr>
          <w:trHeight w:val="251"/>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Other income (loss), net</w:t>
            </w: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12,665</w:t>
            </w:r>
          </w:p>
        </w:tc>
        <w:tc>
          <w:tcPr>
            <w:tcW w:w="80" w:type="dxa"/>
            <w:vAlign w:val="bottom"/>
            <w:shd w:val="clear" w:color="auto" w:fill="D5DCE4"/>
          </w:tcPr>
          <w:p>
            <w:pPr>
              <w:spacing w:after="0"/>
              <w:rPr>
                <w:sz w:val="21"/>
                <w:szCs w:val="21"/>
                <w:color w:val="auto"/>
              </w:rPr>
            </w:pPr>
          </w:p>
        </w:tc>
        <w:tc>
          <w:tcPr>
            <w:tcW w:w="400" w:type="dxa"/>
            <w:vAlign w:val="bottom"/>
            <w:shd w:val="clear" w:color="auto" w:fill="D5DCE4"/>
          </w:tcPr>
          <w:p>
            <w:pPr>
              <w:spacing w:after="0"/>
              <w:rPr>
                <w:sz w:val="21"/>
                <w:szCs w:val="21"/>
                <w:color w:val="auto"/>
              </w:rPr>
            </w:pPr>
          </w:p>
        </w:tc>
        <w:tc>
          <w:tcPr>
            <w:tcW w:w="1180" w:type="dxa"/>
            <w:vAlign w:val="bottom"/>
            <w:gridSpan w:val="2"/>
            <w:shd w:val="clear" w:color="auto" w:fill="D5DCE4"/>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16,886</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spacing w:after="0"/>
              <w:rPr>
                <w:sz w:val="21"/>
                <w:szCs w:val="21"/>
                <w:color w:val="auto"/>
              </w:rPr>
            </w:pP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4980" w:type="dxa"/>
            <w:vAlign w:val="bottom"/>
            <w:tcBorders>
              <w:bottom w:val="single" w:sz="8" w:color="D5DCE4"/>
            </w:tcBorders>
          </w:tcPr>
          <w:p>
            <w:pPr>
              <w:ind w:left="20"/>
              <w:spacing w:after="0"/>
              <w:rPr>
                <w:sz w:val="20"/>
                <w:szCs w:val="20"/>
                <w:color w:val="auto"/>
              </w:rPr>
            </w:pPr>
            <w:r>
              <w:rPr>
                <w:rFonts w:ascii="Arial" w:cs="Arial" w:eastAsia="Arial" w:hAnsi="Arial"/>
                <w:sz w:val="16"/>
                <w:szCs w:val="16"/>
                <w:b w:val="1"/>
                <w:bCs w:val="1"/>
                <w:color w:val="auto"/>
              </w:rPr>
              <w:t>Income before taxes</w:t>
            </w:r>
          </w:p>
        </w:tc>
        <w:tc>
          <w:tcPr>
            <w:tcW w:w="3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227,061</w:t>
            </w:r>
          </w:p>
        </w:tc>
        <w:tc>
          <w:tcPr>
            <w:tcW w:w="80" w:type="dxa"/>
            <w:vAlign w:val="bottom"/>
            <w:tcBorders>
              <w:bottom w:val="single" w:sz="8" w:color="D5DCE4"/>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183,463</w:t>
            </w:r>
          </w:p>
        </w:tc>
        <w:tc>
          <w:tcPr>
            <w:tcW w:w="80" w:type="dxa"/>
            <w:vAlign w:val="bottom"/>
            <w:tcBorders>
              <w:bottom w:val="single" w:sz="8" w:color="D5DCE4"/>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448,645</w:t>
            </w:r>
          </w:p>
        </w:tc>
        <w:tc>
          <w:tcPr>
            <w:tcW w:w="80" w:type="dxa"/>
            <w:vAlign w:val="bottom"/>
            <w:tcBorders>
              <w:bottom w:val="single" w:sz="8" w:color="D5DCE4"/>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370,483</w:t>
            </w:r>
          </w:p>
        </w:tc>
      </w:tr>
      <w:tr>
        <w:trPr>
          <w:trHeight w:val="240"/>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color w:val="auto"/>
              </w:rPr>
              <w:t>Provision for income taxes</w:t>
            </w:r>
          </w:p>
        </w:tc>
        <w:tc>
          <w:tcPr>
            <w:tcW w:w="320" w:type="dxa"/>
            <w:vAlign w:val="bottom"/>
            <w:tcBorders>
              <w:bottom w:val="single" w:sz="8" w:color="auto"/>
            </w:tcBorders>
            <w:shd w:val="clear" w:color="auto" w:fill="D5DCE4"/>
          </w:tcPr>
          <w:p>
            <w:pPr>
              <w:spacing w:after="0"/>
              <w:rPr>
                <w:sz w:val="20"/>
                <w:szCs w:val="20"/>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(51,539)</w:t>
            </w:r>
          </w:p>
        </w:tc>
        <w:tc>
          <w:tcPr>
            <w:tcW w:w="80" w:type="dxa"/>
            <w:vAlign w:val="bottom"/>
            <w:shd w:val="clear" w:color="auto" w:fill="D5DCE4"/>
          </w:tcPr>
          <w:p>
            <w:pPr>
              <w:spacing w:after="0"/>
              <w:rPr>
                <w:sz w:val="20"/>
                <w:szCs w:val="20"/>
                <w:color w:val="auto"/>
              </w:rPr>
            </w:pPr>
          </w:p>
        </w:tc>
        <w:tc>
          <w:tcPr>
            <w:tcW w:w="400" w:type="dxa"/>
            <w:vAlign w:val="bottom"/>
            <w:tcBorders>
              <w:bottom w:val="single" w:sz="8" w:color="auto"/>
            </w:tcBorders>
            <w:shd w:val="clear" w:color="auto" w:fill="D5DCE4"/>
          </w:tcPr>
          <w:p>
            <w:pPr>
              <w:spacing w:after="0"/>
              <w:rPr>
                <w:sz w:val="20"/>
                <w:szCs w:val="20"/>
                <w:color w:val="auto"/>
              </w:rPr>
            </w:pPr>
          </w:p>
        </w:tc>
        <w:tc>
          <w:tcPr>
            <w:tcW w:w="11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(47,047)</w:t>
            </w:r>
          </w:p>
        </w:tc>
        <w:tc>
          <w:tcPr>
            <w:tcW w:w="80" w:type="dxa"/>
            <w:vAlign w:val="bottom"/>
            <w:shd w:val="clear" w:color="auto" w:fill="D5DCE4"/>
          </w:tcPr>
          <w:p>
            <w:pPr>
              <w:spacing w:after="0"/>
              <w:rPr>
                <w:sz w:val="20"/>
                <w:szCs w:val="20"/>
                <w:color w:val="auto"/>
              </w:rPr>
            </w:pPr>
          </w:p>
        </w:tc>
        <w:tc>
          <w:tcPr>
            <w:tcW w:w="320" w:type="dxa"/>
            <w:vAlign w:val="bottom"/>
            <w:tcBorders>
              <w:bottom w:val="single" w:sz="8" w:color="auto"/>
            </w:tcBorders>
            <w:shd w:val="clear" w:color="auto" w:fill="D5DCE4"/>
          </w:tcPr>
          <w:p>
            <w:pPr>
              <w:spacing w:after="0"/>
              <w:rPr>
                <w:sz w:val="20"/>
                <w:szCs w:val="20"/>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(104,818)</w:t>
            </w:r>
          </w:p>
        </w:tc>
        <w:tc>
          <w:tcPr>
            <w:tcW w:w="80" w:type="dxa"/>
            <w:vAlign w:val="bottom"/>
            <w:shd w:val="clear" w:color="auto" w:fill="D5DCE4"/>
          </w:tcPr>
          <w:p>
            <w:pPr>
              <w:spacing w:after="0"/>
              <w:rPr>
                <w:sz w:val="20"/>
                <w:szCs w:val="20"/>
                <w:color w:val="auto"/>
              </w:rPr>
            </w:pPr>
          </w:p>
        </w:tc>
        <w:tc>
          <w:tcPr>
            <w:tcW w:w="420" w:type="dxa"/>
            <w:vAlign w:val="bottom"/>
            <w:tcBorders>
              <w:bottom w:val="single" w:sz="8" w:color="auto"/>
            </w:tcBorders>
            <w:shd w:val="clear" w:color="auto" w:fill="D5DCE4"/>
          </w:tcPr>
          <w:p>
            <w:pPr>
              <w:spacing w:after="0"/>
              <w:rPr>
                <w:sz w:val="20"/>
                <w:szCs w:val="20"/>
                <w:color w:val="auto"/>
              </w:rPr>
            </w:pPr>
          </w:p>
        </w:tc>
        <w:tc>
          <w:tcPr>
            <w:tcW w:w="11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(90,685)</w:t>
            </w:r>
          </w:p>
        </w:tc>
      </w:tr>
      <w:tr>
        <w:trPr>
          <w:trHeight w:val="233"/>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175,522</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136,416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343,827</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279,798</w:t>
            </w:r>
          </w:p>
        </w:tc>
      </w:tr>
      <w:tr>
        <w:trPr>
          <w:trHeight w:val="240"/>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color w:val="auto"/>
              </w:rPr>
              <w:t>Less: Net income attributable to non-controlling interests</w:t>
            </w:r>
          </w:p>
        </w:tc>
        <w:tc>
          <w:tcPr>
            <w:tcW w:w="320" w:type="dxa"/>
            <w:vAlign w:val="bottom"/>
            <w:tcBorders>
              <w:bottom w:val="single" w:sz="8" w:color="auto"/>
            </w:tcBorders>
            <w:shd w:val="clear" w:color="auto" w:fill="D5DCE4"/>
          </w:tcPr>
          <w:p>
            <w:pPr>
              <w:spacing w:after="0"/>
              <w:rPr>
                <w:sz w:val="20"/>
                <w:szCs w:val="20"/>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21,740</w:t>
            </w:r>
          </w:p>
        </w:tc>
        <w:tc>
          <w:tcPr>
            <w:tcW w:w="80" w:type="dxa"/>
            <w:vAlign w:val="bottom"/>
            <w:shd w:val="clear" w:color="auto" w:fill="D5DCE4"/>
          </w:tcPr>
          <w:p>
            <w:pPr>
              <w:spacing w:after="0"/>
              <w:rPr>
                <w:sz w:val="20"/>
                <w:szCs w:val="20"/>
                <w:color w:val="auto"/>
              </w:rPr>
            </w:pPr>
          </w:p>
        </w:tc>
        <w:tc>
          <w:tcPr>
            <w:tcW w:w="400" w:type="dxa"/>
            <w:vAlign w:val="bottom"/>
            <w:tcBorders>
              <w:bottom w:val="single" w:sz="8" w:color="auto"/>
            </w:tcBorders>
            <w:shd w:val="clear" w:color="auto" w:fill="D5DCE4"/>
          </w:tcPr>
          <w:p>
            <w:pPr>
              <w:spacing w:after="0"/>
              <w:rPr>
                <w:sz w:val="20"/>
                <w:szCs w:val="20"/>
                <w:color w:val="auto"/>
              </w:rPr>
            </w:pPr>
          </w:p>
        </w:tc>
        <w:tc>
          <w:tcPr>
            <w:tcW w:w="11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17,177</w:t>
            </w:r>
          </w:p>
        </w:tc>
        <w:tc>
          <w:tcPr>
            <w:tcW w:w="80" w:type="dxa"/>
            <w:vAlign w:val="bottom"/>
            <w:shd w:val="clear" w:color="auto" w:fill="D5DCE4"/>
          </w:tcPr>
          <w:p>
            <w:pPr>
              <w:spacing w:after="0"/>
              <w:rPr>
                <w:sz w:val="20"/>
                <w:szCs w:val="20"/>
                <w:color w:val="auto"/>
              </w:rPr>
            </w:pPr>
          </w:p>
        </w:tc>
        <w:tc>
          <w:tcPr>
            <w:tcW w:w="320" w:type="dxa"/>
            <w:vAlign w:val="bottom"/>
            <w:tcBorders>
              <w:bottom w:val="single" w:sz="8" w:color="auto"/>
            </w:tcBorders>
            <w:shd w:val="clear" w:color="auto" w:fill="D5DCE4"/>
          </w:tcPr>
          <w:p>
            <w:pPr>
              <w:spacing w:after="0"/>
              <w:rPr>
                <w:sz w:val="20"/>
                <w:szCs w:val="20"/>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41,663</w:t>
            </w:r>
          </w:p>
        </w:tc>
        <w:tc>
          <w:tcPr>
            <w:tcW w:w="80" w:type="dxa"/>
            <w:vAlign w:val="bottom"/>
            <w:shd w:val="clear" w:color="auto" w:fill="D5DCE4"/>
          </w:tcPr>
          <w:p>
            <w:pPr>
              <w:spacing w:after="0"/>
              <w:rPr>
                <w:sz w:val="20"/>
                <w:szCs w:val="20"/>
                <w:color w:val="auto"/>
              </w:rPr>
            </w:pPr>
          </w:p>
        </w:tc>
        <w:tc>
          <w:tcPr>
            <w:tcW w:w="420" w:type="dxa"/>
            <w:vAlign w:val="bottom"/>
            <w:tcBorders>
              <w:bottom w:val="single" w:sz="8" w:color="auto"/>
            </w:tcBorders>
            <w:shd w:val="clear" w:color="auto" w:fill="D5DCE4"/>
          </w:tcPr>
          <w:p>
            <w:pPr>
              <w:spacing w:after="0"/>
              <w:rPr>
                <w:sz w:val="20"/>
                <w:szCs w:val="20"/>
                <w:color w:val="auto"/>
              </w:rPr>
            </w:pPr>
          </w:p>
        </w:tc>
        <w:tc>
          <w:tcPr>
            <w:tcW w:w="11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34,417</w:t>
            </w:r>
          </w:p>
        </w:tc>
      </w:tr>
      <w:tr>
        <w:trPr>
          <w:trHeight w:val="243"/>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Tradeweb Markets Inc.</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153,782</w:t>
            </w:r>
          </w:p>
        </w:tc>
        <w:tc>
          <w:tcPr>
            <w:tcW w:w="80" w:type="dxa"/>
            <w:vAlign w:val="bottom"/>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119,239</w:t>
            </w:r>
          </w:p>
        </w:tc>
        <w:tc>
          <w:tcPr>
            <w:tcW w:w="8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302,164</w:t>
            </w:r>
          </w:p>
        </w:tc>
        <w:tc>
          <w:tcPr>
            <w:tcW w:w="80" w:type="dxa"/>
            <w:vAlign w:val="bottom"/>
          </w:tcPr>
          <w:p>
            <w:pPr>
              <w:spacing w:after="0"/>
              <w:rPr>
                <w:sz w:val="21"/>
                <w:szCs w:val="21"/>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245,381</w:t>
            </w:r>
          </w:p>
        </w:tc>
      </w:tr>
      <w:tr>
        <w:trPr>
          <w:trHeight w:val="20"/>
        </w:trPr>
        <w:tc>
          <w:tcPr>
            <w:tcW w:w="49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4980" w:type="dxa"/>
            <w:vAlign w:val="bottom"/>
            <w:shd w:val="clear" w:color="auto" w:fill="D5DCE4"/>
          </w:tcPr>
          <w:p>
            <w:pPr>
              <w:spacing w:after="0"/>
              <w:rPr>
                <w:sz w:val="19"/>
                <w:szCs w:val="19"/>
                <w:color w:val="auto"/>
              </w:rPr>
            </w:pPr>
          </w:p>
        </w:tc>
        <w:tc>
          <w:tcPr>
            <w:tcW w:w="320" w:type="dxa"/>
            <w:vAlign w:val="bottom"/>
            <w:shd w:val="clear" w:color="auto" w:fill="D5DCE4"/>
          </w:tcPr>
          <w:p>
            <w:pPr>
              <w:spacing w:after="0"/>
              <w:rPr>
                <w:sz w:val="19"/>
                <w:szCs w:val="19"/>
                <w:color w:val="auto"/>
              </w:rPr>
            </w:pPr>
          </w:p>
        </w:tc>
        <w:tc>
          <w:tcPr>
            <w:tcW w:w="11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400" w:type="dxa"/>
            <w:vAlign w:val="bottom"/>
            <w:shd w:val="clear" w:color="auto" w:fill="D5DCE4"/>
          </w:tcPr>
          <w:p>
            <w:pPr>
              <w:spacing w:after="0"/>
              <w:rPr>
                <w:sz w:val="19"/>
                <w:szCs w:val="19"/>
                <w:color w:val="auto"/>
              </w:rPr>
            </w:pPr>
          </w:p>
        </w:tc>
        <w:tc>
          <w:tcPr>
            <w:tcW w:w="110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320" w:type="dxa"/>
            <w:vAlign w:val="bottom"/>
            <w:shd w:val="clear" w:color="auto" w:fill="D5DCE4"/>
          </w:tcPr>
          <w:p>
            <w:pPr>
              <w:spacing w:after="0"/>
              <w:rPr>
                <w:sz w:val="19"/>
                <w:szCs w:val="19"/>
                <w:color w:val="auto"/>
              </w:rPr>
            </w:pPr>
          </w:p>
        </w:tc>
        <w:tc>
          <w:tcPr>
            <w:tcW w:w="11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420" w:type="dxa"/>
            <w:vAlign w:val="bottom"/>
            <w:shd w:val="clear" w:color="auto" w:fill="D5DCE4"/>
          </w:tcPr>
          <w:p>
            <w:pPr>
              <w:spacing w:after="0"/>
              <w:rPr>
                <w:sz w:val="19"/>
                <w:szCs w:val="19"/>
                <w:color w:val="auto"/>
              </w:rPr>
            </w:pPr>
          </w:p>
        </w:tc>
        <w:tc>
          <w:tcPr>
            <w:tcW w:w="1100" w:type="dxa"/>
            <w:vAlign w:val="bottom"/>
            <w:shd w:val="clear" w:color="auto" w:fill="D5DCE4"/>
          </w:tcPr>
          <w:p>
            <w:pPr>
              <w:spacing w:after="0"/>
              <w:rPr>
                <w:sz w:val="19"/>
                <w:szCs w:val="19"/>
                <w:color w:val="auto"/>
              </w:rPr>
            </w:pPr>
          </w:p>
        </w:tc>
      </w:tr>
      <w:tr>
        <w:trPr>
          <w:trHeight w:val="215"/>
        </w:trPr>
        <w:tc>
          <w:tcPr>
            <w:tcW w:w="4980" w:type="dxa"/>
            <w:vAlign w:val="bottom"/>
          </w:tcPr>
          <w:p>
            <w:pPr>
              <w:ind w:left="20"/>
              <w:spacing w:after="0"/>
              <w:rPr>
                <w:sz w:val="20"/>
                <w:szCs w:val="20"/>
                <w:color w:val="auto"/>
              </w:rPr>
            </w:pPr>
            <w:r>
              <w:rPr>
                <w:rFonts w:ascii="Arial" w:cs="Arial" w:eastAsia="Arial" w:hAnsi="Arial"/>
                <w:sz w:val="16"/>
                <w:szCs w:val="16"/>
                <w:color w:val="auto"/>
              </w:rPr>
              <w:t>Earnings per share attributable to Tradeweb Markets Inc. Class A</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2"/>
        </w:trPr>
        <w:tc>
          <w:tcPr>
            <w:tcW w:w="4980" w:type="dxa"/>
            <w:vAlign w:val="bottom"/>
          </w:tcPr>
          <w:p>
            <w:pPr>
              <w:ind w:left="20"/>
              <w:spacing w:after="0"/>
              <w:rPr>
                <w:sz w:val="20"/>
                <w:szCs w:val="20"/>
                <w:color w:val="auto"/>
              </w:rPr>
            </w:pPr>
            <w:r>
              <w:rPr>
                <w:rFonts w:ascii="Arial" w:cs="Arial" w:eastAsia="Arial" w:hAnsi="Arial"/>
                <w:sz w:val="16"/>
                <w:szCs w:val="16"/>
                <w:color w:val="auto"/>
              </w:rPr>
              <w:t>and B common stockholders:</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76"/>
        </w:trPr>
        <w:tc>
          <w:tcPr>
            <w:tcW w:w="4980" w:type="dxa"/>
            <w:vAlign w:val="bottom"/>
            <w:tcBorders>
              <w:bottom w:val="single" w:sz="8" w:color="D5DCE4"/>
            </w:tcBorders>
            <w:shd w:val="clear" w:color="auto" w:fill="D5DCE4"/>
          </w:tcPr>
          <w:p>
            <w:pPr>
              <w:ind w:left="140"/>
              <w:spacing w:after="0"/>
              <w:rPr>
                <w:sz w:val="20"/>
                <w:szCs w:val="20"/>
                <w:color w:val="auto"/>
              </w:rPr>
            </w:pPr>
            <w:r>
              <w:rPr>
                <w:rFonts w:ascii="Arial" w:cs="Arial" w:eastAsia="Arial" w:hAnsi="Arial"/>
                <w:sz w:val="16"/>
                <w:szCs w:val="16"/>
                <w:color w:val="auto"/>
              </w:rPr>
              <w:t>Basic</w:t>
            </w:r>
          </w:p>
        </w:tc>
        <w:tc>
          <w:tcPr>
            <w:tcW w:w="32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0.72</w:t>
            </w:r>
          </w:p>
        </w:tc>
        <w:tc>
          <w:tcPr>
            <w:tcW w:w="80" w:type="dxa"/>
            <w:vAlign w:val="bottom"/>
            <w:tcBorders>
              <w:bottom w:val="single" w:sz="8" w:color="D5DCE4"/>
            </w:tcBorders>
            <w:shd w:val="clear" w:color="auto" w:fill="D5DCE4"/>
          </w:tcPr>
          <w:p>
            <w:pPr>
              <w:spacing w:after="0"/>
              <w:rPr>
                <w:sz w:val="23"/>
                <w:szCs w:val="23"/>
                <w:color w:val="auto"/>
              </w:rPr>
            </w:pPr>
          </w:p>
        </w:tc>
        <w:tc>
          <w:tcPr>
            <w:tcW w:w="400" w:type="dxa"/>
            <w:vAlign w:val="bottom"/>
            <w:tcBorders>
              <w:bottom w:val="single" w:sz="8" w:color="auto"/>
            </w:tcBorders>
            <w:shd w:val="clear" w:color="auto" w:fill="D5DCE4"/>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0.56</w:t>
            </w:r>
          </w:p>
        </w:tc>
        <w:tc>
          <w:tcPr>
            <w:tcW w:w="80" w:type="dxa"/>
            <w:vAlign w:val="bottom"/>
            <w:tcBorders>
              <w:bottom w:val="single" w:sz="8" w:color="D5DCE4"/>
            </w:tcBorders>
            <w:shd w:val="clear" w:color="auto" w:fill="D5DCE4"/>
          </w:tcPr>
          <w:p>
            <w:pPr>
              <w:spacing w:after="0"/>
              <w:rPr>
                <w:sz w:val="23"/>
                <w:szCs w:val="23"/>
                <w:color w:val="auto"/>
              </w:rPr>
            </w:pPr>
          </w:p>
        </w:tc>
        <w:tc>
          <w:tcPr>
            <w:tcW w:w="32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1.42</w:t>
            </w:r>
          </w:p>
        </w:tc>
        <w:tc>
          <w:tcPr>
            <w:tcW w:w="80" w:type="dxa"/>
            <w:vAlign w:val="bottom"/>
            <w:tcBorders>
              <w:bottom w:val="single" w:sz="8" w:color="D5DCE4"/>
            </w:tcBorders>
            <w:shd w:val="clear" w:color="auto" w:fill="D5DCE4"/>
          </w:tcPr>
          <w:p>
            <w:pPr>
              <w:spacing w:after="0"/>
              <w:rPr>
                <w:sz w:val="23"/>
                <w:szCs w:val="23"/>
                <w:color w:val="auto"/>
              </w:rPr>
            </w:pPr>
          </w:p>
        </w:tc>
        <w:tc>
          <w:tcPr>
            <w:tcW w:w="420" w:type="dxa"/>
            <w:vAlign w:val="bottom"/>
            <w:tcBorders>
              <w:bottom w:val="single" w:sz="8" w:color="auto"/>
            </w:tcBorders>
            <w:shd w:val="clear" w:color="auto" w:fill="D5DCE4"/>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1.15</w:t>
            </w:r>
          </w:p>
        </w:tc>
      </w:tr>
      <w:tr>
        <w:trPr>
          <w:trHeight w:val="20"/>
        </w:trPr>
        <w:tc>
          <w:tcPr>
            <w:tcW w:w="49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00" w:type="dxa"/>
            <w:vAlign w:val="bottom"/>
            <w:tcBorders>
              <w:top w:val="single" w:sz="8" w:color="D5DCE4"/>
              <w:bottom w:val="single" w:sz="8" w:color="auto"/>
            </w:tcBorders>
          </w:tcPr>
          <w:p>
            <w:pPr>
              <w:spacing w:after="0" w:line="20" w:lineRule="exact"/>
              <w:rPr>
                <w:sz w:val="1"/>
                <w:szCs w:val="1"/>
                <w:color w:val="auto"/>
              </w:rPr>
            </w:pPr>
          </w:p>
        </w:tc>
        <w:tc>
          <w:tcPr>
            <w:tcW w:w="110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20" w:type="dxa"/>
            <w:vAlign w:val="bottom"/>
            <w:tcBorders>
              <w:top w:val="single" w:sz="8" w:color="D5DCE4"/>
              <w:bottom w:val="single" w:sz="8" w:color="auto"/>
            </w:tcBorders>
          </w:tcPr>
          <w:p>
            <w:pPr>
              <w:spacing w:after="0" w:line="20" w:lineRule="exact"/>
              <w:rPr>
                <w:sz w:val="1"/>
                <w:szCs w:val="1"/>
                <w:color w:val="auto"/>
              </w:rPr>
            </w:pPr>
          </w:p>
        </w:tc>
        <w:tc>
          <w:tcPr>
            <w:tcW w:w="1100" w:type="dxa"/>
            <w:vAlign w:val="bottom"/>
            <w:tcBorders>
              <w:top w:val="single" w:sz="8" w:color="D5DCE4"/>
              <w:bottom w:val="single" w:sz="8" w:color="auto"/>
            </w:tcBorders>
          </w:tcPr>
          <w:p>
            <w:pPr>
              <w:spacing w:after="0" w:line="20" w:lineRule="exact"/>
              <w:rPr>
                <w:sz w:val="1"/>
                <w:szCs w:val="1"/>
                <w:color w:val="auto"/>
              </w:rPr>
            </w:pPr>
          </w:p>
        </w:tc>
      </w:tr>
      <w:tr>
        <w:trPr>
          <w:trHeight w:val="217"/>
        </w:trPr>
        <w:tc>
          <w:tcPr>
            <w:tcW w:w="4980" w:type="dxa"/>
            <w:vAlign w:val="bottom"/>
          </w:tcPr>
          <w:p>
            <w:pPr>
              <w:ind w:left="140"/>
              <w:spacing w:after="0"/>
              <w:rPr>
                <w:sz w:val="20"/>
                <w:szCs w:val="20"/>
                <w:color w:val="auto"/>
              </w:rPr>
            </w:pPr>
            <w:r>
              <w:rPr>
                <w:rFonts w:ascii="Arial" w:cs="Arial" w:eastAsia="Arial" w:hAnsi="Arial"/>
                <w:sz w:val="16"/>
                <w:szCs w:val="16"/>
                <w:color w:val="auto"/>
              </w:rPr>
              <w:t>Diluted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0.71</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0.55</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r>
      <w:tr>
        <w:trPr>
          <w:trHeight w:val="20"/>
        </w:trPr>
        <w:tc>
          <w:tcPr>
            <w:tcW w:w="49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0"/>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color w:val="auto"/>
              </w:rPr>
              <w:t>Weighted average shares outstanding:</w:t>
            </w:r>
          </w:p>
        </w:tc>
        <w:tc>
          <w:tcPr>
            <w:tcW w:w="320" w:type="dxa"/>
            <w:vAlign w:val="bottom"/>
            <w:shd w:val="clear" w:color="auto" w:fill="D5DCE4"/>
          </w:tcPr>
          <w:p>
            <w:pPr>
              <w:spacing w:after="0"/>
              <w:rPr>
                <w:sz w:val="18"/>
                <w:szCs w:val="18"/>
                <w:color w:val="auto"/>
              </w:rPr>
            </w:pPr>
          </w:p>
        </w:tc>
        <w:tc>
          <w:tcPr>
            <w:tcW w:w="118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400" w:type="dxa"/>
            <w:vAlign w:val="bottom"/>
            <w:shd w:val="clear" w:color="auto" w:fill="D5DCE4"/>
          </w:tcPr>
          <w:p>
            <w:pPr>
              <w:spacing w:after="0"/>
              <w:rPr>
                <w:sz w:val="18"/>
                <w:szCs w:val="18"/>
                <w:color w:val="auto"/>
              </w:rPr>
            </w:pPr>
          </w:p>
        </w:tc>
        <w:tc>
          <w:tcPr>
            <w:tcW w:w="110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320" w:type="dxa"/>
            <w:vAlign w:val="bottom"/>
            <w:shd w:val="clear" w:color="auto" w:fill="D5DCE4"/>
          </w:tcPr>
          <w:p>
            <w:pPr>
              <w:spacing w:after="0"/>
              <w:rPr>
                <w:sz w:val="18"/>
                <w:szCs w:val="18"/>
                <w:color w:val="auto"/>
              </w:rPr>
            </w:pPr>
          </w:p>
        </w:tc>
        <w:tc>
          <w:tcPr>
            <w:tcW w:w="118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420" w:type="dxa"/>
            <w:vAlign w:val="bottom"/>
            <w:shd w:val="clear" w:color="auto" w:fill="D5DCE4"/>
          </w:tcPr>
          <w:p>
            <w:pPr>
              <w:spacing w:after="0"/>
              <w:rPr>
                <w:sz w:val="18"/>
                <w:szCs w:val="18"/>
                <w:color w:val="auto"/>
              </w:rPr>
            </w:pPr>
          </w:p>
        </w:tc>
        <w:tc>
          <w:tcPr>
            <w:tcW w:w="1100" w:type="dxa"/>
            <w:vAlign w:val="bottom"/>
            <w:shd w:val="clear" w:color="auto" w:fill="D5DCE4"/>
          </w:tcPr>
          <w:p>
            <w:pPr>
              <w:spacing w:after="0"/>
              <w:rPr>
                <w:sz w:val="18"/>
                <w:szCs w:val="18"/>
                <w:color w:val="auto"/>
              </w:rPr>
            </w:pPr>
          </w:p>
        </w:tc>
      </w:tr>
      <w:tr>
        <w:trPr>
          <w:trHeight w:val="235"/>
        </w:trPr>
        <w:tc>
          <w:tcPr>
            <w:tcW w:w="4980" w:type="dxa"/>
            <w:vAlign w:val="bottom"/>
          </w:tcPr>
          <w:p>
            <w:pPr>
              <w:ind w:left="140"/>
              <w:spacing w:after="0"/>
              <w:rPr>
                <w:sz w:val="20"/>
                <w:szCs w:val="20"/>
                <w:color w:val="auto"/>
              </w:rPr>
            </w:pPr>
            <w:r>
              <w:rPr>
                <w:rFonts w:ascii="Arial" w:cs="Arial" w:eastAsia="Arial" w:hAnsi="Arial"/>
                <w:sz w:val="16"/>
                <w:szCs w:val="16"/>
                <w:color w:val="auto"/>
              </w:rPr>
              <w:t>Basic</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213,339,761</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213,162,158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213,214,326</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212,936,015</w:t>
            </w:r>
          </w:p>
        </w:tc>
      </w:tr>
      <w:tr>
        <w:trPr>
          <w:trHeight w:val="251"/>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Diluted</w:t>
            </w: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214,971,946</w:t>
            </w:r>
          </w:p>
        </w:tc>
        <w:tc>
          <w:tcPr>
            <w:tcW w:w="80" w:type="dxa"/>
            <w:vAlign w:val="bottom"/>
            <w:shd w:val="clear" w:color="auto" w:fill="D5DCE4"/>
          </w:tcPr>
          <w:p>
            <w:pPr>
              <w:spacing w:after="0"/>
              <w:rPr>
                <w:sz w:val="21"/>
                <w:szCs w:val="21"/>
                <w:color w:val="auto"/>
              </w:rPr>
            </w:pPr>
          </w:p>
        </w:tc>
        <w:tc>
          <w:tcPr>
            <w:tcW w:w="400" w:type="dxa"/>
            <w:vAlign w:val="bottom"/>
            <w:shd w:val="clear" w:color="auto" w:fill="D5DCE4"/>
          </w:tcPr>
          <w:p>
            <w:pPr>
              <w:spacing w:after="0"/>
              <w:rPr>
                <w:sz w:val="21"/>
                <w:szCs w:val="21"/>
                <w:color w:val="auto"/>
              </w:rPr>
            </w:pP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214,895,947</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214,934,378</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spacing w:after="0"/>
              <w:rPr>
                <w:sz w:val="21"/>
                <w:szCs w:val="21"/>
                <w:color w:val="auto"/>
              </w:rPr>
            </w:pP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214,778,342</w:t>
            </w:r>
          </w:p>
        </w:tc>
      </w:tr>
    </w:tbl>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4</w:t>
      </w:r>
    </w:p>
    <w:p>
      <w:pPr>
        <w:sectPr>
          <w:pgSz w:w="11900" w:h="16838" w:orient="portrait"/>
          <w:cols w:equalWidth="0" w:num="1">
            <w:col w:w="11240"/>
          </w:cols>
          <w:pgMar w:left="320" w:top="692"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RECONCILIATION OF NON-GAAP FINANCIAL MEASURES (UNAUDITED)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60" w:type="dxa"/>
            <w:vAlign w:val="bottom"/>
            <w:gridSpan w:val="5"/>
          </w:tcPr>
          <w:p>
            <w:pPr>
              <w:ind w:left="460"/>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9"/>
                <w:szCs w:val="19"/>
                <w:color w:val="auto"/>
              </w:rPr>
            </w:pPr>
          </w:p>
        </w:tc>
        <w:tc>
          <w:tcPr>
            <w:tcW w:w="2880" w:type="dxa"/>
            <w:vAlign w:val="bottom"/>
            <w:gridSpan w:val="4"/>
          </w:tcPr>
          <w:p>
            <w:pPr>
              <w:jc w:val="right"/>
              <w:ind w:right="83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25"/>
        </w:trPr>
        <w:tc>
          <w:tcPr>
            <w:tcW w:w="468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Reconciliation of Net Income to Adjusted EBITDA,</w:t>
            </w:r>
          </w:p>
        </w:tc>
        <w:tc>
          <w:tcPr>
            <w:tcW w:w="360" w:type="dxa"/>
            <w:vAlign w:val="bottom"/>
          </w:tcPr>
          <w:p>
            <w:pPr>
              <w:spacing w:after="0"/>
              <w:rPr>
                <w:sz w:val="19"/>
                <w:szCs w:val="19"/>
                <w:color w:val="auto"/>
              </w:rPr>
            </w:pPr>
          </w:p>
        </w:tc>
        <w:tc>
          <w:tcPr>
            <w:tcW w:w="1740" w:type="dxa"/>
            <w:vAlign w:val="bottom"/>
            <w:gridSpan w:val="3"/>
          </w:tcPr>
          <w:p>
            <w:pPr>
              <w:ind w:left="940"/>
              <w:spacing w:after="0"/>
              <w:rPr>
                <w:sz w:val="20"/>
                <w:szCs w:val="20"/>
                <w:color w:val="auto"/>
              </w:rPr>
            </w:pPr>
            <w:r>
              <w:rPr>
                <w:rFonts w:ascii="Arial" w:cs="Arial" w:eastAsia="Arial" w:hAnsi="Arial"/>
                <w:sz w:val="16"/>
                <w:szCs w:val="16"/>
                <w:b w:val="1"/>
                <w:bCs w:val="1"/>
                <w:color w:val="auto"/>
              </w:rPr>
              <w:t>June 30,</w:t>
            </w: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4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9"/>
        </w:trPr>
        <w:tc>
          <w:tcPr>
            <w:tcW w:w="46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Adjusted EBITDA Margin, Adjusted EBIT and Adjusted</w:t>
            </w:r>
          </w:p>
        </w:tc>
        <w:tc>
          <w:tcPr>
            <w:tcW w:w="3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468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4680" w:type="dxa"/>
            <w:vAlign w:val="bottom"/>
            <w:gridSpan w:val="2"/>
          </w:tcPr>
          <w:p>
            <w:pPr>
              <w:ind w:left="20"/>
              <w:spacing w:after="0"/>
              <w:rPr>
                <w:sz w:val="20"/>
                <w:szCs w:val="20"/>
                <w:color w:val="auto"/>
              </w:rPr>
            </w:pPr>
            <w:r>
              <w:rPr>
                <w:rFonts w:ascii="Arial" w:cs="Arial" w:eastAsia="Arial" w:hAnsi="Arial"/>
                <w:sz w:val="16"/>
                <w:szCs w:val="16"/>
                <w:b w:val="1"/>
                <w:bCs w:val="1"/>
                <w:color w:val="auto"/>
              </w:rPr>
              <w:t>EBIT Margin</w:t>
            </w:r>
          </w:p>
        </w:tc>
        <w:tc>
          <w:tcPr>
            <w:tcW w:w="360" w:type="dxa"/>
            <w:vAlign w:val="bottom"/>
          </w:tcPr>
          <w:p>
            <w:pPr>
              <w:spacing w:after="0"/>
              <w:rPr>
                <w:sz w:val="19"/>
                <w:szCs w:val="19"/>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ind w:right="53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36"/>
        </w:trPr>
        <w:tc>
          <w:tcPr>
            <w:tcW w:w="46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880" w:type="dxa"/>
            <w:vAlign w:val="bottom"/>
            <w:tcBorders>
              <w:top w:val="single" w:sz="8" w:color="auto"/>
            </w:tcBorders>
            <w:gridSpan w:val="5"/>
          </w:tcPr>
          <w:p>
            <w:pPr>
              <w:ind w:left="340"/>
              <w:spacing w:after="0"/>
              <w:rPr>
                <w:sz w:val="20"/>
                <w:szCs w:val="20"/>
                <w:color w:val="auto"/>
              </w:rPr>
            </w:pPr>
            <w:r>
              <w:rPr>
                <w:rFonts w:ascii="Arial" w:cs="Arial" w:eastAsia="Arial" w:hAnsi="Arial"/>
                <w:sz w:val="16"/>
                <w:szCs w:val="16"/>
                <w:b w:val="1"/>
                <w:bCs w:val="1"/>
                <w:color w:val="auto"/>
              </w:rPr>
              <w:t>(dollars in thousands)</w:t>
            </w:r>
          </w:p>
        </w:tc>
        <w:tc>
          <w:tcPr>
            <w:tcW w:w="4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Net income</w:t>
            </w:r>
          </w:p>
        </w:tc>
        <w:tc>
          <w:tcPr>
            <w:tcW w:w="360" w:type="dxa"/>
            <w:vAlign w:val="bottom"/>
            <w:shd w:val="clear" w:color="auto" w:fill="D5DCE4"/>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175,522</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136,416</w:t>
            </w:r>
          </w:p>
        </w:tc>
        <w:tc>
          <w:tcPr>
            <w:tcW w:w="80" w:type="dxa"/>
            <w:vAlign w:val="bottom"/>
            <w:shd w:val="clear" w:color="auto" w:fill="D5DCE4"/>
          </w:tcPr>
          <w:p>
            <w:pPr>
              <w:spacing w:after="0"/>
              <w:rPr>
                <w:sz w:val="21"/>
                <w:szCs w:val="21"/>
                <w:color w:val="auto"/>
              </w:rPr>
            </w:pPr>
          </w:p>
        </w:tc>
        <w:tc>
          <w:tcPr>
            <w:tcW w:w="360" w:type="dxa"/>
            <w:vAlign w:val="bottom"/>
            <w:shd w:val="clear" w:color="auto" w:fill="D5DCE4"/>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343,827</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279,798</w:t>
            </w:r>
          </w:p>
        </w:tc>
        <w:tc>
          <w:tcPr>
            <w:tcW w:w="0" w:type="dxa"/>
            <w:vAlign w:val="bottom"/>
          </w:tcPr>
          <w:p>
            <w:pPr>
              <w:spacing w:after="0"/>
              <w:rPr>
                <w:sz w:val="1"/>
                <w:szCs w:val="1"/>
                <w:color w:val="auto"/>
              </w:rPr>
            </w:pPr>
          </w:p>
        </w:tc>
      </w:tr>
      <w:tr>
        <w:trPr>
          <w:trHeight w:val="243"/>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 xml:space="preserve">Merger and acquisition transaction and integration costs </w:t>
            </w:r>
            <w:r>
              <w:rPr>
                <w:rFonts w:ascii="Arial" w:cs="Arial" w:eastAsia="Arial" w:hAnsi="Arial"/>
                <w:sz w:val="21"/>
                <w:szCs w:val="21"/>
                <w:color w:val="auto"/>
                <w:vertAlign w:val="superscript"/>
              </w:rPr>
              <w:t>(1)</w:t>
            </w:r>
          </w:p>
        </w:tc>
        <w:tc>
          <w:tcPr>
            <w:tcW w:w="360" w:type="dxa"/>
            <w:vAlign w:val="bottom"/>
          </w:tcPr>
          <w:p>
            <w:pPr>
              <w:spacing w:after="0"/>
              <w:rPr>
                <w:sz w:val="21"/>
                <w:szCs w:val="21"/>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3,772</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3,650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6,268</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7,264</w:t>
            </w:r>
          </w:p>
        </w:tc>
        <w:tc>
          <w:tcPr>
            <w:tcW w:w="0" w:type="dxa"/>
            <w:vAlign w:val="bottom"/>
          </w:tcPr>
          <w:p>
            <w:pPr>
              <w:spacing w:after="0"/>
              <w:rPr>
                <w:sz w:val="1"/>
                <w:szCs w:val="1"/>
                <w:color w:val="auto"/>
              </w:rPr>
            </w:pPr>
          </w:p>
        </w:tc>
      </w:tr>
      <w:tr>
        <w:trPr>
          <w:trHeight w:val="243"/>
        </w:trPr>
        <w:tc>
          <w:tcPr>
            <w:tcW w:w="46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Interest income</w:t>
            </w: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ind w:left="460"/>
              <w:spacing w:after="0"/>
              <w:rPr>
                <w:sz w:val="20"/>
                <w:szCs w:val="20"/>
                <w:color w:val="auto"/>
              </w:rPr>
            </w:pPr>
            <w:r>
              <w:rPr>
                <w:rFonts w:ascii="Arial" w:cs="Arial" w:eastAsia="Arial" w:hAnsi="Arial"/>
                <w:sz w:val="16"/>
                <w:szCs w:val="16"/>
                <w:color w:val="auto"/>
              </w:rPr>
              <w:t>(14,972)</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14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(21,511)</w:t>
            </w:r>
          </w:p>
        </w:tc>
        <w:tc>
          <w:tcPr>
            <w:tcW w:w="80" w:type="dxa"/>
            <w:vAlign w:val="bottom"/>
            <w:shd w:val="clear" w:color="auto" w:fill="D5DCE4"/>
          </w:tcPr>
          <w:p>
            <w:pPr>
              <w:spacing w:after="0"/>
              <w:rPr>
                <w:sz w:val="21"/>
                <w:szCs w:val="21"/>
                <w:color w:val="auto"/>
              </w:rPr>
            </w:pP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(28,821)</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14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(42,571)</w:t>
            </w:r>
          </w:p>
        </w:tc>
        <w:tc>
          <w:tcPr>
            <w:tcW w:w="0" w:type="dxa"/>
            <w:vAlign w:val="bottom"/>
          </w:tcPr>
          <w:p>
            <w:pPr>
              <w:spacing w:after="0"/>
              <w:rPr>
                <w:sz w:val="1"/>
                <w:szCs w:val="1"/>
                <w:color w:val="auto"/>
              </w:rPr>
            </w:pPr>
          </w:p>
        </w:tc>
      </w:tr>
      <w:tr>
        <w:trPr>
          <w:trHeight w:val="235"/>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Interest expense</w:t>
            </w:r>
          </w:p>
        </w:tc>
        <w:tc>
          <w:tcPr>
            <w:tcW w:w="36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429</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542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1,016</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2,260</w:t>
            </w:r>
          </w:p>
        </w:tc>
        <w:tc>
          <w:tcPr>
            <w:tcW w:w="0" w:type="dxa"/>
            <w:vAlign w:val="bottom"/>
          </w:tcPr>
          <w:p>
            <w:pPr>
              <w:spacing w:after="0"/>
              <w:rPr>
                <w:sz w:val="1"/>
                <w:szCs w:val="1"/>
                <w:color w:val="auto"/>
              </w:rPr>
            </w:pPr>
          </w:p>
        </w:tc>
      </w:tr>
      <w:tr>
        <w:trPr>
          <w:trHeight w:val="251"/>
        </w:trPr>
        <w:tc>
          <w:tcPr>
            <w:tcW w:w="46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Depreciation and amortization</w:t>
            </w: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63,048</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14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49,936</w:t>
            </w:r>
          </w:p>
        </w:tc>
        <w:tc>
          <w:tcPr>
            <w:tcW w:w="80" w:type="dxa"/>
            <w:vAlign w:val="bottom"/>
            <w:shd w:val="clear" w:color="auto" w:fill="D5DCE4"/>
          </w:tcPr>
          <w:p>
            <w:pPr>
              <w:spacing w:after="0"/>
              <w:rPr>
                <w:sz w:val="21"/>
                <w:szCs w:val="21"/>
                <w:color w:val="auto"/>
              </w:rPr>
            </w:pP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125,747</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14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99,273</w:t>
            </w:r>
          </w:p>
        </w:tc>
        <w:tc>
          <w:tcPr>
            <w:tcW w:w="0" w:type="dxa"/>
            <w:vAlign w:val="bottom"/>
          </w:tcPr>
          <w:p>
            <w:pPr>
              <w:spacing w:after="0"/>
              <w:rPr>
                <w:sz w:val="1"/>
                <w:szCs w:val="1"/>
                <w:color w:val="auto"/>
              </w:rPr>
            </w:pPr>
          </w:p>
        </w:tc>
      </w:tr>
      <w:tr>
        <w:trPr>
          <w:trHeight w:val="243"/>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(2)</w:t>
            </w:r>
          </w:p>
        </w:tc>
        <w:tc>
          <w:tcPr>
            <w:tcW w:w="360" w:type="dxa"/>
            <w:vAlign w:val="bottom"/>
          </w:tcPr>
          <w:p>
            <w:pPr>
              <w:spacing w:after="0"/>
              <w:rPr>
                <w:sz w:val="21"/>
                <w:szCs w:val="21"/>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601</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531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1,195</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1,714</w:t>
            </w:r>
          </w:p>
        </w:tc>
        <w:tc>
          <w:tcPr>
            <w:tcW w:w="0" w:type="dxa"/>
            <w:vAlign w:val="bottom"/>
          </w:tcPr>
          <w:p>
            <w:pPr>
              <w:spacing w:after="0"/>
              <w:rPr>
                <w:sz w:val="1"/>
                <w:szCs w:val="1"/>
                <w:color w:val="auto"/>
              </w:rPr>
            </w:pPr>
          </w:p>
        </w:tc>
      </w:tr>
      <w:tr>
        <w:trPr>
          <w:trHeight w:val="243"/>
        </w:trPr>
        <w:tc>
          <w:tcPr>
            <w:tcW w:w="46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Provision for income taxes</w:t>
            </w: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51,539</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14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47,047</w:t>
            </w:r>
          </w:p>
        </w:tc>
        <w:tc>
          <w:tcPr>
            <w:tcW w:w="80" w:type="dxa"/>
            <w:vAlign w:val="bottom"/>
            <w:shd w:val="clear" w:color="auto" w:fill="D5DCE4"/>
          </w:tcPr>
          <w:p>
            <w:pPr>
              <w:spacing w:after="0"/>
              <w:rPr>
                <w:sz w:val="21"/>
                <w:szCs w:val="21"/>
                <w:color w:val="auto"/>
              </w:rPr>
            </w:pP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104,818</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14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90,685</w:t>
            </w:r>
          </w:p>
        </w:tc>
        <w:tc>
          <w:tcPr>
            <w:tcW w:w="0" w:type="dxa"/>
            <w:vAlign w:val="bottom"/>
          </w:tcPr>
          <w:p>
            <w:pPr>
              <w:spacing w:after="0"/>
              <w:rPr>
                <w:sz w:val="1"/>
                <w:szCs w:val="1"/>
                <w:color w:val="auto"/>
              </w:rPr>
            </w:pPr>
          </w:p>
        </w:tc>
      </w:tr>
      <w:tr>
        <w:trPr>
          <w:trHeight w:val="243"/>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(3)</w:t>
            </w:r>
          </w:p>
        </w:tc>
        <w:tc>
          <w:tcPr>
            <w:tcW w:w="360" w:type="dxa"/>
            <w:vAlign w:val="bottom"/>
          </w:tcPr>
          <w:p>
            <w:pPr>
              <w:spacing w:after="0"/>
              <w:rPr>
                <w:sz w:val="21"/>
                <w:szCs w:val="21"/>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10,622</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(78)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18,951</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(2,362)</w:t>
            </w:r>
          </w:p>
        </w:tc>
        <w:tc>
          <w:tcPr>
            <w:tcW w:w="0" w:type="dxa"/>
            <w:vAlign w:val="bottom"/>
          </w:tcPr>
          <w:p>
            <w:pPr>
              <w:spacing w:after="0"/>
              <w:rPr>
                <w:sz w:val="1"/>
                <w:szCs w:val="1"/>
                <w:color w:val="auto"/>
              </w:rPr>
            </w:pPr>
          </w:p>
        </w:tc>
      </w:tr>
      <w:tr>
        <w:trPr>
          <w:trHeight w:val="243"/>
        </w:trPr>
        <w:tc>
          <w:tcPr>
            <w:tcW w:w="46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Tax receivable agreement liability adjustment </w:t>
            </w:r>
            <w:r>
              <w:rPr>
                <w:rFonts w:ascii="Arial" w:cs="Arial" w:eastAsia="Arial" w:hAnsi="Arial"/>
                <w:sz w:val="21"/>
                <w:szCs w:val="21"/>
                <w:color w:val="auto"/>
                <w:vertAlign w:val="superscript"/>
              </w:rPr>
              <w:t>(4)</w:t>
            </w:r>
          </w:p>
        </w:tc>
        <w:tc>
          <w:tcPr>
            <w:tcW w:w="360" w:type="dxa"/>
            <w:vAlign w:val="bottom"/>
            <w:shd w:val="clear" w:color="auto" w:fill="D5DCE4"/>
          </w:tcPr>
          <w:p>
            <w:pPr>
              <w:spacing w:after="0"/>
              <w:rPr>
                <w:sz w:val="21"/>
                <w:szCs w:val="21"/>
                <w:color w:val="auto"/>
              </w:rPr>
            </w:pPr>
          </w:p>
        </w:tc>
        <w:tc>
          <w:tcPr>
            <w:tcW w:w="1300" w:type="dxa"/>
            <w:vAlign w:val="bottom"/>
            <w:gridSpan w:val="2"/>
            <w:shd w:val="clear" w:color="auto" w:fill="D5DCE4"/>
          </w:tcPr>
          <w:p>
            <w:pPr>
              <w:jc w:val="right"/>
              <w:ind w:right="280"/>
              <w:spacing w:after="0"/>
              <w:rPr>
                <w:sz w:val="20"/>
                <w:szCs w:val="20"/>
                <w:color w:val="auto"/>
              </w:rPr>
            </w:pPr>
            <w:r>
              <w:rPr>
                <w:rFonts w:ascii="Arial" w:cs="Arial" w:eastAsia="Arial" w:hAnsi="Arial"/>
                <w:sz w:val="16"/>
                <w:szCs w:val="16"/>
                <w:color w:val="auto"/>
              </w:rPr>
              <w:t>—</w:t>
            </w:r>
          </w:p>
        </w:tc>
        <w:tc>
          <w:tcPr>
            <w:tcW w:w="440" w:type="dxa"/>
            <w:vAlign w:val="bottom"/>
            <w:shd w:val="clear" w:color="auto" w:fill="D5DCE4"/>
          </w:tcPr>
          <w:p>
            <w:pPr>
              <w:spacing w:after="0"/>
              <w:rPr>
                <w:sz w:val="21"/>
                <w:szCs w:val="21"/>
                <w:color w:val="auto"/>
              </w:rPr>
            </w:pPr>
          </w:p>
        </w:tc>
        <w:tc>
          <w:tcPr>
            <w:tcW w:w="1220" w:type="dxa"/>
            <w:vAlign w:val="bottom"/>
            <w:gridSpan w:val="2"/>
            <w:shd w:val="clear" w:color="auto" w:fill="D5DCE4"/>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shd w:val="clear" w:color="auto" w:fill="D5DCE4"/>
          </w:tcPr>
          <w:p>
            <w:pPr>
              <w:spacing w:after="0"/>
              <w:rPr>
                <w:sz w:val="21"/>
                <w:szCs w:val="21"/>
                <w:color w:val="auto"/>
              </w:rPr>
            </w:pPr>
          </w:p>
        </w:tc>
        <w:tc>
          <w:tcPr>
            <w:tcW w:w="1300" w:type="dxa"/>
            <w:vAlign w:val="bottom"/>
            <w:gridSpan w:val="2"/>
            <w:shd w:val="clear" w:color="auto" w:fill="D5DCE4"/>
          </w:tcPr>
          <w:p>
            <w:pPr>
              <w:jc w:val="right"/>
              <w:ind w:right="280"/>
              <w:spacing w:after="0"/>
              <w:rPr>
                <w:sz w:val="20"/>
                <w:szCs w:val="20"/>
                <w:color w:val="auto"/>
              </w:rPr>
            </w:pPr>
            <w:r>
              <w:rPr>
                <w:rFonts w:ascii="Arial" w:cs="Arial" w:eastAsia="Arial" w:hAnsi="Arial"/>
                <w:sz w:val="16"/>
                <w:szCs w:val="16"/>
                <w:color w:val="auto"/>
              </w:rPr>
              <w:t>—</w:t>
            </w:r>
          </w:p>
        </w:tc>
        <w:tc>
          <w:tcPr>
            <w:tcW w:w="440" w:type="dxa"/>
            <w:vAlign w:val="bottom"/>
            <w:shd w:val="clear" w:color="auto" w:fill="D5DCE4"/>
          </w:tcPr>
          <w:p>
            <w:pPr>
              <w:spacing w:after="0"/>
              <w:rPr>
                <w:sz w:val="21"/>
                <w:szCs w:val="21"/>
                <w:color w:val="auto"/>
              </w:rPr>
            </w:pPr>
          </w:p>
        </w:tc>
        <w:tc>
          <w:tcPr>
            <w:tcW w:w="114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Other (income) loss, net</w:t>
            </w:r>
          </w:p>
        </w:tc>
        <w:tc>
          <w:tcPr>
            <w:tcW w:w="360" w:type="dxa"/>
            <w:vAlign w:val="bottom"/>
          </w:tcPr>
          <w:p>
            <w:pPr>
              <w:spacing w:after="0"/>
              <w:rPr>
                <w:sz w:val="20"/>
                <w:szCs w:val="20"/>
                <w:color w:val="auto"/>
              </w:rPr>
            </w:pPr>
          </w:p>
        </w:tc>
        <w:tc>
          <w:tcPr>
            <w:tcW w:w="1220" w:type="dxa"/>
            <w:vAlign w:val="bottom"/>
          </w:tcPr>
          <w:p>
            <w:pPr>
              <w:ind w:left="460"/>
              <w:spacing w:after="0"/>
              <w:rPr>
                <w:sz w:val="20"/>
                <w:szCs w:val="20"/>
                <w:color w:val="auto"/>
              </w:rPr>
            </w:pPr>
            <w:r>
              <w:rPr>
                <w:rFonts w:ascii="Arial" w:cs="Arial" w:eastAsia="Arial" w:hAnsi="Arial"/>
                <w:sz w:val="16"/>
                <w:szCs w:val="16"/>
                <w:color w:val="auto"/>
              </w:rPr>
              <w:t>(12,665)</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(16,886)</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8"/>
        </w:trPr>
        <w:tc>
          <w:tcPr>
            <w:tcW w:w="4680" w:type="dxa"/>
            <w:vAlign w:val="bottom"/>
            <w:tcBorders>
              <w:top w:val="single" w:sz="8" w:color="D5DCE4"/>
              <w:bottom w:val="single" w:sz="8" w:color="D5DCE4"/>
            </w:tcBorders>
            <w:gridSpan w:val="2"/>
            <w:shd w:val="clear" w:color="auto" w:fill="D5DCE4"/>
          </w:tcPr>
          <w:p>
            <w:pPr>
              <w:ind w:left="20"/>
              <w:spacing w:after="0"/>
              <w:rPr>
                <w:sz w:val="20"/>
                <w:szCs w:val="20"/>
                <w:color w:val="auto"/>
              </w:rPr>
            </w:pPr>
            <w:r>
              <w:rPr>
                <w:rFonts w:ascii="Arial" w:cs="Arial" w:eastAsia="Arial" w:hAnsi="Arial"/>
                <w:sz w:val="16"/>
                <w:szCs w:val="16"/>
                <w:color w:val="auto"/>
              </w:rPr>
              <w:t>Adjusted EBITDA</w:t>
            </w:r>
          </w:p>
        </w:tc>
        <w:tc>
          <w:tcPr>
            <w:tcW w:w="360" w:type="dxa"/>
            <w:vAlign w:val="bottom"/>
            <w:tcBorders>
              <w:top w:val="single" w:sz="8" w:color="auto"/>
              <w:bottom w:val="single" w:sz="8" w:color="auto"/>
            </w:tcBorders>
            <w:shd w:val="clear" w:color="auto" w:fill="D5DCE4"/>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277,896</w:t>
            </w:r>
          </w:p>
        </w:tc>
        <w:tc>
          <w:tcPr>
            <w:tcW w:w="80" w:type="dxa"/>
            <w:vAlign w:val="bottom"/>
            <w:tcBorders>
              <w:top w:val="single" w:sz="8" w:color="D5DCE4"/>
              <w:bottom w:val="single" w:sz="8" w:color="D5DCE4"/>
            </w:tcBorders>
            <w:shd w:val="clear" w:color="auto" w:fill="D5DCE4"/>
          </w:tcPr>
          <w:p>
            <w:pPr>
              <w:spacing w:after="0"/>
              <w:rPr>
                <w:sz w:val="22"/>
                <w:szCs w:val="22"/>
                <w:color w:val="auto"/>
              </w:rPr>
            </w:pPr>
          </w:p>
        </w:tc>
        <w:tc>
          <w:tcPr>
            <w:tcW w:w="440" w:type="dxa"/>
            <w:vAlign w:val="bottom"/>
            <w:tcBorders>
              <w:top w:val="single" w:sz="8" w:color="auto"/>
              <w:bottom w:val="single" w:sz="8" w:color="auto"/>
            </w:tcBorders>
            <w:shd w:val="clear" w:color="auto" w:fill="D5DCE4"/>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216,533</w:t>
            </w:r>
          </w:p>
        </w:tc>
        <w:tc>
          <w:tcPr>
            <w:tcW w:w="80" w:type="dxa"/>
            <w:vAlign w:val="bottom"/>
            <w:tcBorders>
              <w:top w:val="single" w:sz="8" w:color="D5DCE4"/>
              <w:bottom w:val="single" w:sz="8" w:color="D5DCE4"/>
            </w:tcBorders>
            <w:shd w:val="clear" w:color="auto" w:fill="D5DCE4"/>
          </w:tcPr>
          <w:p>
            <w:pPr>
              <w:spacing w:after="0"/>
              <w:rPr>
                <w:sz w:val="22"/>
                <w:szCs w:val="22"/>
                <w:color w:val="auto"/>
              </w:rPr>
            </w:pPr>
          </w:p>
        </w:tc>
        <w:tc>
          <w:tcPr>
            <w:tcW w:w="360" w:type="dxa"/>
            <w:vAlign w:val="bottom"/>
            <w:tcBorders>
              <w:top w:val="single" w:sz="8" w:color="auto"/>
              <w:bottom w:val="single" w:sz="8" w:color="auto"/>
            </w:tcBorders>
            <w:shd w:val="clear" w:color="auto" w:fill="D5DCE4"/>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556,115</w:t>
            </w:r>
          </w:p>
        </w:tc>
        <w:tc>
          <w:tcPr>
            <w:tcW w:w="80" w:type="dxa"/>
            <w:vAlign w:val="bottom"/>
            <w:tcBorders>
              <w:top w:val="single" w:sz="8" w:color="D5DCE4"/>
              <w:bottom w:val="single" w:sz="8" w:color="D5DCE4"/>
            </w:tcBorders>
            <w:shd w:val="clear" w:color="auto" w:fill="D5DCE4"/>
          </w:tcPr>
          <w:p>
            <w:pPr>
              <w:spacing w:after="0"/>
              <w:rPr>
                <w:sz w:val="22"/>
                <w:szCs w:val="22"/>
                <w:color w:val="auto"/>
              </w:rPr>
            </w:pPr>
          </w:p>
        </w:tc>
        <w:tc>
          <w:tcPr>
            <w:tcW w:w="440" w:type="dxa"/>
            <w:vAlign w:val="bottom"/>
            <w:tcBorders>
              <w:top w:val="single" w:sz="8" w:color="auto"/>
              <w:bottom w:val="single" w:sz="8" w:color="auto"/>
            </w:tcBorders>
            <w:shd w:val="clear" w:color="auto" w:fill="D5DCE4"/>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436,061</w:t>
            </w:r>
          </w:p>
        </w:tc>
        <w:tc>
          <w:tcPr>
            <w:tcW w:w="0" w:type="dxa"/>
            <w:vAlign w:val="bottom"/>
          </w:tcPr>
          <w:p>
            <w:pPr>
              <w:spacing w:after="0"/>
              <w:rPr>
                <w:sz w:val="1"/>
                <w:szCs w:val="1"/>
                <w:color w:val="auto"/>
              </w:rPr>
            </w:pPr>
          </w:p>
        </w:tc>
      </w:tr>
      <w:tr>
        <w:trPr>
          <w:trHeight w:val="20"/>
        </w:trPr>
        <w:tc>
          <w:tcPr>
            <w:tcW w:w="460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60" w:type="dxa"/>
            <w:vAlign w:val="bottom"/>
            <w:tcBorders>
              <w:top w:val="single" w:sz="8" w:color="D5DCE4"/>
              <w:bottom w:val="single" w:sz="8" w:color="auto"/>
            </w:tcBorders>
          </w:tcPr>
          <w:p>
            <w:pPr>
              <w:spacing w:after="0" w:line="20" w:lineRule="exact"/>
              <w:rPr>
                <w:sz w:val="1"/>
                <w:szCs w:val="1"/>
                <w:color w:val="auto"/>
              </w:rPr>
            </w:pPr>
          </w:p>
        </w:tc>
        <w:tc>
          <w:tcPr>
            <w:tcW w:w="12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40" w:type="dxa"/>
            <w:vAlign w:val="bottom"/>
            <w:tcBorders>
              <w:top w:val="single" w:sz="8" w:color="D5DCE4"/>
              <w:bottom w:val="single" w:sz="8" w:color="auto"/>
            </w:tcBorders>
          </w:tcPr>
          <w:p>
            <w:pPr>
              <w:spacing w:after="0" w:line="20" w:lineRule="exact"/>
              <w:rPr>
                <w:sz w:val="1"/>
                <w:szCs w:val="1"/>
                <w:color w:val="auto"/>
              </w:rPr>
            </w:pPr>
          </w:p>
        </w:tc>
        <w:tc>
          <w:tcPr>
            <w:tcW w:w="114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60" w:type="dxa"/>
            <w:vAlign w:val="bottom"/>
            <w:tcBorders>
              <w:top w:val="single" w:sz="8" w:color="D5DCE4"/>
              <w:bottom w:val="single" w:sz="8" w:color="auto"/>
            </w:tcBorders>
          </w:tcPr>
          <w:p>
            <w:pPr>
              <w:spacing w:after="0" w:line="20" w:lineRule="exact"/>
              <w:rPr>
                <w:sz w:val="1"/>
                <w:szCs w:val="1"/>
                <w:color w:val="auto"/>
              </w:rPr>
            </w:pPr>
          </w:p>
        </w:tc>
        <w:tc>
          <w:tcPr>
            <w:tcW w:w="12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40" w:type="dxa"/>
            <w:vAlign w:val="bottom"/>
            <w:tcBorders>
              <w:top w:val="single" w:sz="8" w:color="D5DCE4"/>
              <w:bottom w:val="single" w:sz="8" w:color="auto"/>
            </w:tcBorders>
          </w:tcPr>
          <w:p>
            <w:pPr>
              <w:spacing w:after="0" w:line="20" w:lineRule="exact"/>
              <w:rPr>
                <w:sz w:val="1"/>
                <w:szCs w:val="1"/>
                <w:color w:val="auto"/>
              </w:rPr>
            </w:pPr>
          </w:p>
        </w:tc>
        <w:tc>
          <w:tcPr>
            <w:tcW w:w="1140" w:type="dxa"/>
            <w:vAlign w:val="bottom"/>
            <w:tcBorders>
              <w:top w:val="single" w:sz="8" w:color="D5DCE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Less: Depreciation and amortization</w:t>
            </w:r>
          </w:p>
        </w:tc>
        <w:tc>
          <w:tcPr>
            <w:tcW w:w="360" w:type="dxa"/>
            <w:vAlign w:val="bottom"/>
          </w:tcPr>
          <w:p>
            <w:pPr>
              <w:spacing w:after="0"/>
              <w:rPr>
                <w:sz w:val="18"/>
                <w:szCs w:val="18"/>
                <w:color w:val="auto"/>
              </w:rPr>
            </w:pPr>
          </w:p>
        </w:tc>
        <w:tc>
          <w:tcPr>
            <w:tcW w:w="1220" w:type="dxa"/>
            <w:vAlign w:val="bottom"/>
          </w:tcPr>
          <w:p>
            <w:pPr>
              <w:ind w:left="460"/>
              <w:spacing w:after="0"/>
              <w:rPr>
                <w:sz w:val="20"/>
                <w:szCs w:val="20"/>
                <w:color w:val="auto"/>
              </w:rPr>
            </w:pPr>
            <w:r>
              <w:rPr>
                <w:rFonts w:ascii="Arial" w:cs="Arial" w:eastAsia="Arial" w:hAnsi="Arial"/>
                <w:sz w:val="16"/>
                <w:szCs w:val="16"/>
                <w:color w:val="auto"/>
              </w:rPr>
              <w:t>(63,048)</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(49,936)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(125,747)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(99,273)</w:t>
            </w:r>
          </w:p>
        </w:tc>
        <w:tc>
          <w:tcPr>
            <w:tcW w:w="0" w:type="dxa"/>
            <w:vAlign w:val="bottom"/>
          </w:tcPr>
          <w:p>
            <w:pPr>
              <w:spacing w:after="0"/>
              <w:rPr>
                <w:sz w:val="1"/>
                <w:szCs w:val="1"/>
                <w:color w:val="auto"/>
              </w:rPr>
            </w:pPr>
          </w:p>
        </w:tc>
      </w:tr>
      <w:tr>
        <w:trPr>
          <w:trHeight w:val="183"/>
        </w:trPr>
        <w:tc>
          <w:tcPr>
            <w:tcW w:w="46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Add: D&amp;A related to acquisitions and the Refinitiv Transaction</w:t>
            </w:r>
          </w:p>
        </w:tc>
        <w:tc>
          <w:tcPr>
            <w:tcW w:w="360" w:type="dxa"/>
            <w:vAlign w:val="bottom"/>
            <w:shd w:val="clear" w:color="auto" w:fill="D5DCE4"/>
          </w:tcPr>
          <w:p>
            <w:pPr>
              <w:spacing w:after="0"/>
              <w:rPr>
                <w:sz w:val="15"/>
                <w:szCs w:val="15"/>
                <w:color w:val="auto"/>
              </w:rPr>
            </w:pPr>
          </w:p>
        </w:tc>
        <w:tc>
          <w:tcPr>
            <w:tcW w:w="1220" w:type="dxa"/>
            <w:vAlign w:val="bottom"/>
            <w:vMerge w:val="restart"/>
            <w:shd w:val="clear" w:color="auto" w:fill="D5DCE4"/>
          </w:tcPr>
          <w:p>
            <w:pPr>
              <w:jc w:val="right"/>
              <w:ind w:right="119"/>
              <w:spacing w:after="0"/>
              <w:rPr>
                <w:sz w:val="20"/>
                <w:szCs w:val="20"/>
                <w:color w:val="auto"/>
              </w:rPr>
            </w:pPr>
            <w:r>
              <w:rPr>
                <w:rFonts w:ascii="Arial" w:cs="Arial" w:eastAsia="Arial" w:hAnsi="Arial"/>
                <w:sz w:val="16"/>
                <w:szCs w:val="16"/>
                <w:color w:val="auto"/>
              </w:rPr>
              <w:t>45,474</w:t>
            </w:r>
          </w:p>
        </w:tc>
        <w:tc>
          <w:tcPr>
            <w:tcW w:w="80" w:type="dxa"/>
            <w:vAlign w:val="bottom"/>
            <w:shd w:val="clear" w:color="auto" w:fill="D5DCE4"/>
          </w:tcPr>
          <w:p>
            <w:pPr>
              <w:spacing w:after="0"/>
              <w:rPr>
                <w:sz w:val="15"/>
                <w:szCs w:val="15"/>
                <w:color w:val="auto"/>
              </w:rPr>
            </w:pPr>
          </w:p>
        </w:tc>
        <w:tc>
          <w:tcPr>
            <w:tcW w:w="440" w:type="dxa"/>
            <w:vAlign w:val="bottom"/>
            <w:shd w:val="clear" w:color="auto" w:fill="D5DCE4"/>
          </w:tcPr>
          <w:p>
            <w:pPr>
              <w:spacing w:after="0"/>
              <w:rPr>
                <w:sz w:val="15"/>
                <w:szCs w:val="15"/>
                <w:color w:val="auto"/>
              </w:rPr>
            </w:pPr>
          </w:p>
        </w:tc>
        <w:tc>
          <w:tcPr>
            <w:tcW w:w="1140" w:type="dxa"/>
            <w:vAlign w:val="bottom"/>
            <w:vMerge w:val="restart"/>
            <w:shd w:val="clear" w:color="auto" w:fill="D5DCE4"/>
          </w:tcPr>
          <w:p>
            <w:pPr>
              <w:jc w:val="right"/>
              <w:ind w:right="119"/>
              <w:spacing w:after="0"/>
              <w:rPr>
                <w:sz w:val="20"/>
                <w:szCs w:val="20"/>
                <w:color w:val="auto"/>
              </w:rPr>
            </w:pPr>
            <w:r>
              <w:rPr>
                <w:rFonts w:ascii="Arial" w:cs="Arial" w:eastAsia="Arial" w:hAnsi="Arial"/>
                <w:sz w:val="16"/>
                <w:szCs w:val="16"/>
                <w:color w:val="auto"/>
              </w:rPr>
              <w:t>34,715</w:t>
            </w:r>
          </w:p>
        </w:tc>
        <w:tc>
          <w:tcPr>
            <w:tcW w:w="80" w:type="dxa"/>
            <w:vAlign w:val="bottom"/>
            <w:shd w:val="clear" w:color="auto" w:fill="D5DCE4"/>
          </w:tcPr>
          <w:p>
            <w:pPr>
              <w:spacing w:after="0"/>
              <w:rPr>
                <w:sz w:val="15"/>
                <w:szCs w:val="15"/>
                <w:color w:val="auto"/>
              </w:rPr>
            </w:pPr>
          </w:p>
        </w:tc>
        <w:tc>
          <w:tcPr>
            <w:tcW w:w="360" w:type="dxa"/>
            <w:vAlign w:val="bottom"/>
            <w:shd w:val="clear" w:color="auto" w:fill="D5DCE4"/>
          </w:tcPr>
          <w:p>
            <w:pPr>
              <w:spacing w:after="0"/>
              <w:rPr>
                <w:sz w:val="15"/>
                <w:szCs w:val="15"/>
                <w:color w:val="auto"/>
              </w:rPr>
            </w:pPr>
          </w:p>
        </w:tc>
        <w:tc>
          <w:tcPr>
            <w:tcW w:w="1220" w:type="dxa"/>
            <w:vAlign w:val="bottom"/>
            <w:vMerge w:val="restart"/>
            <w:shd w:val="clear" w:color="auto" w:fill="D5DCE4"/>
          </w:tcPr>
          <w:p>
            <w:pPr>
              <w:jc w:val="right"/>
              <w:ind w:right="119"/>
              <w:spacing w:after="0"/>
              <w:rPr>
                <w:sz w:val="20"/>
                <w:szCs w:val="20"/>
                <w:color w:val="auto"/>
              </w:rPr>
            </w:pPr>
            <w:r>
              <w:rPr>
                <w:rFonts w:ascii="Arial" w:cs="Arial" w:eastAsia="Arial" w:hAnsi="Arial"/>
                <w:sz w:val="16"/>
                <w:szCs w:val="16"/>
                <w:color w:val="auto"/>
              </w:rPr>
              <w:t>90,947</w:t>
            </w:r>
          </w:p>
        </w:tc>
        <w:tc>
          <w:tcPr>
            <w:tcW w:w="80" w:type="dxa"/>
            <w:vAlign w:val="bottom"/>
            <w:shd w:val="clear" w:color="auto" w:fill="D5DCE4"/>
          </w:tcPr>
          <w:p>
            <w:pPr>
              <w:spacing w:after="0"/>
              <w:rPr>
                <w:sz w:val="15"/>
                <w:szCs w:val="15"/>
                <w:color w:val="auto"/>
              </w:rPr>
            </w:pPr>
          </w:p>
        </w:tc>
        <w:tc>
          <w:tcPr>
            <w:tcW w:w="440" w:type="dxa"/>
            <w:vAlign w:val="bottom"/>
            <w:shd w:val="clear" w:color="auto" w:fill="D5DCE4"/>
          </w:tcPr>
          <w:p>
            <w:pPr>
              <w:spacing w:after="0"/>
              <w:rPr>
                <w:sz w:val="15"/>
                <w:szCs w:val="15"/>
                <w:color w:val="auto"/>
              </w:rPr>
            </w:pPr>
          </w:p>
        </w:tc>
        <w:tc>
          <w:tcPr>
            <w:tcW w:w="1140" w:type="dxa"/>
            <w:vAlign w:val="bottom"/>
            <w:vMerge w:val="restart"/>
            <w:shd w:val="clear" w:color="auto" w:fill="D5DCE4"/>
          </w:tcPr>
          <w:p>
            <w:pPr>
              <w:jc w:val="right"/>
              <w:ind w:right="119"/>
              <w:spacing w:after="0"/>
              <w:rPr>
                <w:sz w:val="20"/>
                <w:szCs w:val="20"/>
                <w:color w:val="auto"/>
              </w:rPr>
            </w:pPr>
            <w:r>
              <w:rPr>
                <w:rFonts w:ascii="Arial" w:cs="Arial" w:eastAsia="Arial" w:hAnsi="Arial"/>
                <w:sz w:val="16"/>
                <w:szCs w:val="16"/>
                <w:color w:val="auto"/>
              </w:rPr>
              <w:t>69,082</w:t>
            </w:r>
          </w:p>
        </w:tc>
        <w:tc>
          <w:tcPr>
            <w:tcW w:w="0" w:type="dxa"/>
            <w:vAlign w:val="bottom"/>
          </w:tcPr>
          <w:p>
            <w:pPr>
              <w:spacing w:after="0"/>
              <w:rPr>
                <w:sz w:val="1"/>
                <w:szCs w:val="1"/>
                <w:color w:val="auto"/>
              </w:rPr>
            </w:pPr>
          </w:p>
        </w:tc>
      </w:tr>
      <w:tr>
        <w:trPr>
          <w:trHeight w:val="196"/>
        </w:trPr>
        <w:tc>
          <w:tcPr>
            <w:tcW w:w="4600" w:type="dxa"/>
            <w:vAlign w:val="bottom"/>
            <w:tcBorders>
              <w:bottom w:val="single" w:sz="8" w:color="D5DCE4"/>
            </w:tcBorders>
            <w:shd w:val="clear" w:color="auto" w:fill="D5DCE4"/>
          </w:tcPr>
          <w:p>
            <w:pPr>
              <w:ind w:left="20"/>
              <w:spacing w:after="0"/>
              <w:rPr>
                <w:sz w:val="20"/>
                <w:szCs w:val="20"/>
                <w:color w:val="auto"/>
              </w:rPr>
            </w:pPr>
            <w:r>
              <w:rPr>
                <w:rFonts w:ascii="Arial" w:cs="Arial" w:eastAsia="Arial" w:hAnsi="Arial"/>
                <w:sz w:val="11"/>
                <w:szCs w:val="11"/>
                <w:color w:val="auto"/>
              </w:rPr>
              <w:t>(5)</w:t>
            </w:r>
          </w:p>
        </w:tc>
        <w:tc>
          <w:tcPr>
            <w:tcW w:w="80" w:type="dxa"/>
            <w:vAlign w:val="bottom"/>
            <w:tcBorders>
              <w:bottom w:val="single" w:sz="8" w:color="D5DCE4"/>
            </w:tcBorders>
            <w:shd w:val="clear" w:color="auto" w:fill="D5DCE4"/>
          </w:tcPr>
          <w:p>
            <w:pPr>
              <w:spacing w:after="0"/>
              <w:rPr>
                <w:sz w:val="17"/>
                <w:szCs w:val="17"/>
                <w:color w:val="auto"/>
              </w:rPr>
            </w:pPr>
          </w:p>
        </w:tc>
        <w:tc>
          <w:tcPr>
            <w:tcW w:w="360" w:type="dxa"/>
            <w:vAlign w:val="bottom"/>
            <w:tcBorders>
              <w:bottom w:val="single" w:sz="8" w:color="D5DCE4"/>
            </w:tcBorders>
            <w:shd w:val="clear" w:color="auto" w:fill="D5DCE4"/>
          </w:tcPr>
          <w:p>
            <w:pPr>
              <w:spacing w:after="0"/>
              <w:rPr>
                <w:sz w:val="17"/>
                <w:szCs w:val="17"/>
                <w:color w:val="auto"/>
              </w:rPr>
            </w:pPr>
          </w:p>
        </w:tc>
        <w:tc>
          <w:tcPr>
            <w:tcW w:w="1220" w:type="dxa"/>
            <w:vAlign w:val="bottom"/>
            <w:tcBorders>
              <w:bottom w:val="single" w:sz="8" w:color="D5DCE4"/>
            </w:tcBorders>
            <w:vMerge w:val="continue"/>
            <w:shd w:val="clear" w:color="auto" w:fill="D5DCE4"/>
          </w:tcPr>
          <w:p>
            <w:pPr>
              <w:spacing w:after="0"/>
              <w:rPr>
                <w:sz w:val="17"/>
                <w:szCs w:val="17"/>
                <w:color w:val="auto"/>
              </w:rPr>
            </w:pPr>
          </w:p>
        </w:tc>
        <w:tc>
          <w:tcPr>
            <w:tcW w:w="80" w:type="dxa"/>
            <w:vAlign w:val="bottom"/>
            <w:tcBorders>
              <w:bottom w:val="single" w:sz="8" w:color="D5DCE4"/>
            </w:tcBorders>
            <w:shd w:val="clear" w:color="auto" w:fill="D5DCE4"/>
          </w:tcPr>
          <w:p>
            <w:pPr>
              <w:spacing w:after="0"/>
              <w:rPr>
                <w:sz w:val="17"/>
                <w:szCs w:val="17"/>
                <w:color w:val="auto"/>
              </w:rPr>
            </w:pPr>
          </w:p>
        </w:tc>
        <w:tc>
          <w:tcPr>
            <w:tcW w:w="440" w:type="dxa"/>
            <w:vAlign w:val="bottom"/>
            <w:tcBorders>
              <w:bottom w:val="single" w:sz="8" w:color="D5DCE4"/>
            </w:tcBorders>
            <w:shd w:val="clear" w:color="auto" w:fill="D5DCE4"/>
          </w:tcPr>
          <w:p>
            <w:pPr>
              <w:spacing w:after="0"/>
              <w:rPr>
                <w:sz w:val="17"/>
                <w:szCs w:val="17"/>
                <w:color w:val="auto"/>
              </w:rPr>
            </w:pPr>
          </w:p>
        </w:tc>
        <w:tc>
          <w:tcPr>
            <w:tcW w:w="1140" w:type="dxa"/>
            <w:vAlign w:val="bottom"/>
            <w:tcBorders>
              <w:bottom w:val="single" w:sz="8" w:color="D5DCE4"/>
            </w:tcBorders>
            <w:vMerge w:val="continue"/>
            <w:shd w:val="clear" w:color="auto" w:fill="D5DCE4"/>
          </w:tcPr>
          <w:p>
            <w:pPr>
              <w:spacing w:after="0"/>
              <w:rPr>
                <w:sz w:val="17"/>
                <w:szCs w:val="17"/>
                <w:color w:val="auto"/>
              </w:rPr>
            </w:pPr>
          </w:p>
        </w:tc>
        <w:tc>
          <w:tcPr>
            <w:tcW w:w="80" w:type="dxa"/>
            <w:vAlign w:val="bottom"/>
            <w:tcBorders>
              <w:bottom w:val="single" w:sz="8" w:color="D5DCE4"/>
            </w:tcBorders>
            <w:shd w:val="clear" w:color="auto" w:fill="D5DCE4"/>
          </w:tcPr>
          <w:p>
            <w:pPr>
              <w:spacing w:after="0"/>
              <w:rPr>
                <w:sz w:val="17"/>
                <w:szCs w:val="17"/>
                <w:color w:val="auto"/>
              </w:rPr>
            </w:pPr>
          </w:p>
        </w:tc>
        <w:tc>
          <w:tcPr>
            <w:tcW w:w="360" w:type="dxa"/>
            <w:vAlign w:val="bottom"/>
            <w:tcBorders>
              <w:bottom w:val="single" w:sz="8" w:color="D5DCE4"/>
            </w:tcBorders>
            <w:shd w:val="clear" w:color="auto" w:fill="D5DCE4"/>
          </w:tcPr>
          <w:p>
            <w:pPr>
              <w:spacing w:after="0"/>
              <w:rPr>
                <w:sz w:val="17"/>
                <w:szCs w:val="17"/>
                <w:color w:val="auto"/>
              </w:rPr>
            </w:pPr>
          </w:p>
        </w:tc>
        <w:tc>
          <w:tcPr>
            <w:tcW w:w="1220" w:type="dxa"/>
            <w:vAlign w:val="bottom"/>
            <w:tcBorders>
              <w:bottom w:val="single" w:sz="8" w:color="D5DCE4"/>
            </w:tcBorders>
            <w:vMerge w:val="continue"/>
            <w:shd w:val="clear" w:color="auto" w:fill="D5DCE4"/>
          </w:tcPr>
          <w:p>
            <w:pPr>
              <w:spacing w:after="0"/>
              <w:rPr>
                <w:sz w:val="17"/>
                <w:szCs w:val="17"/>
                <w:color w:val="auto"/>
              </w:rPr>
            </w:pPr>
          </w:p>
        </w:tc>
        <w:tc>
          <w:tcPr>
            <w:tcW w:w="80" w:type="dxa"/>
            <w:vAlign w:val="bottom"/>
            <w:tcBorders>
              <w:bottom w:val="single" w:sz="8" w:color="D5DCE4"/>
            </w:tcBorders>
            <w:shd w:val="clear" w:color="auto" w:fill="D5DCE4"/>
          </w:tcPr>
          <w:p>
            <w:pPr>
              <w:spacing w:after="0"/>
              <w:rPr>
                <w:sz w:val="17"/>
                <w:szCs w:val="17"/>
                <w:color w:val="auto"/>
              </w:rPr>
            </w:pPr>
          </w:p>
        </w:tc>
        <w:tc>
          <w:tcPr>
            <w:tcW w:w="440" w:type="dxa"/>
            <w:vAlign w:val="bottom"/>
            <w:tcBorders>
              <w:bottom w:val="single" w:sz="8" w:color="D5DCE4"/>
            </w:tcBorders>
            <w:shd w:val="clear" w:color="auto" w:fill="D5DCE4"/>
          </w:tcPr>
          <w:p>
            <w:pPr>
              <w:spacing w:after="0"/>
              <w:rPr>
                <w:sz w:val="17"/>
                <w:szCs w:val="17"/>
                <w:color w:val="auto"/>
              </w:rPr>
            </w:pPr>
          </w:p>
        </w:tc>
        <w:tc>
          <w:tcPr>
            <w:tcW w:w="1140" w:type="dxa"/>
            <w:vAlign w:val="bottom"/>
            <w:tcBorders>
              <w:bottom w:val="single" w:sz="8" w:color="D5DCE4"/>
            </w:tcBorders>
            <w:vMerge w:val="continue"/>
            <w:shd w:val="clear" w:color="auto" w:fill="D5DCE4"/>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Adjusted EBIT</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260,322</w:t>
            </w:r>
          </w:p>
        </w:tc>
        <w:tc>
          <w:tcPr>
            <w:tcW w:w="8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201,312</w:t>
            </w:r>
          </w:p>
        </w:tc>
        <w:tc>
          <w:tcPr>
            <w:tcW w:w="8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521,315</w:t>
            </w:r>
          </w:p>
        </w:tc>
        <w:tc>
          <w:tcPr>
            <w:tcW w:w="8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405,870</w:t>
            </w:r>
          </w:p>
        </w:tc>
        <w:tc>
          <w:tcPr>
            <w:tcW w:w="0" w:type="dxa"/>
            <w:vAlign w:val="bottom"/>
          </w:tcPr>
          <w:p>
            <w:pPr>
              <w:spacing w:after="0"/>
              <w:rPr>
                <w:sz w:val="1"/>
                <w:szCs w:val="1"/>
                <w:color w:val="auto"/>
              </w:rPr>
            </w:pPr>
          </w:p>
        </w:tc>
      </w:tr>
      <w:tr>
        <w:trPr>
          <w:trHeight w:val="20"/>
        </w:trPr>
        <w:tc>
          <w:tcPr>
            <w:tcW w:w="460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80" w:type="dxa"/>
            <w:vAlign w:val="bottom"/>
            <w:gridSpan w:val="2"/>
            <w:shd w:val="clear" w:color="auto" w:fill="D5DCE4"/>
          </w:tcPr>
          <w:p>
            <w:pPr>
              <w:ind w:left="20"/>
              <w:spacing w:after="0" w:line="237" w:lineRule="exact"/>
              <w:rPr>
                <w:sz w:val="20"/>
                <w:szCs w:val="20"/>
                <w:color w:val="auto"/>
              </w:rPr>
            </w:pPr>
            <w:r>
              <w:rPr>
                <w:rFonts w:ascii="Arial" w:cs="Arial" w:eastAsia="Arial" w:hAnsi="Arial"/>
                <w:sz w:val="16"/>
                <w:szCs w:val="16"/>
                <w:color w:val="auto"/>
              </w:rPr>
              <w:t xml:space="preserve">Net income margin </w:t>
            </w:r>
            <w:r>
              <w:rPr>
                <w:rFonts w:ascii="Arial" w:cs="Arial" w:eastAsia="Arial" w:hAnsi="Arial"/>
                <w:sz w:val="21"/>
                <w:szCs w:val="21"/>
                <w:color w:val="auto"/>
                <w:vertAlign w:val="superscript"/>
              </w:rPr>
              <w:t>(6)</w:t>
            </w:r>
          </w:p>
        </w:tc>
        <w:tc>
          <w:tcPr>
            <w:tcW w:w="360" w:type="dxa"/>
            <w:vAlign w:val="bottom"/>
            <w:shd w:val="clear" w:color="auto" w:fill="D5DCE4"/>
          </w:tcPr>
          <w:p>
            <w:pPr>
              <w:spacing w:after="0"/>
              <w:rPr>
                <w:sz w:val="20"/>
                <w:szCs w:val="20"/>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34.2 %</w:t>
            </w:r>
          </w:p>
        </w:tc>
        <w:tc>
          <w:tcPr>
            <w:tcW w:w="80" w:type="dxa"/>
            <w:vAlign w:val="bottom"/>
            <w:shd w:val="clear" w:color="auto" w:fill="D5DCE4"/>
          </w:tcPr>
          <w:p>
            <w:pPr>
              <w:spacing w:after="0"/>
              <w:rPr>
                <w:sz w:val="20"/>
                <w:szCs w:val="20"/>
                <w:color w:val="auto"/>
              </w:rPr>
            </w:pPr>
          </w:p>
        </w:tc>
        <w:tc>
          <w:tcPr>
            <w:tcW w:w="440" w:type="dxa"/>
            <w:vAlign w:val="bottom"/>
            <w:shd w:val="clear" w:color="auto" w:fill="D5DCE4"/>
          </w:tcPr>
          <w:p>
            <w:pPr>
              <w:spacing w:after="0"/>
              <w:rPr>
                <w:sz w:val="20"/>
                <w:szCs w:val="20"/>
                <w:color w:val="auto"/>
              </w:rPr>
            </w:pPr>
          </w:p>
        </w:tc>
        <w:tc>
          <w:tcPr>
            <w:tcW w:w="1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33.7 %</w:t>
            </w:r>
          </w:p>
        </w:tc>
        <w:tc>
          <w:tcPr>
            <w:tcW w:w="80" w:type="dxa"/>
            <w:vAlign w:val="bottom"/>
            <w:shd w:val="clear" w:color="auto" w:fill="D5DCE4"/>
          </w:tcPr>
          <w:p>
            <w:pPr>
              <w:spacing w:after="0"/>
              <w:rPr>
                <w:sz w:val="20"/>
                <w:szCs w:val="20"/>
                <w:color w:val="auto"/>
              </w:rPr>
            </w:pPr>
          </w:p>
        </w:tc>
        <w:tc>
          <w:tcPr>
            <w:tcW w:w="360" w:type="dxa"/>
            <w:vAlign w:val="bottom"/>
            <w:shd w:val="clear" w:color="auto" w:fill="D5DCE4"/>
          </w:tcPr>
          <w:p>
            <w:pPr>
              <w:spacing w:after="0"/>
              <w:rPr>
                <w:sz w:val="20"/>
                <w:szCs w:val="20"/>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33.6 %</w:t>
            </w:r>
          </w:p>
        </w:tc>
        <w:tc>
          <w:tcPr>
            <w:tcW w:w="80" w:type="dxa"/>
            <w:vAlign w:val="bottom"/>
            <w:shd w:val="clear" w:color="auto" w:fill="D5DCE4"/>
          </w:tcPr>
          <w:p>
            <w:pPr>
              <w:spacing w:after="0"/>
              <w:rPr>
                <w:sz w:val="20"/>
                <w:szCs w:val="20"/>
                <w:color w:val="auto"/>
              </w:rPr>
            </w:pPr>
          </w:p>
        </w:tc>
        <w:tc>
          <w:tcPr>
            <w:tcW w:w="440" w:type="dxa"/>
            <w:vAlign w:val="bottom"/>
            <w:shd w:val="clear" w:color="auto" w:fill="D5DCE4"/>
          </w:tcPr>
          <w:p>
            <w:pPr>
              <w:spacing w:after="0"/>
              <w:rPr>
                <w:sz w:val="20"/>
                <w:szCs w:val="20"/>
                <w:color w:val="auto"/>
              </w:rPr>
            </w:pPr>
          </w:p>
        </w:tc>
        <w:tc>
          <w:tcPr>
            <w:tcW w:w="1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34.4 %</w:t>
            </w:r>
          </w:p>
        </w:tc>
        <w:tc>
          <w:tcPr>
            <w:tcW w:w="0" w:type="dxa"/>
            <w:vAlign w:val="bottom"/>
          </w:tcPr>
          <w:p>
            <w:pPr>
              <w:spacing w:after="0"/>
              <w:rPr>
                <w:sz w:val="1"/>
                <w:szCs w:val="1"/>
                <w:color w:val="auto"/>
              </w:rPr>
            </w:pPr>
          </w:p>
        </w:tc>
      </w:tr>
      <w:tr>
        <w:trPr>
          <w:trHeight w:val="243"/>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 xml:space="preserve">Adjusted EBITDA margin </w:t>
            </w:r>
            <w:r>
              <w:rPr>
                <w:rFonts w:ascii="Arial" w:cs="Arial" w:eastAsia="Arial" w:hAnsi="Arial"/>
                <w:sz w:val="21"/>
                <w:szCs w:val="21"/>
                <w:color w:val="auto"/>
                <w:vertAlign w:val="superscript"/>
              </w:rPr>
              <w:t>(6)</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54.2 %</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53.5 %</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54.4 %</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53.6 %</w:t>
            </w:r>
          </w:p>
        </w:tc>
        <w:tc>
          <w:tcPr>
            <w:tcW w:w="0" w:type="dxa"/>
            <w:vAlign w:val="bottom"/>
          </w:tcPr>
          <w:p>
            <w:pPr>
              <w:spacing w:after="0"/>
              <w:rPr>
                <w:sz w:val="1"/>
                <w:szCs w:val="1"/>
                <w:color w:val="auto"/>
              </w:rPr>
            </w:pPr>
          </w:p>
        </w:tc>
      </w:tr>
      <w:tr>
        <w:trPr>
          <w:trHeight w:val="243"/>
        </w:trPr>
        <w:tc>
          <w:tcPr>
            <w:tcW w:w="46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Adjusted EBIT margin </w:t>
            </w:r>
            <w:r>
              <w:rPr>
                <w:rFonts w:ascii="Arial" w:cs="Arial" w:eastAsia="Arial" w:hAnsi="Arial"/>
                <w:sz w:val="21"/>
                <w:szCs w:val="21"/>
                <w:color w:val="auto"/>
                <w:vertAlign w:val="superscript"/>
              </w:rPr>
              <w:t>(6)</w:t>
            </w: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50.7 %</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49.7 %</w:t>
            </w:r>
          </w:p>
        </w:tc>
        <w:tc>
          <w:tcPr>
            <w:tcW w:w="80" w:type="dxa"/>
            <w:vAlign w:val="bottom"/>
            <w:shd w:val="clear" w:color="auto" w:fill="D5DCE4"/>
          </w:tcPr>
          <w:p>
            <w:pPr>
              <w:spacing w:after="0"/>
              <w:rPr>
                <w:sz w:val="21"/>
                <w:szCs w:val="21"/>
                <w:color w:val="auto"/>
              </w:rPr>
            </w:pP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51.0 %</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49.9 %</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440" w:right="240" w:hanging="414"/>
        <w:spacing w:after="0" w:line="183" w:lineRule="auto"/>
        <w:tabs>
          <w:tab w:leader="none" w:pos="440" w:val="left"/>
        </w:tabs>
        <w:numPr>
          <w:ilvl w:val="0"/>
          <w:numId w:val="9"/>
        </w:numPr>
        <w:rPr>
          <w:rFonts w:ascii="Arial" w:cs="Arial" w:eastAsia="Arial" w:hAnsi="Arial"/>
          <w:sz w:val="23"/>
          <w:szCs w:val="23"/>
          <w:color w:val="auto"/>
          <w:vertAlign w:val="subscript"/>
        </w:rPr>
      </w:pPr>
      <w:r>
        <w:rPr>
          <w:rFonts w:ascii="Arial" w:cs="Arial" w:eastAsia="Arial" w:hAnsi="Arial"/>
          <w:sz w:val="12"/>
          <w:szCs w:val="12"/>
          <w:color w:val="auto"/>
        </w:rPr>
        <w:t>Represents incremental direct costs associated with the acquisition and integration of completed and potential mergers and acquisitions. These costs generally include legal, consulting, advisory, due diligence, severance and certain other transaction expenses and third party costs incurred that directly relate to the acquisition transaction or its integration.</w:t>
      </w:r>
    </w:p>
    <w:p>
      <w:pPr>
        <w:spacing w:after="0" w:line="30" w:lineRule="exact"/>
        <w:rPr>
          <w:rFonts w:ascii="Arial" w:cs="Arial" w:eastAsia="Arial" w:hAnsi="Arial"/>
          <w:sz w:val="23"/>
          <w:szCs w:val="23"/>
          <w:color w:val="auto"/>
          <w:vertAlign w:val="subscript"/>
        </w:rPr>
      </w:pPr>
    </w:p>
    <w:p>
      <w:pPr>
        <w:ind w:left="440" w:right="60" w:hanging="414"/>
        <w:spacing w:after="0" w:line="270" w:lineRule="auto"/>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non-cash stock-based compensation expense associated with the Special Option Award and post-IPO options awarded in 2019 and payroll taxes associated with the exercise of such options. During the three and six months ended June 30, 2025, this adjustment also includes $0.6 million and $1.2 million, respectively, of non-cash stock-based compensation expense and related payroll taxes associated with RSAs and RSUs issued to help retain key ICD employees during the integration of ICD. During the three and six months ended June 30, 2024, this adjustment also includes $0.3 million of non-cash accelerated stock-based compensation expense and related payroll taxes associated with our former President.</w:t>
      </w:r>
    </w:p>
    <w:p>
      <w:pPr>
        <w:spacing w:after="0" w:line="13" w:lineRule="exact"/>
        <w:rPr>
          <w:rFonts w:ascii="Arial" w:cs="Arial" w:eastAsia="Arial" w:hAnsi="Arial"/>
          <w:sz w:val="12"/>
          <w:szCs w:val="12"/>
          <w:color w:val="auto"/>
        </w:rPr>
      </w:pPr>
    </w:p>
    <w:p>
      <w:pPr>
        <w:ind w:left="440" w:right="140" w:hanging="414"/>
        <w:spacing w:after="0" w:line="293" w:lineRule="auto"/>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unrealized gain or loss recognized on foreign currency forward contracts and foreign exchange gain or loss from the revaluation of cash denominated in a different currency than the entity’s functional currency.</w:t>
      </w:r>
    </w:p>
    <w:p>
      <w:pPr>
        <w:ind w:left="440" w:right="440" w:hanging="414"/>
        <w:spacing w:after="0" w:line="293" w:lineRule="auto"/>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income recognized during the applicable period due to changes in the tax receivable agreement liability recorded in the consolidated statements of financial condition as a result of, as applicable, changes in the mix of earnings, tax legislation and tax rates in various jurisdictions which impacted our tax savings.</w:t>
      </w:r>
    </w:p>
    <w:p>
      <w:pPr>
        <w:ind w:left="440" w:right="360" w:hanging="414"/>
        <w:spacing w:after="0" w:line="293" w:lineRule="auto"/>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ind w:left="440" w:hanging="414"/>
        <w:spacing w:after="0"/>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Net income margin, Adjusted EBITDA margin and Adjusted EBIT margin are defined as net income, Adjusted EBITDA and Adjusted EBIT, respectively, divided by revenue for the applicable period.</w:t>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5</w:t>
      </w:r>
    </w:p>
    <w:p>
      <w:pPr>
        <w:sectPr>
          <w:pgSz w:w="11900" w:h="16838" w:orient="portrait"/>
          <w:cols w:equalWidth="0" w:num="1">
            <w:col w:w="11240"/>
          </w:cols>
          <w:pgMar w:left="320" w:top="773" w:right="339" w:bottom="1440" w:gutter="0" w:footer="0" w:header="0"/>
        </w:sectPr>
      </w:pPr>
    </w:p>
    <w:bookmarkStart w:id="8" w:name="page9"/>
    <w:bookmarkEnd w:id="8"/>
    <w:p>
      <w:pPr>
        <w:spacing w:after="0" w:line="297" w:lineRule="exact"/>
        <w:rPr>
          <w:sz w:val="20"/>
          <w:szCs w:val="20"/>
          <w:color w:val="auto"/>
        </w:rPr>
      </w:pPr>
    </w:p>
    <w:p>
      <w:pPr>
        <w:ind w:left="20"/>
        <w:spacing w:after="0" w:line="296" w:lineRule="auto"/>
        <w:rPr>
          <w:sz w:val="20"/>
          <w:szCs w:val="20"/>
          <w:color w:val="auto"/>
        </w:rPr>
      </w:pPr>
      <w:r>
        <w:rPr>
          <w:rFonts w:ascii="Arial" w:cs="Arial" w:eastAsia="Arial" w:hAnsi="Arial"/>
          <w:sz w:val="16"/>
          <w:szCs w:val="16"/>
          <w:b w:val="1"/>
          <w:bCs w:val="1"/>
          <w:color w:val="auto"/>
        </w:rPr>
        <w:t>Reconciliation of Net Income to Adjusted Net Income and Adjusted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1203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16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Three Months Ended</w:t>
            </w:r>
          </w:p>
        </w:tc>
        <w:tc>
          <w:tcPr>
            <w:tcW w:w="3080" w:type="dxa"/>
            <w:vAlign w:val="bottom"/>
            <w:gridSpan w:val="2"/>
          </w:tcPr>
          <w:p>
            <w:pPr>
              <w:jc w:val="center"/>
              <w:spacing w:after="0"/>
              <w:rPr>
                <w:sz w:val="20"/>
                <w:szCs w:val="20"/>
                <w:color w:val="auto"/>
              </w:rPr>
            </w:pPr>
            <w:r>
              <w:rPr>
                <w:rFonts w:ascii="Arial" w:cs="Arial" w:eastAsia="Arial" w:hAnsi="Arial"/>
                <w:sz w:val="16"/>
                <w:szCs w:val="16"/>
                <w:b w:val="1"/>
                <w:bCs w:val="1"/>
                <w:color w:val="auto"/>
              </w:rPr>
              <w:t>Six Months Ended</w:t>
            </w:r>
          </w:p>
        </w:tc>
      </w:tr>
      <w:tr>
        <w:trPr>
          <w:trHeight w:val="247"/>
        </w:trPr>
        <w:tc>
          <w:tcPr>
            <w:tcW w:w="1080" w:type="dxa"/>
            <w:vAlign w:val="bottom"/>
          </w:tcPr>
          <w:p>
            <w:pPr>
              <w:spacing w:after="0"/>
              <w:rPr>
                <w:sz w:val="21"/>
                <w:szCs w:val="21"/>
                <w:color w:val="auto"/>
              </w:rPr>
            </w:pPr>
          </w:p>
        </w:tc>
        <w:tc>
          <w:tcPr>
            <w:tcW w:w="2080" w:type="dxa"/>
            <w:vAlign w:val="bottom"/>
            <w:gridSpan w:val="2"/>
          </w:tcPr>
          <w:p>
            <w:pPr>
              <w:jc w:val="center"/>
              <w:ind w:right="1160"/>
              <w:spacing w:after="0"/>
              <w:rPr>
                <w:sz w:val="20"/>
                <w:szCs w:val="20"/>
                <w:color w:val="auto"/>
              </w:rPr>
            </w:pPr>
            <w:r>
              <w:rPr>
                <w:rFonts w:ascii="Arial" w:cs="Arial" w:eastAsia="Arial" w:hAnsi="Arial"/>
                <w:sz w:val="16"/>
                <w:szCs w:val="16"/>
                <w:b w:val="1"/>
                <w:bCs w:val="1"/>
                <w:color w:val="auto"/>
                <w:w w:val="99"/>
              </w:rPr>
              <w:t>June 30,</w:t>
            </w:r>
          </w:p>
        </w:tc>
        <w:tc>
          <w:tcPr>
            <w:tcW w:w="1080" w:type="dxa"/>
            <w:vAlign w:val="bottom"/>
          </w:tcPr>
          <w:p>
            <w:pPr>
              <w:spacing w:after="0"/>
              <w:rPr>
                <w:sz w:val="21"/>
                <w:szCs w:val="21"/>
                <w:color w:val="auto"/>
              </w:rPr>
            </w:pPr>
          </w:p>
        </w:tc>
        <w:tc>
          <w:tcPr>
            <w:tcW w:w="2000" w:type="dxa"/>
            <w:vAlign w:val="bottom"/>
          </w:tcPr>
          <w:p>
            <w:pPr>
              <w:jc w:val="center"/>
              <w:ind w:right="999"/>
              <w:spacing w:after="0"/>
              <w:rPr>
                <w:sz w:val="20"/>
                <w:szCs w:val="20"/>
                <w:color w:val="auto"/>
              </w:rPr>
            </w:pPr>
            <w:r>
              <w:rPr>
                <w:rFonts w:ascii="Arial" w:cs="Arial" w:eastAsia="Arial" w:hAnsi="Arial"/>
                <w:sz w:val="16"/>
                <w:szCs w:val="16"/>
                <w:b w:val="1"/>
                <w:bCs w:val="1"/>
                <w:color w:val="auto"/>
                <w:w w:val="99"/>
              </w:rPr>
              <w:t>June 30,</w:t>
            </w:r>
          </w:p>
        </w:tc>
      </w:tr>
      <w:tr>
        <w:trPr>
          <w:trHeight w:val="233"/>
        </w:trPr>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2025</w:t>
            </w:r>
          </w:p>
        </w:tc>
        <w:tc>
          <w:tcPr>
            <w:tcW w:w="200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20"/>
                <w:szCs w:val="20"/>
                <w:color w:val="auto"/>
              </w:rPr>
            </w:pP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2025</w:t>
            </w:r>
          </w:p>
        </w:tc>
        <w:tc>
          <w:tcPr>
            <w:tcW w:w="200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39604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960495" cy="8890"/>
                    </a:xfrm>
                    <a:prstGeom prst="rect">
                      <a:avLst/>
                    </a:prstGeom>
                    <a:noFill/>
                  </pic:spPr>
                </pic:pic>
              </a:graphicData>
            </a:graphic>
          </wp:anchor>
        </w:drawing>
      </w:r>
    </w:p>
    <w:p>
      <w:pPr>
        <w:ind w:left="1180"/>
        <w:spacing w:after="0"/>
        <w:rPr>
          <w:sz w:val="20"/>
          <w:szCs w:val="20"/>
          <w:color w:val="auto"/>
        </w:rPr>
      </w:pPr>
      <w:r>
        <w:rPr>
          <w:rFonts w:ascii="Arial" w:cs="Arial" w:eastAsia="Arial" w:hAnsi="Arial"/>
          <w:sz w:val="16"/>
          <w:szCs w:val="16"/>
          <w:b w:val="1"/>
          <w:bCs w:val="1"/>
          <w:color w:val="auto"/>
        </w:rPr>
        <w:t>(dollars in thousands, except per share amounts)</w:t>
      </w:r>
    </w:p>
    <w:p>
      <w:pPr>
        <w:spacing w:after="0" w:line="59" w:lineRule="exact"/>
        <w:rPr>
          <w:sz w:val="20"/>
          <w:szCs w:val="20"/>
          <w:color w:val="auto"/>
        </w:rPr>
      </w:pPr>
    </w:p>
    <w:p>
      <w:pPr>
        <w:sectPr>
          <w:pgSz w:w="11900" w:h="16838" w:orient="portrait"/>
          <w:cols w:equalWidth="0" w:num="2">
            <w:col w:w="4440" w:space="560"/>
            <w:col w:w="6240"/>
          </w:cols>
          <w:pgMar w:left="320" w:top="827" w:right="339" w:bottom="1440" w:gutter="0" w:footer="0" w:header="0"/>
        </w:sectPr>
      </w:pPr>
    </w:p>
    <w:tbl>
      <w:tblPr>
        <w:tblLayout w:type="fixed"/>
        <w:tblInd w:w="0" w:type="dxa"/>
        <w:tblCellMar>
          <w:top w:w="0" w:type="dxa"/>
          <w:left w:w="0" w:type="dxa"/>
          <w:bottom w:w="0" w:type="dxa"/>
          <w:right w:w="0" w:type="dxa"/>
        </w:tblCellMar>
      </w:tblPr>
      <w:tr>
        <w:trPr>
          <w:trHeight w:val="256"/>
        </w:trPr>
        <w:tc>
          <w:tcPr>
            <w:tcW w:w="5000" w:type="dxa"/>
            <w:vAlign w:val="bottom"/>
            <w:tcBorders>
              <w:bottom w:val="single" w:sz="8" w:color="D5DCE4"/>
            </w:tcBorders>
            <w:shd w:val="clear" w:color="auto" w:fill="D5DCE4"/>
          </w:tcPr>
          <w:p>
            <w:pPr>
              <w:ind w:left="20"/>
              <w:spacing w:after="0"/>
              <w:rPr>
                <w:sz w:val="20"/>
                <w:szCs w:val="20"/>
                <w:color w:val="auto"/>
              </w:rPr>
            </w:pPr>
            <w:r>
              <w:rPr>
                <w:rFonts w:ascii="Arial" w:cs="Arial" w:eastAsia="Arial" w:hAnsi="Arial"/>
                <w:sz w:val="16"/>
                <w:szCs w:val="16"/>
                <w:color w:val="auto"/>
              </w:rPr>
              <w:t>Earnings per diluted share</w:t>
            </w:r>
          </w:p>
        </w:tc>
        <w:tc>
          <w:tcPr>
            <w:tcW w:w="480" w:type="dxa"/>
            <w:vAlign w:val="bottom"/>
            <w:tcBorders>
              <w:bottom w:val="single" w:sz="8" w:color="auto"/>
            </w:tcBorders>
            <w:shd w:val="clear" w:color="auto" w:fill="D5DCE4"/>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0.71</w:t>
            </w:r>
          </w:p>
        </w:tc>
        <w:tc>
          <w:tcPr>
            <w:tcW w:w="80" w:type="dxa"/>
            <w:vAlign w:val="bottom"/>
            <w:tcBorders>
              <w:bottom w:val="single" w:sz="8" w:color="D5DCE4"/>
            </w:tcBorders>
            <w:shd w:val="clear" w:color="auto" w:fill="D5DCE4"/>
          </w:tcPr>
          <w:p>
            <w:pPr>
              <w:spacing w:after="0"/>
              <w:rPr>
                <w:sz w:val="21"/>
                <w:szCs w:val="21"/>
                <w:color w:val="auto"/>
              </w:rPr>
            </w:pPr>
          </w:p>
        </w:tc>
        <w:tc>
          <w:tcPr>
            <w:tcW w:w="480" w:type="dxa"/>
            <w:vAlign w:val="bottom"/>
            <w:tcBorders>
              <w:bottom w:val="single" w:sz="8" w:color="auto"/>
            </w:tcBorders>
            <w:shd w:val="clear" w:color="auto" w:fill="D5DCE4"/>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0.55</w:t>
            </w:r>
          </w:p>
        </w:tc>
        <w:tc>
          <w:tcPr>
            <w:tcW w:w="80" w:type="dxa"/>
            <w:vAlign w:val="bottom"/>
            <w:tcBorders>
              <w:bottom w:val="single" w:sz="8" w:color="D5DCE4"/>
            </w:tcBorders>
            <w:shd w:val="clear" w:color="auto" w:fill="D5DCE4"/>
          </w:tcPr>
          <w:p>
            <w:pPr>
              <w:spacing w:after="0"/>
              <w:rPr>
                <w:sz w:val="21"/>
                <w:szCs w:val="21"/>
                <w:color w:val="auto"/>
              </w:rPr>
            </w:pPr>
          </w:p>
        </w:tc>
        <w:tc>
          <w:tcPr>
            <w:tcW w:w="440" w:type="dxa"/>
            <w:vAlign w:val="bottom"/>
            <w:tcBorders>
              <w:bottom w:val="single" w:sz="8" w:color="auto"/>
            </w:tcBorders>
            <w:shd w:val="clear" w:color="auto" w:fill="D5DCE4"/>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1.40</w:t>
            </w:r>
          </w:p>
        </w:tc>
        <w:tc>
          <w:tcPr>
            <w:tcW w:w="80" w:type="dxa"/>
            <w:vAlign w:val="bottom"/>
            <w:tcBorders>
              <w:bottom w:val="single" w:sz="8" w:color="D5DCE4"/>
            </w:tcBorders>
            <w:shd w:val="clear" w:color="auto" w:fill="D5DCE4"/>
          </w:tcPr>
          <w:p>
            <w:pPr>
              <w:spacing w:after="0"/>
              <w:rPr>
                <w:sz w:val="21"/>
                <w:szCs w:val="21"/>
                <w:color w:val="auto"/>
              </w:rPr>
            </w:pPr>
          </w:p>
        </w:tc>
        <w:tc>
          <w:tcPr>
            <w:tcW w:w="460" w:type="dxa"/>
            <w:vAlign w:val="bottom"/>
            <w:tcBorders>
              <w:bottom w:val="single" w:sz="8" w:color="auto"/>
            </w:tcBorders>
            <w:shd w:val="clear" w:color="auto" w:fill="D5DCE4"/>
          </w:tcPr>
          <w:p>
            <w:pPr>
              <w:jc w:val="right"/>
              <w:ind w:right="2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1.14</w:t>
            </w:r>
          </w:p>
        </w:tc>
      </w:tr>
      <w:tr>
        <w:trPr>
          <w:trHeight w:val="20"/>
        </w:trPr>
        <w:tc>
          <w:tcPr>
            <w:tcW w:w="500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0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0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40" w:type="dxa"/>
            <w:vAlign w:val="bottom"/>
            <w:tcBorders>
              <w:top w:val="single" w:sz="8" w:color="D5DCE4"/>
              <w:bottom w:val="single" w:sz="8" w:color="auto"/>
            </w:tcBorders>
          </w:tcPr>
          <w:p>
            <w:pPr>
              <w:spacing w:after="0" w:line="20" w:lineRule="exact"/>
              <w:rPr>
                <w:sz w:val="1"/>
                <w:szCs w:val="1"/>
                <w:color w:val="auto"/>
              </w:rPr>
            </w:pPr>
          </w:p>
        </w:tc>
        <w:tc>
          <w:tcPr>
            <w:tcW w:w="106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60" w:type="dxa"/>
            <w:vAlign w:val="bottom"/>
            <w:tcBorders>
              <w:top w:val="single" w:sz="8" w:color="D5DCE4"/>
              <w:bottom w:val="single" w:sz="8" w:color="auto"/>
            </w:tcBorders>
          </w:tcPr>
          <w:p>
            <w:pPr>
              <w:spacing w:after="0" w:line="20" w:lineRule="exact"/>
              <w:rPr>
                <w:sz w:val="1"/>
                <w:szCs w:val="1"/>
                <w:color w:val="auto"/>
              </w:rPr>
            </w:pPr>
          </w:p>
        </w:tc>
        <w:tc>
          <w:tcPr>
            <w:tcW w:w="1040" w:type="dxa"/>
            <w:vAlign w:val="bottom"/>
            <w:tcBorders>
              <w:top w:val="single" w:sz="8" w:color="D5DCE4"/>
              <w:bottom w:val="single" w:sz="8" w:color="auto"/>
            </w:tcBorders>
          </w:tcPr>
          <w:p>
            <w:pPr>
              <w:spacing w:after="0" w:line="20" w:lineRule="exact"/>
              <w:rPr>
                <w:sz w:val="1"/>
                <w:szCs w:val="1"/>
                <w:color w:val="auto"/>
              </w:rPr>
            </w:pPr>
          </w:p>
        </w:tc>
      </w:tr>
      <w:tr>
        <w:trPr>
          <w:trHeight w:val="209"/>
        </w:trPr>
        <w:tc>
          <w:tcPr>
            <w:tcW w:w="5000" w:type="dxa"/>
            <w:vAlign w:val="bottom"/>
          </w:tcPr>
          <w:p>
            <w:pPr>
              <w:ind w:left="20"/>
              <w:spacing w:after="0"/>
              <w:rPr>
                <w:sz w:val="20"/>
                <w:szCs w:val="20"/>
                <w:color w:val="auto"/>
              </w:rPr>
            </w:pPr>
            <w:r>
              <w:rPr>
                <w:rFonts w:ascii="Arial" w:cs="Arial" w:eastAsia="Arial" w:hAnsi="Arial"/>
                <w:sz w:val="16"/>
                <w:szCs w:val="16"/>
                <w:color w:val="auto"/>
              </w:rPr>
              <w:t>Net income attributable to Tradeweb Markets Inc.</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153,782</w:t>
            </w:r>
          </w:p>
        </w:tc>
        <w:tc>
          <w:tcPr>
            <w:tcW w:w="80" w:type="dxa"/>
            <w:vAlign w:val="bottom"/>
          </w:tcPr>
          <w:p>
            <w:pPr>
              <w:spacing w:after="0"/>
              <w:rPr>
                <w:sz w:val="18"/>
                <w:szCs w:val="18"/>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119,239</w:t>
            </w:r>
          </w:p>
        </w:tc>
        <w:tc>
          <w:tcPr>
            <w:tcW w:w="80" w:type="dxa"/>
            <w:vAlign w:val="bottom"/>
          </w:tcPr>
          <w:p>
            <w:pPr>
              <w:spacing w:after="0"/>
              <w:rPr>
                <w:sz w:val="18"/>
                <w:szCs w:val="18"/>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302,164</w:t>
            </w:r>
          </w:p>
        </w:tc>
        <w:tc>
          <w:tcPr>
            <w:tcW w:w="8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245,381</w:t>
            </w:r>
          </w:p>
        </w:tc>
      </w:tr>
      <w:tr>
        <w:trPr>
          <w:trHeight w:val="251"/>
        </w:trPr>
        <w:tc>
          <w:tcPr>
            <w:tcW w:w="500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Net income attributable to non-controlling interests </w:t>
            </w:r>
            <w:r>
              <w:rPr>
                <w:rFonts w:ascii="Arial" w:cs="Arial" w:eastAsia="Arial" w:hAnsi="Arial"/>
                <w:sz w:val="21"/>
                <w:szCs w:val="21"/>
                <w:color w:val="auto"/>
                <w:vertAlign w:val="superscript"/>
              </w:rPr>
              <w:t>(1)</w:t>
            </w:r>
          </w:p>
        </w:tc>
        <w:tc>
          <w:tcPr>
            <w:tcW w:w="48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21,740</w:t>
            </w:r>
          </w:p>
        </w:tc>
        <w:tc>
          <w:tcPr>
            <w:tcW w:w="80" w:type="dxa"/>
            <w:vAlign w:val="bottom"/>
            <w:shd w:val="clear" w:color="auto" w:fill="D5DCE4"/>
          </w:tcPr>
          <w:p>
            <w:pPr>
              <w:spacing w:after="0"/>
              <w:rPr>
                <w:sz w:val="21"/>
                <w:szCs w:val="21"/>
                <w:color w:val="auto"/>
              </w:rPr>
            </w:pPr>
          </w:p>
        </w:tc>
        <w:tc>
          <w:tcPr>
            <w:tcW w:w="48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17,177</w:t>
            </w:r>
          </w:p>
        </w:tc>
        <w:tc>
          <w:tcPr>
            <w:tcW w:w="80" w:type="dxa"/>
            <w:vAlign w:val="bottom"/>
            <w:shd w:val="clear" w:color="auto" w:fill="D5DCE4"/>
          </w:tcPr>
          <w:p>
            <w:pPr>
              <w:spacing w:after="0"/>
              <w:rPr>
                <w:sz w:val="21"/>
                <w:szCs w:val="21"/>
                <w:color w:val="auto"/>
              </w:rPr>
            </w:pPr>
          </w:p>
        </w:tc>
        <w:tc>
          <w:tcPr>
            <w:tcW w:w="440" w:type="dxa"/>
            <w:vAlign w:val="bottom"/>
            <w:tcBorders>
              <w:bottom w:val="single" w:sz="8" w:color="auto"/>
            </w:tcBorders>
            <w:shd w:val="clear" w:color="auto" w:fill="D5DCE4"/>
          </w:tcPr>
          <w:p>
            <w:pPr>
              <w:spacing w:after="0"/>
              <w:rPr>
                <w:sz w:val="21"/>
                <w:szCs w:val="21"/>
                <w:color w:val="auto"/>
              </w:rPr>
            </w:pP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41,663</w:t>
            </w:r>
          </w:p>
        </w:tc>
        <w:tc>
          <w:tcPr>
            <w:tcW w:w="80" w:type="dxa"/>
            <w:vAlign w:val="bottom"/>
            <w:shd w:val="clear" w:color="auto" w:fill="D5DCE4"/>
          </w:tcPr>
          <w:p>
            <w:pPr>
              <w:spacing w:after="0"/>
              <w:rPr>
                <w:sz w:val="21"/>
                <w:szCs w:val="21"/>
                <w:color w:val="auto"/>
              </w:rPr>
            </w:pPr>
          </w:p>
        </w:tc>
        <w:tc>
          <w:tcPr>
            <w:tcW w:w="460" w:type="dxa"/>
            <w:vAlign w:val="bottom"/>
            <w:tcBorders>
              <w:bottom w:val="single" w:sz="8" w:color="auto"/>
            </w:tcBorders>
            <w:shd w:val="clear" w:color="auto" w:fill="D5DCE4"/>
          </w:tcPr>
          <w:p>
            <w:pPr>
              <w:spacing w:after="0"/>
              <w:rPr>
                <w:sz w:val="21"/>
                <w:szCs w:val="21"/>
                <w:color w:val="auto"/>
              </w:rPr>
            </w:pPr>
          </w:p>
        </w:tc>
        <w:tc>
          <w:tcPr>
            <w:tcW w:w="10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34,417</w:t>
            </w:r>
          </w:p>
        </w:tc>
      </w:tr>
      <w:tr>
        <w:trPr>
          <w:trHeight w:val="229"/>
        </w:trPr>
        <w:tc>
          <w:tcPr>
            <w:tcW w:w="50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175,522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136,416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343,827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279,798</w:t>
            </w:r>
          </w:p>
        </w:tc>
      </w:tr>
      <w:tr>
        <w:trPr>
          <w:trHeight w:val="251"/>
        </w:trPr>
        <w:tc>
          <w:tcPr>
            <w:tcW w:w="5000" w:type="dxa"/>
            <w:vAlign w:val="bottom"/>
            <w:shd w:val="clear" w:color="auto" w:fill="D5DCE4"/>
          </w:tcPr>
          <w:p>
            <w:pPr>
              <w:ind w:left="20"/>
              <w:spacing w:after="0"/>
              <w:rPr>
                <w:sz w:val="20"/>
                <w:szCs w:val="20"/>
                <w:color w:val="auto"/>
              </w:rPr>
            </w:pPr>
            <w:r>
              <w:rPr>
                <w:rFonts w:ascii="Arial" w:cs="Arial" w:eastAsia="Arial" w:hAnsi="Arial"/>
                <w:sz w:val="16"/>
                <w:szCs w:val="16"/>
                <w:color w:val="auto"/>
              </w:rPr>
              <w:t>Provision for income taxes</w:t>
            </w: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51,539</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47,047</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104,818</w:t>
            </w:r>
          </w:p>
        </w:tc>
        <w:tc>
          <w:tcPr>
            <w:tcW w:w="80" w:type="dxa"/>
            <w:vAlign w:val="bottom"/>
            <w:shd w:val="clear" w:color="auto" w:fill="D5DCE4"/>
          </w:tcPr>
          <w:p>
            <w:pPr>
              <w:spacing w:after="0"/>
              <w:rPr>
                <w:sz w:val="21"/>
                <w:szCs w:val="21"/>
                <w:color w:val="auto"/>
              </w:rPr>
            </w:pPr>
          </w:p>
        </w:tc>
        <w:tc>
          <w:tcPr>
            <w:tcW w:w="46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90,685</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 xml:space="preserve">Merger and acquisition transaction and integration costs </w:t>
            </w:r>
            <w:r>
              <w:rPr>
                <w:rFonts w:ascii="Arial" w:cs="Arial" w:eastAsia="Arial" w:hAnsi="Arial"/>
                <w:sz w:val="21"/>
                <w:szCs w:val="21"/>
                <w:color w:val="auto"/>
                <w:vertAlign w:val="superscript"/>
              </w:rPr>
              <w:t>(2)</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3,772</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3,650</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6,268</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7,264</w:t>
            </w:r>
          </w:p>
        </w:tc>
      </w:tr>
      <w:tr>
        <w:trPr>
          <w:trHeight w:val="243"/>
        </w:trPr>
        <w:tc>
          <w:tcPr>
            <w:tcW w:w="500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D&amp;A related to acquisitions and the Refinitiv Transaction </w:t>
            </w:r>
            <w:r>
              <w:rPr>
                <w:rFonts w:ascii="Arial" w:cs="Arial" w:eastAsia="Arial" w:hAnsi="Arial"/>
                <w:sz w:val="21"/>
                <w:szCs w:val="21"/>
                <w:color w:val="auto"/>
                <w:vertAlign w:val="superscript"/>
              </w:rPr>
              <w:t>(3)</w:t>
            </w: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45,474</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34,715</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90,947</w:t>
            </w:r>
          </w:p>
        </w:tc>
        <w:tc>
          <w:tcPr>
            <w:tcW w:w="80" w:type="dxa"/>
            <w:vAlign w:val="bottom"/>
            <w:shd w:val="clear" w:color="auto" w:fill="D5DCE4"/>
          </w:tcPr>
          <w:p>
            <w:pPr>
              <w:spacing w:after="0"/>
              <w:rPr>
                <w:sz w:val="21"/>
                <w:szCs w:val="21"/>
                <w:color w:val="auto"/>
              </w:rPr>
            </w:pPr>
          </w:p>
        </w:tc>
        <w:tc>
          <w:tcPr>
            <w:tcW w:w="46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69,082</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(4)</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601</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531</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1,195</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1,714</w:t>
            </w:r>
          </w:p>
        </w:tc>
      </w:tr>
      <w:tr>
        <w:trPr>
          <w:trHeight w:val="243"/>
        </w:trPr>
        <w:tc>
          <w:tcPr>
            <w:tcW w:w="500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(5)</w:t>
            </w: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10,622</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(78)</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18,951</w:t>
            </w:r>
          </w:p>
        </w:tc>
        <w:tc>
          <w:tcPr>
            <w:tcW w:w="80" w:type="dxa"/>
            <w:vAlign w:val="bottom"/>
            <w:shd w:val="clear" w:color="auto" w:fill="D5DCE4"/>
          </w:tcPr>
          <w:p>
            <w:pPr>
              <w:spacing w:after="0"/>
              <w:rPr>
                <w:sz w:val="21"/>
                <w:szCs w:val="21"/>
                <w:color w:val="auto"/>
              </w:rPr>
            </w:pPr>
          </w:p>
        </w:tc>
        <w:tc>
          <w:tcPr>
            <w:tcW w:w="46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(2,362)</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 xml:space="preserve">Tax receivable agreement liability adjustment </w:t>
            </w:r>
            <w:r>
              <w:rPr>
                <w:rFonts w:ascii="Arial" w:cs="Arial" w:eastAsia="Arial" w:hAnsi="Arial"/>
                <w:sz w:val="21"/>
                <w:szCs w:val="21"/>
                <w:color w:val="auto"/>
                <w:vertAlign w:val="superscript"/>
              </w:rPr>
              <w:t>(6)</w:t>
            </w:r>
          </w:p>
        </w:tc>
        <w:tc>
          <w:tcPr>
            <w:tcW w:w="48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5000" w:type="dxa"/>
            <w:vAlign w:val="bottom"/>
            <w:shd w:val="clear" w:color="auto" w:fill="D5DCE4"/>
          </w:tcPr>
          <w:p>
            <w:pPr>
              <w:ind w:left="20"/>
              <w:spacing w:after="0"/>
              <w:rPr>
                <w:sz w:val="20"/>
                <w:szCs w:val="20"/>
                <w:color w:val="auto"/>
              </w:rPr>
            </w:pPr>
            <w:r>
              <w:rPr>
                <w:rFonts w:ascii="Arial" w:cs="Arial" w:eastAsia="Arial" w:hAnsi="Arial"/>
                <w:sz w:val="16"/>
                <w:szCs w:val="16"/>
                <w:color w:val="auto"/>
              </w:rPr>
              <w:t>Other (income) loss, net</w:t>
            </w: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(12,665)</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100" w:type="dxa"/>
            <w:vAlign w:val="bottom"/>
            <w:gridSpan w:val="2"/>
            <w:shd w:val="clear" w:color="auto" w:fill="D5DCE4"/>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shd w:val="clear" w:color="auto" w:fill="D5DCE4"/>
          </w:tcPr>
          <w:p>
            <w:pPr>
              <w:spacing w:after="0"/>
              <w:rPr>
                <w:sz w:val="21"/>
                <w:szCs w:val="21"/>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(16,886)</w:t>
            </w:r>
          </w:p>
        </w:tc>
        <w:tc>
          <w:tcPr>
            <w:tcW w:w="80" w:type="dxa"/>
            <w:vAlign w:val="bottom"/>
            <w:shd w:val="clear" w:color="auto" w:fill="D5DCE4"/>
          </w:tcPr>
          <w:p>
            <w:pPr>
              <w:spacing w:after="0"/>
              <w:rPr>
                <w:sz w:val="21"/>
                <w:szCs w:val="21"/>
                <w:color w:val="auto"/>
              </w:rPr>
            </w:pPr>
          </w:p>
        </w:tc>
        <w:tc>
          <w:tcPr>
            <w:tcW w:w="46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5000" w:type="dxa"/>
            <w:vAlign w:val="bottom"/>
          </w:tcPr>
          <w:p>
            <w:pPr>
              <w:ind w:left="20"/>
              <w:spacing w:after="0"/>
              <w:rPr>
                <w:sz w:val="20"/>
                <w:szCs w:val="20"/>
                <w:color w:val="auto"/>
              </w:rPr>
            </w:pPr>
            <w:r>
              <w:rPr>
                <w:rFonts w:ascii="Arial" w:cs="Arial" w:eastAsia="Arial" w:hAnsi="Arial"/>
                <w:sz w:val="16"/>
                <w:szCs w:val="16"/>
                <w:color w:val="auto"/>
              </w:rPr>
              <w:t>Adjusted Net Income before income taxes</w:t>
            </w:r>
          </w:p>
        </w:tc>
        <w:tc>
          <w:tcPr>
            <w:tcW w:w="4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274,865</w:t>
            </w:r>
          </w:p>
        </w:tc>
        <w:tc>
          <w:tcPr>
            <w:tcW w:w="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222,281</w:t>
            </w:r>
          </w:p>
        </w:tc>
        <w:tc>
          <w:tcPr>
            <w:tcW w:w="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549,120</w:t>
            </w:r>
          </w:p>
        </w:tc>
        <w:tc>
          <w:tcPr>
            <w:tcW w:w="8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446,181</w:t>
            </w:r>
          </w:p>
        </w:tc>
      </w:tr>
      <w:tr>
        <w:trPr>
          <w:trHeight w:val="251"/>
        </w:trPr>
        <w:tc>
          <w:tcPr>
            <w:tcW w:w="500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Adjusted income taxes </w:t>
            </w:r>
            <w:r>
              <w:rPr>
                <w:rFonts w:ascii="Arial" w:cs="Arial" w:eastAsia="Arial" w:hAnsi="Arial"/>
                <w:sz w:val="21"/>
                <w:szCs w:val="21"/>
                <w:color w:val="auto"/>
                <w:vertAlign w:val="superscript"/>
              </w:rPr>
              <w:t>(7)</w:t>
            </w:r>
          </w:p>
        </w:tc>
        <w:tc>
          <w:tcPr>
            <w:tcW w:w="48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(68,716)</w:t>
            </w:r>
          </w:p>
        </w:tc>
        <w:tc>
          <w:tcPr>
            <w:tcW w:w="80" w:type="dxa"/>
            <w:vAlign w:val="bottom"/>
            <w:shd w:val="clear" w:color="auto" w:fill="D5DCE4"/>
          </w:tcPr>
          <w:p>
            <w:pPr>
              <w:spacing w:after="0"/>
              <w:rPr>
                <w:sz w:val="21"/>
                <w:szCs w:val="21"/>
                <w:color w:val="auto"/>
              </w:rPr>
            </w:pPr>
          </w:p>
        </w:tc>
        <w:tc>
          <w:tcPr>
            <w:tcW w:w="48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(55,570)</w:t>
            </w:r>
          </w:p>
        </w:tc>
        <w:tc>
          <w:tcPr>
            <w:tcW w:w="80" w:type="dxa"/>
            <w:vAlign w:val="bottom"/>
            <w:shd w:val="clear" w:color="auto" w:fill="D5DCE4"/>
          </w:tcPr>
          <w:p>
            <w:pPr>
              <w:spacing w:after="0"/>
              <w:rPr>
                <w:sz w:val="21"/>
                <w:szCs w:val="21"/>
                <w:color w:val="auto"/>
              </w:rPr>
            </w:pPr>
          </w:p>
        </w:tc>
        <w:tc>
          <w:tcPr>
            <w:tcW w:w="440" w:type="dxa"/>
            <w:vAlign w:val="bottom"/>
            <w:tcBorders>
              <w:bottom w:val="single" w:sz="8" w:color="auto"/>
            </w:tcBorders>
            <w:shd w:val="clear" w:color="auto" w:fill="D5DCE4"/>
          </w:tcPr>
          <w:p>
            <w:pPr>
              <w:spacing w:after="0"/>
              <w:rPr>
                <w:sz w:val="21"/>
                <w:szCs w:val="21"/>
                <w:color w:val="auto"/>
              </w:rPr>
            </w:pP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(137,280)</w:t>
            </w:r>
          </w:p>
        </w:tc>
        <w:tc>
          <w:tcPr>
            <w:tcW w:w="80" w:type="dxa"/>
            <w:vAlign w:val="bottom"/>
            <w:shd w:val="clear" w:color="auto" w:fill="D5DCE4"/>
          </w:tcPr>
          <w:p>
            <w:pPr>
              <w:spacing w:after="0"/>
              <w:rPr>
                <w:sz w:val="21"/>
                <w:szCs w:val="21"/>
                <w:color w:val="auto"/>
              </w:rPr>
            </w:pPr>
          </w:p>
        </w:tc>
        <w:tc>
          <w:tcPr>
            <w:tcW w:w="460" w:type="dxa"/>
            <w:vAlign w:val="bottom"/>
            <w:tcBorders>
              <w:bottom w:val="single" w:sz="8" w:color="auto"/>
            </w:tcBorders>
            <w:shd w:val="clear" w:color="auto" w:fill="D5DCE4"/>
          </w:tcPr>
          <w:p>
            <w:pPr>
              <w:spacing w:after="0"/>
              <w:rPr>
                <w:sz w:val="21"/>
                <w:szCs w:val="21"/>
                <w:color w:val="auto"/>
              </w:rPr>
            </w:pPr>
          </w:p>
        </w:tc>
        <w:tc>
          <w:tcPr>
            <w:tcW w:w="10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(111,545)</w:t>
            </w:r>
          </w:p>
        </w:tc>
      </w:tr>
      <w:tr>
        <w:trPr>
          <w:trHeight w:val="236"/>
        </w:trPr>
        <w:tc>
          <w:tcPr>
            <w:tcW w:w="5000" w:type="dxa"/>
            <w:vAlign w:val="bottom"/>
          </w:tcPr>
          <w:p>
            <w:pPr>
              <w:ind w:left="20"/>
              <w:spacing w:after="0"/>
              <w:rPr>
                <w:sz w:val="20"/>
                <w:szCs w:val="20"/>
                <w:color w:val="auto"/>
              </w:rPr>
            </w:pPr>
            <w:r>
              <w:rPr>
                <w:rFonts w:ascii="Arial" w:cs="Arial" w:eastAsia="Arial" w:hAnsi="Arial"/>
                <w:sz w:val="16"/>
                <w:szCs w:val="16"/>
                <w:color w:val="auto"/>
              </w:rPr>
              <w:t>Adjusted Net Income</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206,149</w:t>
            </w:r>
          </w:p>
        </w:tc>
        <w:tc>
          <w:tcPr>
            <w:tcW w:w="80" w:type="dxa"/>
            <w:vAlign w:val="bottom"/>
          </w:tcPr>
          <w:p>
            <w:pPr>
              <w:spacing w:after="0"/>
              <w:rPr>
                <w:sz w:val="20"/>
                <w:szCs w:val="20"/>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166,711</w:t>
            </w:r>
          </w:p>
        </w:tc>
        <w:tc>
          <w:tcPr>
            <w:tcW w:w="80" w:type="dxa"/>
            <w:vAlign w:val="bottom"/>
          </w:tcPr>
          <w:p>
            <w:pPr>
              <w:spacing w:after="0"/>
              <w:rPr>
                <w:sz w:val="20"/>
                <w:szCs w:val="20"/>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411,840</w:t>
            </w:r>
          </w:p>
        </w:tc>
        <w:tc>
          <w:tcPr>
            <w:tcW w:w="80" w:type="dxa"/>
            <w:vAlign w:val="bottom"/>
          </w:tcPr>
          <w:p>
            <w:pPr>
              <w:spacing w:after="0"/>
              <w:rPr>
                <w:sz w:val="20"/>
                <w:szCs w:val="20"/>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334,636</w:t>
            </w:r>
          </w:p>
        </w:tc>
      </w:tr>
      <w:tr>
        <w:trPr>
          <w:trHeight w:val="20"/>
        </w:trPr>
        <w:tc>
          <w:tcPr>
            <w:tcW w:w="5000" w:type="dxa"/>
            <w:vAlign w:val="bottom"/>
            <w:tcBorders>
              <w:bottom w:val="single" w:sz="8" w:color="D5DCE4"/>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62"/>
        </w:trPr>
        <w:tc>
          <w:tcPr>
            <w:tcW w:w="5000" w:type="dxa"/>
            <w:vAlign w:val="bottom"/>
            <w:tcBorders>
              <w:bottom w:val="single" w:sz="8" w:color="D5DCE4"/>
            </w:tcBorders>
            <w:shd w:val="clear" w:color="auto" w:fill="D5DCE4"/>
          </w:tcPr>
          <w:p>
            <w:pPr>
              <w:ind w:left="20"/>
              <w:spacing w:after="0" w:line="237" w:lineRule="exact"/>
              <w:rPr>
                <w:sz w:val="20"/>
                <w:szCs w:val="20"/>
                <w:color w:val="auto"/>
              </w:rPr>
            </w:pPr>
            <w:r>
              <w:rPr>
                <w:rFonts w:ascii="Arial" w:cs="Arial" w:eastAsia="Arial" w:hAnsi="Arial"/>
                <w:sz w:val="16"/>
                <w:szCs w:val="16"/>
                <w:color w:val="auto"/>
              </w:rPr>
              <w:t xml:space="preserve">Adjusted Diluted EPS </w:t>
            </w:r>
            <w:r>
              <w:rPr>
                <w:rFonts w:ascii="Arial" w:cs="Arial" w:eastAsia="Arial" w:hAnsi="Arial"/>
                <w:sz w:val="21"/>
                <w:szCs w:val="21"/>
                <w:color w:val="auto"/>
                <w:vertAlign w:val="superscript"/>
              </w:rPr>
              <w:t>(8)</w:t>
            </w:r>
          </w:p>
        </w:tc>
        <w:tc>
          <w:tcPr>
            <w:tcW w:w="480" w:type="dxa"/>
            <w:vAlign w:val="bottom"/>
            <w:tcBorders>
              <w:bottom w:val="single" w:sz="8" w:color="auto"/>
            </w:tcBorders>
            <w:shd w:val="clear" w:color="auto" w:fill="D5DCE4"/>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0.87</w:t>
            </w:r>
          </w:p>
        </w:tc>
        <w:tc>
          <w:tcPr>
            <w:tcW w:w="80" w:type="dxa"/>
            <w:vAlign w:val="bottom"/>
            <w:tcBorders>
              <w:bottom w:val="single" w:sz="8" w:color="D5DCE4"/>
            </w:tcBorders>
            <w:shd w:val="clear" w:color="auto" w:fill="D5DCE4"/>
          </w:tcPr>
          <w:p>
            <w:pPr>
              <w:spacing w:after="0"/>
              <w:rPr>
                <w:sz w:val="22"/>
                <w:szCs w:val="22"/>
                <w:color w:val="auto"/>
              </w:rPr>
            </w:pPr>
          </w:p>
        </w:tc>
        <w:tc>
          <w:tcPr>
            <w:tcW w:w="480" w:type="dxa"/>
            <w:vAlign w:val="bottom"/>
            <w:tcBorders>
              <w:bottom w:val="single" w:sz="8" w:color="auto"/>
            </w:tcBorders>
            <w:shd w:val="clear" w:color="auto" w:fill="D5DCE4"/>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0.70</w:t>
            </w:r>
          </w:p>
        </w:tc>
        <w:tc>
          <w:tcPr>
            <w:tcW w:w="80" w:type="dxa"/>
            <w:vAlign w:val="bottom"/>
            <w:tcBorders>
              <w:bottom w:val="single" w:sz="8" w:color="D5DCE4"/>
            </w:tcBorders>
            <w:shd w:val="clear" w:color="auto" w:fill="D5DCE4"/>
          </w:tcPr>
          <w:p>
            <w:pPr>
              <w:spacing w:after="0"/>
              <w:rPr>
                <w:sz w:val="22"/>
                <w:szCs w:val="22"/>
                <w:color w:val="auto"/>
              </w:rPr>
            </w:pPr>
          </w:p>
        </w:tc>
        <w:tc>
          <w:tcPr>
            <w:tcW w:w="440" w:type="dxa"/>
            <w:vAlign w:val="bottom"/>
            <w:tcBorders>
              <w:bottom w:val="single" w:sz="8" w:color="auto"/>
            </w:tcBorders>
            <w:shd w:val="clear" w:color="auto" w:fill="D5DCE4"/>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1.73</w:t>
            </w:r>
          </w:p>
        </w:tc>
        <w:tc>
          <w:tcPr>
            <w:tcW w:w="80" w:type="dxa"/>
            <w:vAlign w:val="bottom"/>
            <w:tcBorders>
              <w:bottom w:val="single" w:sz="8" w:color="D5DCE4"/>
            </w:tcBorders>
            <w:shd w:val="clear" w:color="auto" w:fill="D5DCE4"/>
          </w:tcPr>
          <w:p>
            <w:pPr>
              <w:spacing w:after="0"/>
              <w:rPr>
                <w:sz w:val="22"/>
                <w:szCs w:val="22"/>
                <w:color w:val="auto"/>
              </w:rPr>
            </w:pPr>
          </w:p>
        </w:tc>
        <w:tc>
          <w:tcPr>
            <w:tcW w:w="460" w:type="dxa"/>
            <w:vAlign w:val="bottom"/>
            <w:tcBorders>
              <w:bottom w:val="single" w:sz="8" w:color="auto"/>
            </w:tcBorders>
            <w:shd w:val="clear" w:color="auto" w:fill="D5DCE4"/>
          </w:tcPr>
          <w:p>
            <w:pPr>
              <w:jc w:val="right"/>
              <w:ind w:right="2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1.41</w:t>
            </w:r>
          </w:p>
        </w:tc>
      </w:tr>
      <w:tr>
        <w:trPr>
          <w:trHeight w:val="20"/>
        </w:trPr>
        <w:tc>
          <w:tcPr>
            <w:tcW w:w="500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0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0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40" w:type="dxa"/>
            <w:vAlign w:val="bottom"/>
            <w:tcBorders>
              <w:top w:val="single" w:sz="8" w:color="D5DCE4"/>
              <w:bottom w:val="single" w:sz="8" w:color="auto"/>
            </w:tcBorders>
          </w:tcPr>
          <w:p>
            <w:pPr>
              <w:spacing w:after="0" w:line="20" w:lineRule="exact"/>
              <w:rPr>
                <w:sz w:val="1"/>
                <w:szCs w:val="1"/>
                <w:color w:val="auto"/>
              </w:rPr>
            </w:pPr>
          </w:p>
        </w:tc>
        <w:tc>
          <w:tcPr>
            <w:tcW w:w="106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60" w:type="dxa"/>
            <w:vAlign w:val="bottom"/>
            <w:tcBorders>
              <w:top w:val="single" w:sz="8" w:color="D5DCE4"/>
              <w:bottom w:val="single" w:sz="8" w:color="auto"/>
            </w:tcBorders>
          </w:tcPr>
          <w:p>
            <w:pPr>
              <w:spacing w:after="0" w:line="20" w:lineRule="exact"/>
              <w:rPr>
                <w:sz w:val="1"/>
                <w:szCs w:val="1"/>
                <w:color w:val="auto"/>
              </w:rPr>
            </w:pPr>
          </w:p>
        </w:tc>
        <w:tc>
          <w:tcPr>
            <w:tcW w:w="1040" w:type="dxa"/>
            <w:vAlign w:val="bottom"/>
            <w:tcBorders>
              <w:top w:val="single" w:sz="8" w:color="D5DCE4"/>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440" w:right="240" w:hanging="414"/>
        <w:spacing w:after="0" w:line="271" w:lineRule="auto"/>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the reallocation of net income attributable to non-controlling interests from the assumed exchange of all outstanding LLC Interests held by non-controlling interests for shares of Class A or Class B common stock.</w:t>
      </w:r>
    </w:p>
    <w:p>
      <w:pPr>
        <w:spacing w:after="0" w:line="25" w:lineRule="exact"/>
        <w:rPr>
          <w:rFonts w:ascii="Arial" w:cs="Arial" w:eastAsia="Arial" w:hAnsi="Arial"/>
          <w:sz w:val="12"/>
          <w:szCs w:val="12"/>
          <w:color w:val="auto"/>
        </w:rPr>
      </w:pPr>
    </w:p>
    <w:p>
      <w:pPr>
        <w:ind w:left="440" w:right="260" w:hanging="414"/>
        <w:spacing w:after="0" w:line="271" w:lineRule="auto"/>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incremental direct costs associated with the acquisition and integration of completed and potential mergers and acquisitions. These costs generally include legal, consulting, advisory, due diligence, severance and certain other transaction expenses and third party costs incurred that directly relate to the acquisition transaction or its integration.</w:t>
      </w:r>
    </w:p>
    <w:p>
      <w:pPr>
        <w:spacing w:after="0" w:line="25" w:lineRule="exact"/>
        <w:rPr>
          <w:rFonts w:ascii="Arial" w:cs="Arial" w:eastAsia="Arial" w:hAnsi="Arial"/>
          <w:sz w:val="12"/>
          <w:szCs w:val="12"/>
          <w:color w:val="auto"/>
        </w:rPr>
      </w:pPr>
    </w:p>
    <w:p>
      <w:pPr>
        <w:ind w:left="440" w:right="380" w:hanging="414"/>
        <w:spacing w:after="0" w:line="271" w:lineRule="auto"/>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25" w:lineRule="exact"/>
        <w:rPr>
          <w:rFonts w:ascii="Arial" w:cs="Arial" w:eastAsia="Arial" w:hAnsi="Arial"/>
          <w:sz w:val="12"/>
          <w:szCs w:val="12"/>
          <w:color w:val="auto"/>
        </w:rPr>
      </w:pPr>
    </w:p>
    <w:p>
      <w:pPr>
        <w:ind w:left="440" w:right="80" w:hanging="414"/>
        <w:spacing w:after="0" w:line="262" w:lineRule="auto"/>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non-cash stock-based compensation expense associated with the Special Option Award and post-IPO options awarded in 2019 and payroll taxes associated with the exercise of such options. During the three and six months ended June 30, 2025, this adjustment also includes $0.6 million and $1.2 million, respectively, of non-cash stock-based compensation expense and related payroll taxes associated with RSAs and RSUs issued to help retain key ICD employees during the integration of ICD. During the three and six months ended June 30, 2024, this adjustment also includes $0.3 million of non-cash accelerated stock-based compensation expense and related payroll taxes associated with our former President.</w:t>
      </w:r>
    </w:p>
    <w:p>
      <w:pPr>
        <w:spacing w:after="0" w:line="31" w:lineRule="exact"/>
        <w:rPr>
          <w:rFonts w:ascii="Arial" w:cs="Arial" w:eastAsia="Arial" w:hAnsi="Arial"/>
          <w:sz w:val="12"/>
          <w:szCs w:val="12"/>
          <w:color w:val="auto"/>
        </w:rPr>
      </w:pPr>
    </w:p>
    <w:p>
      <w:pPr>
        <w:ind w:left="440" w:right="160" w:hanging="414"/>
        <w:spacing w:after="0" w:line="271" w:lineRule="auto"/>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unrealized gain or loss recognized on foreign currency forward contracts and foreign exchange gain or loss from the revaluation of cash denominated in a different currency than the entity’s functional currency.</w:t>
      </w:r>
    </w:p>
    <w:p>
      <w:pPr>
        <w:spacing w:after="0" w:line="25" w:lineRule="exact"/>
        <w:rPr>
          <w:rFonts w:ascii="Arial" w:cs="Arial" w:eastAsia="Arial" w:hAnsi="Arial"/>
          <w:sz w:val="12"/>
          <w:szCs w:val="12"/>
          <w:color w:val="auto"/>
        </w:rPr>
      </w:pPr>
    </w:p>
    <w:p>
      <w:pPr>
        <w:ind w:left="440" w:right="460" w:hanging="414"/>
        <w:spacing w:after="0" w:line="271" w:lineRule="auto"/>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income recognized during the applicable period due to changes in the tax receivable agreement liability recorded in the consolidated statements of financial condition as a result of, as applicable, changes in the mix of earnings, tax legislation and tax rates in various jurisdictions which impacted our tax savings.</w:t>
      </w:r>
    </w:p>
    <w:p>
      <w:pPr>
        <w:spacing w:after="0" w:line="93" w:lineRule="exact"/>
        <w:rPr>
          <w:rFonts w:ascii="Arial" w:cs="Arial" w:eastAsia="Arial" w:hAnsi="Arial"/>
          <w:sz w:val="12"/>
          <w:szCs w:val="12"/>
          <w:color w:val="auto"/>
        </w:rPr>
      </w:pPr>
    </w:p>
    <w:p>
      <w:pPr>
        <w:ind w:left="440" w:right="480" w:hanging="414"/>
        <w:spacing w:after="0" w:line="284" w:lineRule="auto"/>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corporate income taxes at an assumed effective tax rate of 25.0% applied to Adjusted Net Income before income taxes for each of the three and six months ended June 30, 2025 and June 30, 2024</w:t>
      </w:r>
      <w:r>
        <w:rPr>
          <w:rFonts w:ascii="Arial" w:cs="Arial" w:eastAsia="Arial" w:hAnsi="Arial"/>
          <w:sz w:val="14"/>
          <w:szCs w:val="14"/>
          <w:color w:val="auto"/>
        </w:rPr>
        <w:t>.</w:t>
      </w:r>
    </w:p>
    <w:p>
      <w:pPr>
        <w:spacing w:after="0" w:line="24" w:lineRule="exact"/>
        <w:rPr>
          <w:rFonts w:ascii="Arial" w:cs="Arial" w:eastAsia="Arial" w:hAnsi="Arial"/>
          <w:sz w:val="12"/>
          <w:szCs w:val="12"/>
          <w:color w:val="auto"/>
        </w:rPr>
      </w:pPr>
    </w:p>
    <w:p>
      <w:pPr>
        <w:ind w:left="440" w:right="100" w:hanging="414"/>
        <w:spacing w:after="0" w:line="271" w:lineRule="auto"/>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For a summary of the calculation of Adjusted Diluted EPS, see “Reconciliation of Diluted Weighted Average Shares Outstanding to Adjusted Diluted Weighted Average Shares Outstanding and Adjusted Diluted EPS” below.</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calculation of Adjusted Diluted EPS for the periods presented:</w:t>
      </w:r>
    </w:p>
    <w:p>
      <w:pPr>
        <w:sectPr>
          <w:pgSz w:w="11900" w:h="16838" w:orient="portrait"/>
          <w:cols w:equalWidth="0" w:num="1">
            <w:col w:w="11240"/>
          </w:cols>
          <w:pgMar w:left="320" w:top="827" w:right="339" w:bottom="1440" w:gutter="0" w:footer="0" w:header="0"/>
          <w:type w:val="continuous"/>
        </w:sectPr>
      </w:pPr>
    </w:p>
    <w:p>
      <w:pPr>
        <w:spacing w:after="0" w:line="347" w:lineRule="exact"/>
        <w:rPr>
          <w:sz w:val="20"/>
          <w:szCs w:val="20"/>
          <w:color w:val="auto"/>
        </w:rPr>
      </w:pPr>
    </w:p>
    <w:p>
      <w:pPr>
        <w:ind w:left="20" w:right="280"/>
        <w:spacing w:after="0" w:line="280" w:lineRule="auto"/>
        <w:rPr>
          <w:sz w:val="20"/>
          <w:szCs w:val="20"/>
          <w:color w:val="auto"/>
        </w:rPr>
      </w:pPr>
      <w:r>
        <w:rPr>
          <w:rFonts w:ascii="Arial" w:cs="Arial" w:eastAsia="Arial" w:hAnsi="Arial"/>
          <w:sz w:val="16"/>
          <w:szCs w:val="16"/>
          <w:b w:val="1"/>
          <w:bCs w:val="1"/>
          <w:color w:val="auto"/>
        </w:rPr>
        <w:t>Reconciliation of Diluted Weighted Average Shares Outstanding to Adjusted Diluted Weighted Average Shares Outstanding and Adjusted Diluted EPS</w:t>
      </w:r>
    </w:p>
    <w:p>
      <w:pPr>
        <w:spacing w:after="0" w:line="4" w:lineRule="exact"/>
        <w:rPr>
          <w:sz w:val="20"/>
          <w:szCs w:val="20"/>
          <w:color w:val="auto"/>
        </w:rPr>
      </w:pPr>
    </w:p>
    <w:p>
      <w:pPr>
        <w:ind w:left="20" w:right="60"/>
        <w:spacing w:after="0" w:line="286" w:lineRule="auto"/>
        <w:rPr>
          <w:sz w:val="20"/>
          <w:szCs w:val="20"/>
          <w:color w:val="auto"/>
        </w:rPr>
      </w:pPr>
      <w:r>
        <w:rPr>
          <w:rFonts w:ascii="Arial" w:cs="Arial" w:eastAsia="Arial" w:hAnsi="Arial"/>
          <w:sz w:val="16"/>
          <w:szCs w:val="16"/>
          <w:color w:val="auto"/>
        </w:rPr>
        <w:t>Diluted weighted average shares of Class A and Class B common stock outstanding</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Weighted average of other participating securities </w:t>
      </w:r>
      <w:r>
        <w:rPr>
          <w:rFonts w:ascii="Arial" w:cs="Arial" w:eastAsia="Arial" w:hAnsi="Arial"/>
          <w:sz w:val="21"/>
          <w:szCs w:val="21"/>
          <w:color w:val="auto"/>
          <w:vertAlign w:val="superscript"/>
        </w:rPr>
        <w:t>(1)</w:t>
      </w:r>
    </w:p>
    <w:p>
      <w:pPr>
        <w:spacing w:after="0" w:line="18" w:lineRule="exact"/>
        <w:rPr>
          <w:sz w:val="20"/>
          <w:szCs w:val="20"/>
          <w:color w:val="auto"/>
        </w:rPr>
      </w:pPr>
    </w:p>
    <w:p>
      <w:pPr>
        <w:ind w:left="20"/>
        <w:spacing w:after="0" w:line="237" w:lineRule="auto"/>
        <w:rPr>
          <w:sz w:val="20"/>
          <w:szCs w:val="20"/>
          <w:color w:val="auto"/>
        </w:rPr>
      </w:pPr>
      <w:r>
        <w:rPr>
          <w:rFonts w:ascii="Arial" w:cs="Arial" w:eastAsia="Arial" w:hAnsi="Arial"/>
          <w:sz w:val="16"/>
          <w:szCs w:val="16"/>
          <w:color w:val="auto"/>
        </w:rPr>
        <w:t xml:space="preserve">Assumed exchange of LLC Interests for shares of Class A or Class B common stock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18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rPr>
              <w:t>Three Months Ended</w:t>
            </w:r>
          </w:p>
        </w:tc>
        <w:tc>
          <w:tcPr>
            <w:tcW w:w="3100" w:type="dxa"/>
            <w:vAlign w:val="bottom"/>
            <w:gridSpan w:val="4"/>
          </w:tcPr>
          <w:p>
            <w:pPr>
              <w:jc w:val="center"/>
              <w:spacing w:after="0"/>
              <w:rPr>
                <w:sz w:val="20"/>
                <w:szCs w:val="20"/>
                <w:color w:val="auto"/>
              </w:rPr>
            </w:pPr>
            <w:r>
              <w:rPr>
                <w:rFonts w:ascii="Arial" w:cs="Arial" w:eastAsia="Arial" w:hAnsi="Arial"/>
                <w:sz w:val="16"/>
                <w:szCs w:val="16"/>
                <w:b w:val="1"/>
                <w:bCs w:val="1"/>
                <w:color w:val="auto"/>
              </w:rPr>
              <w:t>Six Months Ended</w:t>
            </w:r>
          </w:p>
        </w:tc>
      </w:tr>
      <w:tr>
        <w:trPr>
          <w:trHeight w:val="247"/>
        </w:trPr>
        <w:tc>
          <w:tcPr>
            <w:tcW w:w="2000" w:type="dxa"/>
            <w:vAlign w:val="bottom"/>
            <w:tcBorders>
              <w:bottom w:val="single" w:sz="8" w:color="auto"/>
            </w:tcBorders>
            <w:gridSpan w:val="3"/>
          </w:tcPr>
          <w:p>
            <w:pPr>
              <w:jc w:val="center"/>
              <w:ind w:left="1019"/>
              <w:spacing w:after="0"/>
              <w:rPr>
                <w:sz w:val="20"/>
                <w:szCs w:val="20"/>
                <w:color w:val="auto"/>
              </w:rPr>
            </w:pPr>
            <w:r>
              <w:rPr>
                <w:rFonts w:ascii="Arial" w:cs="Arial" w:eastAsia="Arial" w:hAnsi="Arial"/>
                <w:sz w:val="16"/>
                <w:szCs w:val="16"/>
                <w:b w:val="1"/>
                <w:bCs w:val="1"/>
                <w:color w:val="auto"/>
              </w:rPr>
              <w:t>June 30,</w:t>
            </w:r>
          </w:p>
        </w:tc>
        <w:tc>
          <w:tcPr>
            <w:tcW w:w="11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00" w:type="dxa"/>
            <w:vAlign w:val="bottom"/>
            <w:tcBorders>
              <w:bottom w:val="single" w:sz="8" w:color="auto"/>
            </w:tcBorders>
            <w:gridSpan w:val="3"/>
          </w:tcPr>
          <w:p>
            <w:pPr>
              <w:jc w:val="center"/>
              <w:ind w:left="1019"/>
              <w:spacing w:after="0"/>
              <w:rPr>
                <w:sz w:val="20"/>
                <w:szCs w:val="20"/>
                <w:color w:val="auto"/>
              </w:rPr>
            </w:pPr>
            <w:r>
              <w:rPr>
                <w:rFonts w:ascii="Arial" w:cs="Arial" w:eastAsia="Arial" w:hAnsi="Arial"/>
                <w:sz w:val="16"/>
                <w:szCs w:val="16"/>
                <w:b w:val="1"/>
                <w:bCs w:val="1"/>
                <w:color w:val="auto"/>
              </w:rPr>
              <w:t>June 30,</w:t>
            </w:r>
          </w:p>
        </w:tc>
        <w:tc>
          <w:tcPr>
            <w:tcW w:w="1100" w:type="dxa"/>
            <w:vAlign w:val="bottom"/>
            <w:tcBorders>
              <w:bottom w:val="single" w:sz="8" w:color="auto"/>
            </w:tcBorders>
          </w:tcPr>
          <w:p>
            <w:pPr>
              <w:spacing w:after="0"/>
              <w:rPr>
                <w:sz w:val="21"/>
                <w:szCs w:val="21"/>
                <w:color w:val="auto"/>
              </w:rPr>
            </w:pPr>
          </w:p>
        </w:tc>
      </w:tr>
      <w:tr>
        <w:trPr>
          <w:trHeight w:val="236"/>
        </w:trPr>
        <w:tc>
          <w:tcPr>
            <w:tcW w:w="15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20"/>
                <w:szCs w:val="20"/>
                <w:color w:val="auto"/>
              </w:rPr>
            </w:pPr>
          </w:p>
        </w:tc>
        <w:tc>
          <w:tcPr>
            <w:tcW w:w="15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r>
      <w:tr>
        <w:trPr>
          <w:trHeight w:val="427"/>
        </w:trPr>
        <w:tc>
          <w:tcPr>
            <w:tcW w:w="1500" w:type="dxa"/>
            <w:vAlign w:val="bottom"/>
          </w:tcPr>
          <w:p>
            <w:pPr>
              <w:jc w:val="right"/>
              <w:spacing w:after="0"/>
              <w:rPr>
                <w:sz w:val="20"/>
                <w:szCs w:val="20"/>
                <w:color w:val="auto"/>
              </w:rPr>
            </w:pPr>
            <w:r>
              <w:rPr>
                <w:rFonts w:ascii="Arial" w:cs="Arial" w:eastAsia="Arial" w:hAnsi="Arial"/>
                <w:sz w:val="16"/>
                <w:szCs w:val="16"/>
                <w:color w:val="auto"/>
              </w:rPr>
              <w:t>214,971,946</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214,895,947</w:t>
            </w:r>
          </w:p>
        </w:tc>
        <w:tc>
          <w:tcPr>
            <w:tcW w:w="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214,934,378</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214,778,342</w:t>
            </w:r>
          </w:p>
        </w:tc>
      </w:tr>
      <w:tr>
        <w:trPr>
          <w:trHeight w:val="243"/>
        </w:trPr>
        <w:tc>
          <w:tcPr>
            <w:tcW w:w="1500" w:type="dxa"/>
            <w:vAlign w:val="bottom"/>
          </w:tcPr>
          <w:p>
            <w:pPr>
              <w:jc w:val="right"/>
              <w:spacing w:after="0"/>
              <w:rPr>
                <w:sz w:val="20"/>
                <w:szCs w:val="20"/>
                <w:color w:val="auto"/>
              </w:rPr>
            </w:pPr>
            <w:r>
              <w:rPr>
                <w:rFonts w:ascii="Arial" w:cs="Arial" w:eastAsia="Arial" w:hAnsi="Arial"/>
                <w:sz w:val="16"/>
                <w:szCs w:val="16"/>
                <w:color w:val="auto"/>
              </w:rPr>
              <w:t>162,433</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125,012</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173,894</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142,484</w:t>
            </w:r>
          </w:p>
        </w:tc>
      </w:tr>
      <w:tr>
        <w:trPr>
          <w:trHeight w:val="445"/>
        </w:trPr>
        <w:tc>
          <w:tcPr>
            <w:tcW w:w="1500" w:type="dxa"/>
            <w:vAlign w:val="bottom"/>
          </w:tcPr>
          <w:p>
            <w:pPr>
              <w:jc w:val="right"/>
              <w:spacing w:after="0"/>
              <w:rPr>
                <w:sz w:val="20"/>
                <w:szCs w:val="20"/>
                <w:color w:val="auto"/>
              </w:rPr>
            </w:pPr>
            <w:r>
              <w:rPr>
                <w:rFonts w:ascii="Arial" w:cs="Arial" w:eastAsia="Arial" w:hAnsi="Arial"/>
                <w:sz w:val="16"/>
                <w:szCs w:val="16"/>
                <w:color w:val="auto"/>
              </w:rPr>
              <w:t>23,063,153</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23,077,698</w:t>
            </w:r>
          </w:p>
        </w:tc>
        <w:tc>
          <w:tcPr>
            <w:tcW w:w="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23,066,571</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23,077,836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-272415</wp:posOffset>
            </wp:positionV>
            <wp:extent cx="7132320"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-718185</wp:posOffset>
            </wp:positionV>
            <wp:extent cx="7132320"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42" w:lineRule="exact"/>
        <w:rPr>
          <w:sz w:val="20"/>
          <w:szCs w:val="20"/>
          <w:color w:val="auto"/>
        </w:rPr>
      </w:pPr>
    </w:p>
    <w:p>
      <w:pPr>
        <w:sectPr>
          <w:pgSz w:w="11900" w:h="16838" w:orient="portrait"/>
          <w:cols w:equalWidth="0" w:num="2">
            <w:col w:w="4820" w:space="140"/>
            <w:col w:w="6280"/>
          </w:cols>
          <w:pgMar w:left="320" w:top="827"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4960" w:type="dxa"/>
            <w:vAlign w:val="bottom"/>
          </w:tcPr>
          <w:p>
            <w:pPr>
              <w:ind w:left="20"/>
              <w:spacing w:after="0"/>
              <w:rPr>
                <w:sz w:val="20"/>
                <w:szCs w:val="20"/>
                <w:color w:val="auto"/>
              </w:rPr>
            </w:pPr>
            <w:r>
              <w:rPr>
                <w:rFonts w:ascii="Arial" w:cs="Arial" w:eastAsia="Arial" w:hAnsi="Arial"/>
                <w:sz w:val="16"/>
                <w:szCs w:val="16"/>
                <w:color w:val="auto"/>
              </w:rPr>
              <w:t>Adjusted diluted weighted average shares outstanding</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238,197,532</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238,098,657</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238,174,843</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237,998,662</w:t>
            </w:r>
          </w:p>
        </w:tc>
      </w:tr>
      <w:tr>
        <w:trPr>
          <w:trHeight w:val="20"/>
        </w:trPr>
        <w:tc>
          <w:tcPr>
            <w:tcW w:w="496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62"/>
        </w:trPr>
        <w:tc>
          <w:tcPr>
            <w:tcW w:w="4960" w:type="dxa"/>
            <w:vAlign w:val="bottom"/>
            <w:tcBorders>
              <w:bottom w:val="single" w:sz="8" w:color="D5DCE4"/>
            </w:tcBorders>
            <w:shd w:val="clear" w:color="auto" w:fill="D5DCE4"/>
          </w:tcPr>
          <w:p>
            <w:pPr>
              <w:ind w:left="20"/>
              <w:spacing w:after="0"/>
              <w:rPr>
                <w:sz w:val="20"/>
                <w:szCs w:val="20"/>
                <w:color w:val="auto"/>
              </w:rPr>
            </w:pPr>
            <w:r>
              <w:rPr>
                <w:rFonts w:ascii="Arial" w:cs="Arial" w:eastAsia="Arial" w:hAnsi="Arial"/>
                <w:sz w:val="16"/>
                <w:szCs w:val="16"/>
                <w:color w:val="auto"/>
              </w:rPr>
              <w:t>Adjusted Net Income (in thousands)</w:t>
            </w:r>
          </w:p>
        </w:tc>
        <w:tc>
          <w:tcPr>
            <w:tcW w:w="3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206,149</w:t>
            </w:r>
          </w:p>
        </w:tc>
        <w:tc>
          <w:tcPr>
            <w:tcW w:w="80" w:type="dxa"/>
            <w:vAlign w:val="bottom"/>
            <w:tcBorders>
              <w:bottom w:val="single" w:sz="8" w:color="D5DCE4"/>
            </w:tcBorders>
            <w:shd w:val="clear" w:color="auto" w:fill="D5DCE4"/>
          </w:tcPr>
          <w:p>
            <w:pPr>
              <w:spacing w:after="0"/>
              <w:rPr>
                <w:sz w:val="22"/>
                <w:szCs w:val="22"/>
                <w:color w:val="auto"/>
              </w:rPr>
            </w:pPr>
          </w:p>
        </w:tc>
        <w:tc>
          <w:tcPr>
            <w:tcW w:w="3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166,711</w:t>
            </w:r>
          </w:p>
        </w:tc>
        <w:tc>
          <w:tcPr>
            <w:tcW w:w="80" w:type="dxa"/>
            <w:vAlign w:val="bottom"/>
            <w:tcBorders>
              <w:bottom w:val="single" w:sz="8" w:color="D5DCE4"/>
            </w:tcBorders>
            <w:shd w:val="clear" w:color="auto" w:fill="D5DCE4"/>
          </w:tcPr>
          <w:p>
            <w:pPr>
              <w:spacing w:after="0"/>
              <w:rPr>
                <w:sz w:val="22"/>
                <w:szCs w:val="22"/>
                <w:color w:val="auto"/>
              </w:rPr>
            </w:pPr>
          </w:p>
        </w:tc>
        <w:tc>
          <w:tcPr>
            <w:tcW w:w="32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411,840</w:t>
            </w:r>
          </w:p>
        </w:tc>
        <w:tc>
          <w:tcPr>
            <w:tcW w:w="80" w:type="dxa"/>
            <w:vAlign w:val="bottom"/>
            <w:tcBorders>
              <w:bottom w:val="single" w:sz="8" w:color="D5DCE4"/>
            </w:tcBorders>
            <w:shd w:val="clear" w:color="auto" w:fill="D5DCE4"/>
          </w:tcPr>
          <w:p>
            <w:pPr>
              <w:spacing w:after="0"/>
              <w:rPr>
                <w:sz w:val="22"/>
                <w:szCs w:val="22"/>
                <w:color w:val="auto"/>
              </w:rPr>
            </w:pPr>
          </w:p>
        </w:tc>
        <w:tc>
          <w:tcPr>
            <w:tcW w:w="34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334,636</w:t>
            </w:r>
          </w:p>
        </w:tc>
      </w:tr>
      <w:tr>
        <w:trPr>
          <w:trHeight w:val="20"/>
        </w:trPr>
        <w:tc>
          <w:tcPr>
            <w:tcW w:w="496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20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4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r>
      <w:tr>
        <w:trPr>
          <w:trHeight w:val="217"/>
        </w:trPr>
        <w:tc>
          <w:tcPr>
            <w:tcW w:w="4960" w:type="dxa"/>
            <w:vAlign w:val="bottom"/>
          </w:tcPr>
          <w:p>
            <w:pPr>
              <w:ind w:left="20"/>
              <w:spacing w:after="0"/>
              <w:rPr>
                <w:sz w:val="20"/>
                <w:szCs w:val="20"/>
                <w:color w:val="auto"/>
              </w:rPr>
            </w:pPr>
            <w:r>
              <w:rPr>
                <w:rFonts w:ascii="Arial" w:cs="Arial" w:eastAsia="Arial" w:hAnsi="Arial"/>
                <w:sz w:val="16"/>
                <w:szCs w:val="16"/>
                <w:color w:val="auto"/>
              </w:rPr>
              <w:t>Adjusted Diluted EPS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0.87</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0.70</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r>
      <w:tr>
        <w:trPr>
          <w:trHeight w:val="20"/>
        </w:trPr>
        <w:tc>
          <w:tcPr>
            <w:tcW w:w="4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Represents the weighted average of unvested stock awards and unsettled vested stock awards issued to certain retired or terminated employees that are entitled to non-forfeitable dividend equivalent</w:t>
      </w:r>
    </w:p>
    <w:p>
      <w:pPr>
        <w:spacing w:after="0" w:line="1" w:lineRule="exact"/>
        <w:rPr>
          <w:sz w:val="20"/>
          <w:szCs w:val="20"/>
          <w:color w:val="auto"/>
        </w:rPr>
      </w:pPr>
    </w:p>
    <w:p>
      <w:pPr>
        <w:ind w:left="440" w:right="220" w:hanging="414"/>
        <w:spacing w:after="0" w:line="293" w:lineRule="auto"/>
        <w:tabs>
          <w:tab w:leader="none" w:pos="4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rights and are considered participating securities prior to being issued and outstanding shares of common stock in accordance with the two-class method used for purposes of calculating earnings per share.</w:t>
      </w:r>
    </w:p>
    <w:p>
      <w:pPr>
        <w:spacing w:after="0" w:line="27" w:lineRule="exact"/>
        <w:rPr>
          <w:rFonts w:ascii="Arial" w:cs="Arial" w:eastAsia="Arial" w:hAnsi="Arial"/>
          <w:sz w:val="12"/>
          <w:szCs w:val="12"/>
          <w:color w:val="auto"/>
        </w:rPr>
      </w:pPr>
    </w:p>
    <w:p>
      <w:pPr>
        <w:ind w:left="440" w:right="260" w:hanging="414"/>
        <w:spacing w:after="0" w:line="186" w:lineRule="auto"/>
        <w:tabs>
          <w:tab w:leader="none" w:pos="440" w:val="left"/>
        </w:tabs>
        <w:numPr>
          <w:ilvl w:val="0"/>
          <w:numId w:val="11"/>
        </w:numPr>
        <w:rPr>
          <w:rFonts w:ascii="Arial" w:cs="Arial" w:eastAsia="Arial" w:hAnsi="Arial"/>
          <w:sz w:val="22"/>
          <w:szCs w:val="22"/>
          <w:color w:val="auto"/>
          <w:vertAlign w:val="superscript"/>
        </w:rPr>
      </w:pPr>
      <w:r>
        <w:rPr>
          <w:rFonts w:ascii="Arial" w:cs="Arial" w:eastAsia="Arial" w:hAnsi="Arial"/>
          <w:sz w:val="11"/>
          <w:szCs w:val="11"/>
          <w:color w:val="auto"/>
        </w:rPr>
        <w:t>Assumes the full exchange of the weighted average of all outstanding LLC Interests held by non-controlling interests for shares of Class A or Class B common stock, resulting in the elimination of the non-controlling interests and recognition of the net income attributable to non-controlling interests.</w:t>
      </w:r>
    </w:p>
    <w:p>
      <w:pPr>
        <w:sectPr>
          <w:pgSz w:w="11900" w:h="16838" w:orient="portrait"/>
          <w:cols w:equalWidth="0" w:num="1">
            <w:col w:w="11240"/>
          </w:cols>
          <w:pgMar w:left="320" w:top="827" w:right="3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6</w:t>
      </w:r>
    </w:p>
    <w:p>
      <w:pPr>
        <w:sectPr>
          <w:pgSz w:w="11900" w:h="16838" w:orient="portrait"/>
          <w:cols w:equalWidth="0" w:num="1">
            <w:col w:w="11240"/>
          </w:cols>
          <w:pgMar w:left="320" w:top="827" w:right="3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23"/>
        </w:trPr>
        <w:tc>
          <w:tcPr>
            <w:tcW w:w="4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0" w:type="dxa"/>
            <w:vAlign w:val="bottom"/>
            <w:gridSpan w:val="5"/>
          </w:tcPr>
          <w:p>
            <w:pPr>
              <w:ind w:left="38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9"/>
                <w:szCs w:val="19"/>
                <w:color w:val="auto"/>
              </w:rPr>
            </w:pPr>
          </w:p>
        </w:tc>
        <w:tc>
          <w:tcPr>
            <w:tcW w:w="2720" w:type="dxa"/>
            <w:vAlign w:val="bottom"/>
            <w:gridSpan w:val="4"/>
          </w:tcPr>
          <w:p>
            <w:pPr>
              <w:ind w:left="480"/>
              <w:spacing w:after="0"/>
              <w:rPr>
                <w:sz w:val="20"/>
                <w:szCs w:val="20"/>
                <w:color w:val="auto"/>
              </w:rPr>
            </w:pPr>
            <w:r>
              <w:rPr>
                <w:rFonts w:ascii="Arial" w:cs="Arial" w:eastAsia="Arial" w:hAnsi="Arial"/>
                <w:sz w:val="16"/>
                <w:szCs w:val="16"/>
                <w:b w:val="1"/>
                <w:bCs w:val="1"/>
                <w:color w:val="auto"/>
              </w:rPr>
              <w:t>Six Months Ended</w:t>
            </w:r>
          </w:p>
        </w:tc>
      </w:tr>
      <w:tr>
        <w:trPr>
          <w:trHeight w:val="244"/>
        </w:trPr>
        <w:tc>
          <w:tcPr>
            <w:tcW w:w="4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ind w:left="860"/>
              <w:spacing w:after="0"/>
              <w:rPr>
                <w:sz w:val="20"/>
                <w:szCs w:val="20"/>
                <w:color w:val="auto"/>
              </w:rPr>
            </w:pPr>
            <w:r>
              <w:rPr>
                <w:rFonts w:ascii="Arial" w:cs="Arial" w:eastAsia="Arial" w:hAnsi="Arial"/>
                <w:sz w:val="16"/>
                <w:szCs w:val="16"/>
                <w:b w:val="1"/>
                <w:bCs w:val="1"/>
                <w:color w:val="auto"/>
              </w:rPr>
              <w:t>June 30,</w:t>
            </w:r>
          </w:p>
        </w:tc>
        <w:tc>
          <w:tcPr>
            <w:tcW w:w="1060" w:type="dxa"/>
            <w:vAlign w:val="bottom"/>
            <w:tcBorders>
              <w:bottom w:val="single" w:sz="8" w:color="auto"/>
            </w:tcBorders>
          </w:tcPr>
          <w:p>
            <w:pPr>
              <w:spacing w:after="0"/>
              <w:rPr>
                <w:sz w:val="21"/>
                <w:szCs w:val="21"/>
                <w:color w:val="auto"/>
              </w:rPr>
            </w:pPr>
          </w:p>
        </w:tc>
      </w:tr>
      <w:tr>
        <w:trPr>
          <w:trHeight w:val="239"/>
        </w:trPr>
        <w:tc>
          <w:tcPr>
            <w:tcW w:w="504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Reconciliation of Operating Expenses to Adjusted Expenses</w:t>
            </w:r>
          </w:p>
        </w:tc>
        <w:tc>
          <w:tcPr>
            <w:tcW w:w="340" w:type="dxa"/>
            <w:vAlign w:val="bottom"/>
          </w:tcPr>
          <w:p>
            <w:pPr>
              <w:spacing w:after="0"/>
              <w:rPr>
                <w:sz w:val="20"/>
                <w:szCs w:val="20"/>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jc w:val="right"/>
              <w:ind w:right="479"/>
              <w:spacing w:after="0"/>
              <w:rPr>
                <w:sz w:val="20"/>
                <w:szCs w:val="20"/>
                <w:color w:val="auto"/>
              </w:rPr>
            </w:pPr>
            <w:r>
              <w:rPr>
                <w:rFonts w:ascii="Arial" w:cs="Arial" w:eastAsia="Arial" w:hAnsi="Arial"/>
                <w:sz w:val="16"/>
                <w:szCs w:val="16"/>
                <w:b w:val="1"/>
                <w:bCs w:val="1"/>
                <w:color w:val="auto"/>
              </w:rPr>
              <w:t>2024</w:t>
            </w:r>
          </w:p>
        </w:tc>
      </w:tr>
      <w:tr>
        <w:trPr>
          <w:trHeight w:val="237"/>
        </w:trPr>
        <w:tc>
          <w:tcPr>
            <w:tcW w:w="48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700" w:type="dxa"/>
            <w:vAlign w:val="bottom"/>
            <w:tcBorders>
              <w:top w:val="single" w:sz="8" w:color="auto"/>
            </w:tcBorders>
            <w:gridSpan w:val="5"/>
          </w:tcPr>
          <w:p>
            <w:pPr>
              <w:ind w:left="260"/>
              <w:spacing w:after="0"/>
              <w:rPr>
                <w:sz w:val="20"/>
                <w:szCs w:val="20"/>
                <w:color w:val="auto"/>
              </w:rPr>
            </w:pPr>
            <w:r>
              <w:rPr>
                <w:rFonts w:ascii="Arial" w:cs="Arial" w:eastAsia="Arial" w:hAnsi="Arial"/>
                <w:sz w:val="16"/>
                <w:szCs w:val="16"/>
                <w:b w:val="1"/>
                <w:bCs w:val="1"/>
                <w:color w:val="auto"/>
              </w:rPr>
              <w:t>(dollars in thousands)</w:t>
            </w:r>
          </w:p>
        </w:tc>
        <w:tc>
          <w:tcPr>
            <w:tcW w:w="4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47"/>
        </w:trPr>
        <w:tc>
          <w:tcPr>
            <w:tcW w:w="50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313,118</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242,457</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D5DCE4"/>
          </w:tcPr>
          <w:p>
            <w:pPr>
              <w:ind w:left="480"/>
              <w:spacing w:after="0"/>
              <w:rPr>
                <w:sz w:val="20"/>
                <w:szCs w:val="20"/>
                <w:color w:val="auto"/>
              </w:rPr>
            </w:pPr>
            <w:r>
              <w:rPr>
                <w:rFonts w:ascii="Arial" w:cs="Arial" w:eastAsia="Arial" w:hAnsi="Arial"/>
                <w:sz w:val="16"/>
                <w:szCs w:val="16"/>
                <w:color w:val="auto"/>
              </w:rPr>
              <w:t>618,694</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jc w:val="right"/>
              <w:ind w:right="2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483,518</w:t>
            </w:r>
          </w:p>
        </w:tc>
      </w:tr>
      <w:tr>
        <w:trPr>
          <w:trHeight w:val="243"/>
        </w:trPr>
        <w:tc>
          <w:tcPr>
            <w:tcW w:w="5040" w:type="dxa"/>
            <w:vAlign w:val="bottom"/>
            <w:gridSpan w:val="2"/>
          </w:tcPr>
          <w:p>
            <w:pPr>
              <w:ind w:left="20"/>
              <w:spacing w:after="0"/>
              <w:rPr>
                <w:sz w:val="20"/>
                <w:szCs w:val="20"/>
                <w:color w:val="auto"/>
              </w:rPr>
            </w:pPr>
            <w:r>
              <w:rPr>
                <w:rFonts w:ascii="Arial" w:cs="Arial" w:eastAsia="Arial" w:hAnsi="Arial"/>
                <w:sz w:val="16"/>
                <w:szCs w:val="16"/>
                <w:color w:val="auto"/>
              </w:rPr>
              <w:t xml:space="preserve">Merger and acquisition transaction and integration costs </w:t>
            </w:r>
            <w:r>
              <w:rPr>
                <w:rFonts w:ascii="Arial" w:cs="Arial" w:eastAsia="Arial" w:hAnsi="Arial"/>
                <w:sz w:val="21"/>
                <w:szCs w:val="21"/>
                <w:color w:val="auto"/>
                <w:vertAlign w:val="superscript"/>
              </w:rPr>
              <w:t>(1)</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(3,772)</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(3,650)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(6,268)</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(7,264)</w:t>
            </w:r>
          </w:p>
        </w:tc>
      </w:tr>
      <w:tr>
        <w:trPr>
          <w:trHeight w:val="243"/>
        </w:trPr>
        <w:tc>
          <w:tcPr>
            <w:tcW w:w="50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D&amp;A related to acquisitions and the Refinitiv Transaction </w:t>
            </w:r>
            <w:r>
              <w:rPr>
                <w:rFonts w:ascii="Arial" w:cs="Arial" w:eastAsia="Arial" w:hAnsi="Arial"/>
                <w:sz w:val="21"/>
                <w:szCs w:val="21"/>
                <w:color w:val="auto"/>
                <w:vertAlign w:val="superscript"/>
              </w:rPr>
              <w:t>(2)</w:t>
            </w:r>
          </w:p>
        </w:tc>
        <w:tc>
          <w:tcPr>
            <w:tcW w:w="340" w:type="dxa"/>
            <w:vAlign w:val="bottom"/>
            <w:shd w:val="clear" w:color="auto" w:fill="D5DCE4"/>
          </w:tcPr>
          <w:p>
            <w:pPr>
              <w:spacing w:after="0"/>
              <w:rPr>
                <w:sz w:val="21"/>
                <w:szCs w:val="21"/>
                <w:color w:val="auto"/>
              </w:rPr>
            </w:pPr>
          </w:p>
        </w:tc>
        <w:tc>
          <w:tcPr>
            <w:tcW w:w="1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(45,474)</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(34,715)</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(90,947)</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(69,082)</w:t>
            </w:r>
          </w:p>
        </w:tc>
      </w:tr>
      <w:tr>
        <w:trPr>
          <w:trHeight w:val="243"/>
        </w:trPr>
        <w:tc>
          <w:tcPr>
            <w:tcW w:w="5040" w:type="dxa"/>
            <w:vAlign w:val="bottom"/>
            <w:gridSpan w:val="2"/>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(3)</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(601)</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(1,195)</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(1,714)</w:t>
            </w:r>
          </w:p>
        </w:tc>
      </w:tr>
      <w:tr>
        <w:trPr>
          <w:trHeight w:val="243"/>
        </w:trPr>
        <w:tc>
          <w:tcPr>
            <w:tcW w:w="50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(4)</w:t>
            </w:r>
          </w:p>
        </w:tc>
        <w:tc>
          <w:tcPr>
            <w:tcW w:w="340" w:type="dxa"/>
            <w:vAlign w:val="bottom"/>
            <w:tcBorders>
              <w:bottom w:val="single" w:sz="8" w:color="auto"/>
            </w:tcBorders>
            <w:shd w:val="clear" w:color="auto" w:fill="D5DCE4"/>
          </w:tcPr>
          <w:p>
            <w:pPr>
              <w:spacing w:after="0"/>
              <w:rPr>
                <w:sz w:val="21"/>
                <w:szCs w:val="21"/>
                <w:color w:val="auto"/>
              </w:rPr>
            </w:pPr>
          </w:p>
        </w:tc>
        <w:tc>
          <w:tcPr>
            <w:tcW w:w="11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(10,622)</w:t>
            </w:r>
          </w:p>
        </w:tc>
        <w:tc>
          <w:tcPr>
            <w:tcW w:w="80" w:type="dxa"/>
            <w:vAlign w:val="bottom"/>
            <w:shd w:val="clear" w:color="auto" w:fill="D5DCE4"/>
          </w:tcPr>
          <w:p>
            <w:pPr>
              <w:spacing w:after="0"/>
              <w:rPr>
                <w:sz w:val="21"/>
                <w:szCs w:val="21"/>
                <w:color w:val="auto"/>
              </w:rPr>
            </w:pPr>
          </w:p>
        </w:tc>
        <w:tc>
          <w:tcPr>
            <w:tcW w:w="440" w:type="dxa"/>
            <w:vAlign w:val="bottom"/>
            <w:tcBorders>
              <w:bottom w:val="single" w:sz="8" w:color="auto"/>
            </w:tcBorders>
            <w:shd w:val="clear" w:color="auto" w:fill="D5DCE4"/>
          </w:tcPr>
          <w:p>
            <w:pPr>
              <w:spacing w:after="0"/>
              <w:rPr>
                <w:sz w:val="21"/>
                <w:szCs w:val="21"/>
                <w:color w:val="auto"/>
              </w:rPr>
            </w:pP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78</w:t>
            </w:r>
          </w:p>
        </w:tc>
        <w:tc>
          <w:tcPr>
            <w:tcW w:w="80" w:type="dxa"/>
            <w:vAlign w:val="bottom"/>
            <w:shd w:val="clear" w:color="auto" w:fill="D5DCE4"/>
          </w:tcPr>
          <w:p>
            <w:pPr>
              <w:spacing w:after="0"/>
              <w:rPr>
                <w:sz w:val="21"/>
                <w:szCs w:val="21"/>
                <w:color w:val="auto"/>
              </w:rPr>
            </w:pPr>
          </w:p>
        </w:tc>
        <w:tc>
          <w:tcPr>
            <w:tcW w:w="340" w:type="dxa"/>
            <w:vAlign w:val="bottom"/>
            <w:tcBorders>
              <w:bottom w:val="single" w:sz="8" w:color="auto"/>
            </w:tcBorders>
            <w:shd w:val="clear" w:color="auto" w:fill="D5DCE4"/>
          </w:tcPr>
          <w:p>
            <w:pPr>
              <w:spacing w:after="0"/>
              <w:rPr>
                <w:sz w:val="21"/>
                <w:szCs w:val="21"/>
                <w:color w:val="auto"/>
              </w:rPr>
            </w:pPr>
          </w:p>
        </w:tc>
        <w:tc>
          <w:tcPr>
            <w:tcW w:w="11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(18,951)</w:t>
            </w:r>
          </w:p>
        </w:tc>
        <w:tc>
          <w:tcPr>
            <w:tcW w:w="80" w:type="dxa"/>
            <w:vAlign w:val="bottom"/>
            <w:shd w:val="clear" w:color="auto" w:fill="D5DCE4"/>
          </w:tcPr>
          <w:p>
            <w:pPr>
              <w:spacing w:after="0"/>
              <w:rPr>
                <w:sz w:val="21"/>
                <w:szCs w:val="21"/>
                <w:color w:val="auto"/>
              </w:rPr>
            </w:pPr>
          </w:p>
        </w:tc>
        <w:tc>
          <w:tcPr>
            <w:tcW w:w="440" w:type="dxa"/>
            <w:vAlign w:val="bottom"/>
            <w:tcBorders>
              <w:bottom w:val="single" w:sz="8" w:color="auto"/>
            </w:tcBorders>
            <w:shd w:val="clear" w:color="auto" w:fill="D5DCE4"/>
          </w:tcPr>
          <w:p>
            <w:pPr>
              <w:spacing w:after="0"/>
              <w:rPr>
                <w:sz w:val="21"/>
                <w:szCs w:val="21"/>
                <w:color w:val="auto"/>
              </w:rPr>
            </w:pP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2,362</w:t>
            </w:r>
          </w:p>
        </w:tc>
      </w:tr>
      <w:tr>
        <w:trPr>
          <w:trHeight w:val="237"/>
        </w:trPr>
        <w:tc>
          <w:tcPr>
            <w:tcW w:w="5040" w:type="dxa"/>
            <w:vAlign w:val="bottom"/>
            <w:gridSpan w:val="2"/>
          </w:tcPr>
          <w:p>
            <w:pPr>
              <w:ind w:left="20"/>
              <w:spacing w:after="0"/>
              <w:rPr>
                <w:sz w:val="20"/>
                <w:szCs w:val="20"/>
                <w:color w:val="auto"/>
              </w:rPr>
            </w:pPr>
            <w:r>
              <w:rPr>
                <w:rFonts w:ascii="Arial" w:cs="Arial" w:eastAsia="Arial" w:hAnsi="Arial"/>
                <w:sz w:val="16"/>
                <w:szCs w:val="16"/>
                <w:color w:val="auto"/>
              </w:rPr>
              <w:t>Adjusted Expenses</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252,649</w:t>
            </w:r>
          </w:p>
        </w:tc>
        <w:tc>
          <w:tcPr>
            <w:tcW w:w="80" w:type="dxa"/>
            <w:vAlign w:val="bottom"/>
          </w:tcPr>
          <w:p>
            <w:pPr>
              <w:spacing w:after="0"/>
              <w:rPr>
                <w:sz w:val="20"/>
                <w:szCs w:val="20"/>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203,639</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501,333</w:t>
            </w:r>
          </w:p>
        </w:tc>
        <w:tc>
          <w:tcPr>
            <w:tcW w:w="80" w:type="dxa"/>
            <w:vAlign w:val="bottom"/>
          </w:tcPr>
          <w:p>
            <w:pPr>
              <w:spacing w:after="0"/>
              <w:rPr>
                <w:sz w:val="20"/>
                <w:szCs w:val="20"/>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407,820</w:t>
            </w:r>
          </w:p>
        </w:tc>
      </w:tr>
      <w:tr>
        <w:trPr>
          <w:trHeight w:val="20"/>
        </w:trPr>
        <w:tc>
          <w:tcPr>
            <w:tcW w:w="4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440" w:right="240" w:hanging="414"/>
        <w:spacing w:after="0" w:line="186" w:lineRule="auto"/>
        <w:tabs>
          <w:tab w:leader="none" w:pos="440" w:val="left"/>
        </w:tabs>
        <w:numPr>
          <w:ilvl w:val="0"/>
          <w:numId w:val="12"/>
        </w:numPr>
        <w:rPr>
          <w:rFonts w:ascii="Arial" w:cs="Arial" w:eastAsia="Arial" w:hAnsi="Arial"/>
          <w:sz w:val="22"/>
          <w:szCs w:val="22"/>
          <w:color w:val="auto"/>
          <w:vertAlign w:val="subscript"/>
        </w:rPr>
      </w:pPr>
      <w:r>
        <w:rPr>
          <w:rFonts w:ascii="Arial" w:cs="Arial" w:eastAsia="Arial" w:hAnsi="Arial"/>
          <w:sz w:val="11"/>
          <w:szCs w:val="11"/>
          <w:color w:val="auto"/>
        </w:rPr>
        <w:t>Represents incremental direct costs associated with the acquisition and integration of completed and potential mergers and acquisitions. These costs generally include legal, consulting, advisory, due diligence, severance and certain other transaction expenses and third party costs incurred that directly relate to the acquisition transaction or its integration.</w:t>
      </w:r>
    </w:p>
    <w:p>
      <w:pPr>
        <w:spacing w:after="0" w:line="43" w:lineRule="exact"/>
        <w:rPr>
          <w:rFonts w:ascii="Arial" w:cs="Arial" w:eastAsia="Arial" w:hAnsi="Arial"/>
          <w:sz w:val="22"/>
          <w:szCs w:val="22"/>
          <w:color w:val="auto"/>
          <w:vertAlign w:val="subscript"/>
        </w:rPr>
      </w:pPr>
    </w:p>
    <w:p>
      <w:pPr>
        <w:ind w:left="440" w:right="360" w:hanging="414"/>
        <w:spacing w:after="0" w:line="271" w:lineRule="auto"/>
        <w:tabs>
          <w:tab w:leader="none" w:pos="4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25" w:lineRule="exact"/>
        <w:rPr>
          <w:rFonts w:ascii="Arial" w:cs="Arial" w:eastAsia="Arial" w:hAnsi="Arial"/>
          <w:sz w:val="12"/>
          <w:szCs w:val="12"/>
          <w:color w:val="auto"/>
        </w:rPr>
      </w:pPr>
    </w:p>
    <w:p>
      <w:pPr>
        <w:ind w:left="440" w:right="60" w:hanging="414"/>
        <w:spacing w:after="0" w:line="262" w:lineRule="auto"/>
        <w:tabs>
          <w:tab w:leader="none" w:pos="4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Represents non-cash stock-based compensation expense associated with the Special Option Award and post-IPO options awarded in 2019 and payroll taxes associated with the exercise of such options. During the three and six months ended June 30, 2025, this adjustment also includes $0.6 million and $1.2 million, respectively, of non-cash stock-based compensation expense and related payroll taxes associated with RSAs and RSUs issued to help retain key ICD employees during the integration of ICD. During the three and six months ended June 30, 2024, this adjustment also includes $0.3 million of non-cash accelerated stock-based compensation expense and related payroll taxes associated with our former President.</w:t>
      </w:r>
    </w:p>
    <w:p>
      <w:pPr>
        <w:spacing w:after="0" w:line="31" w:lineRule="exact"/>
        <w:rPr>
          <w:rFonts w:ascii="Arial" w:cs="Arial" w:eastAsia="Arial" w:hAnsi="Arial"/>
          <w:sz w:val="12"/>
          <w:szCs w:val="12"/>
          <w:color w:val="auto"/>
        </w:rPr>
      </w:pPr>
    </w:p>
    <w:p>
      <w:pPr>
        <w:ind w:left="440" w:right="140" w:hanging="414"/>
        <w:spacing w:after="0" w:line="271" w:lineRule="auto"/>
        <w:tabs>
          <w:tab w:leader="none" w:pos="4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Represents unrealized gain or loss recognized on foreign currency forward contracts and foreign exchange gain or loss from the revaluation of cash denominated in a different currency than the entity’s functional currency.</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6"/>
                <w:szCs w:val="16"/>
                <w:b w:val="1"/>
                <w:bCs w:val="1"/>
                <w:color w:val="auto"/>
              </w:rPr>
              <w:t>Trailing Twelve Months Ended June 30,</w:t>
            </w:r>
          </w:p>
        </w:tc>
      </w:tr>
      <w:tr>
        <w:trPr>
          <w:trHeight w:val="239"/>
        </w:trPr>
        <w:tc>
          <w:tcPr>
            <w:tcW w:w="756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Reconciliation of Cash Flow from Operating Activities to Free Cash Flow</w:t>
            </w:r>
          </w:p>
        </w:tc>
        <w:tc>
          <w:tcPr>
            <w:tcW w:w="220" w:type="dxa"/>
            <w:vAlign w:val="bottom"/>
          </w:tcPr>
          <w:p>
            <w:pPr>
              <w:spacing w:after="0"/>
              <w:rPr>
                <w:sz w:val="20"/>
                <w:szCs w:val="20"/>
                <w:color w:val="auto"/>
              </w:rPr>
            </w:pPr>
          </w:p>
        </w:tc>
        <w:tc>
          <w:tcPr>
            <w:tcW w:w="1580" w:type="dxa"/>
            <w:vAlign w:val="bottom"/>
          </w:tcPr>
          <w:p>
            <w:pPr>
              <w:jc w:val="right"/>
              <w:ind w:right="63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39"/>
              <w:spacing w:after="0"/>
              <w:rPr>
                <w:sz w:val="20"/>
                <w:szCs w:val="20"/>
                <w:color w:val="auto"/>
              </w:rPr>
            </w:pPr>
            <w:r>
              <w:rPr>
                <w:rFonts w:ascii="Arial" w:cs="Arial" w:eastAsia="Arial" w:hAnsi="Arial"/>
                <w:sz w:val="16"/>
                <w:szCs w:val="16"/>
                <w:b w:val="1"/>
                <w:bCs w:val="1"/>
                <w:color w:val="auto"/>
              </w:rPr>
              <w:t>2024</w:t>
            </w:r>
          </w:p>
        </w:tc>
      </w:tr>
      <w:tr>
        <w:trPr>
          <w:trHeight w:val="236"/>
        </w:trPr>
        <w:tc>
          <w:tcPr>
            <w:tcW w:w="74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460" w:type="dxa"/>
            <w:vAlign w:val="bottom"/>
            <w:tcBorders>
              <w:top w:val="single" w:sz="8" w:color="auto"/>
            </w:tcBorders>
            <w:gridSpan w:val="4"/>
          </w:tcPr>
          <w:p>
            <w:pPr>
              <w:jc w:val="right"/>
              <w:ind w:right="919"/>
              <w:spacing w:after="0"/>
              <w:rPr>
                <w:sz w:val="20"/>
                <w:szCs w:val="20"/>
                <w:color w:val="auto"/>
              </w:rPr>
            </w:pPr>
            <w:r>
              <w:rPr>
                <w:rFonts w:ascii="Arial" w:cs="Arial" w:eastAsia="Arial" w:hAnsi="Arial"/>
                <w:sz w:val="16"/>
                <w:szCs w:val="16"/>
                <w:b w:val="1"/>
                <w:bCs w:val="1"/>
                <w:color w:val="auto"/>
              </w:rPr>
              <w:t>(dollars in thousands)</w:t>
            </w:r>
          </w:p>
        </w:tc>
      </w:tr>
      <w:tr>
        <w:trPr>
          <w:trHeight w:val="247"/>
        </w:trPr>
        <w:tc>
          <w:tcPr>
            <w:tcW w:w="756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Cash flow from operating activities</w:t>
            </w:r>
          </w:p>
        </w:tc>
        <w:tc>
          <w:tcPr>
            <w:tcW w:w="220" w:type="dxa"/>
            <w:vAlign w:val="bottom"/>
            <w:shd w:val="clear" w:color="auto" w:fill="D5DCE4"/>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1,043,551</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785,734</w:t>
            </w:r>
          </w:p>
        </w:tc>
      </w:tr>
      <w:tr>
        <w:trPr>
          <w:trHeight w:val="235"/>
        </w:trPr>
        <w:tc>
          <w:tcPr>
            <w:tcW w:w="7560" w:type="dxa"/>
            <w:vAlign w:val="bottom"/>
            <w:gridSpan w:val="2"/>
          </w:tcPr>
          <w:p>
            <w:pPr>
              <w:ind w:left="20"/>
              <w:spacing w:after="0"/>
              <w:rPr>
                <w:sz w:val="20"/>
                <w:szCs w:val="20"/>
                <w:color w:val="auto"/>
              </w:rPr>
            </w:pPr>
            <w:r>
              <w:rPr>
                <w:rFonts w:ascii="Arial" w:cs="Arial" w:eastAsia="Arial" w:hAnsi="Arial"/>
                <w:sz w:val="16"/>
                <w:szCs w:val="16"/>
                <w:color w:val="auto"/>
              </w:rPr>
              <w:t>Less: Capitalization of software development costs</w:t>
            </w: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(55,195)</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(45,208)</w:t>
            </w:r>
          </w:p>
        </w:tc>
      </w:tr>
      <w:tr>
        <w:trPr>
          <w:trHeight w:val="244"/>
        </w:trPr>
        <w:tc>
          <w:tcPr>
            <w:tcW w:w="756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Less: Purchases of furniture, equipment and leasehold improvements</w:t>
            </w:r>
          </w:p>
        </w:tc>
        <w:tc>
          <w:tcPr>
            <w:tcW w:w="220" w:type="dxa"/>
            <w:vAlign w:val="bottom"/>
            <w:tcBorders>
              <w:bottom w:val="single" w:sz="8" w:color="auto"/>
            </w:tcBorders>
            <w:shd w:val="clear" w:color="auto" w:fill="D5DCE4"/>
          </w:tcPr>
          <w:p>
            <w:pPr>
              <w:spacing w:after="0"/>
              <w:rPr>
                <w:sz w:val="21"/>
                <w:szCs w:val="21"/>
                <w:color w:val="auto"/>
              </w:rPr>
            </w:pPr>
          </w:p>
        </w:tc>
        <w:tc>
          <w:tcPr>
            <w:tcW w:w="15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(36,653)</w:t>
            </w:r>
          </w:p>
        </w:tc>
        <w:tc>
          <w:tcPr>
            <w:tcW w:w="80" w:type="dxa"/>
            <w:vAlign w:val="bottom"/>
            <w:shd w:val="clear" w:color="auto" w:fill="D5DCE4"/>
          </w:tcPr>
          <w:p>
            <w:pPr>
              <w:spacing w:after="0"/>
              <w:rPr>
                <w:sz w:val="21"/>
                <w:szCs w:val="21"/>
                <w:color w:val="auto"/>
              </w:rPr>
            </w:pPr>
          </w:p>
        </w:tc>
        <w:tc>
          <w:tcPr>
            <w:tcW w:w="420" w:type="dxa"/>
            <w:vAlign w:val="bottom"/>
            <w:tcBorders>
              <w:bottom w:val="single" w:sz="8" w:color="auto"/>
            </w:tcBorders>
            <w:shd w:val="clear" w:color="auto" w:fill="D5DCE4"/>
          </w:tcPr>
          <w:p>
            <w:pPr>
              <w:spacing w:after="0"/>
              <w:rPr>
                <w:sz w:val="21"/>
                <w:szCs w:val="21"/>
                <w:color w:val="auto"/>
              </w:rPr>
            </w:pPr>
          </w:p>
        </w:tc>
        <w:tc>
          <w:tcPr>
            <w:tcW w:w="13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(18,780)</w:t>
            </w:r>
          </w:p>
        </w:tc>
      </w:tr>
      <w:tr>
        <w:trPr>
          <w:trHeight w:val="243"/>
        </w:trPr>
        <w:tc>
          <w:tcPr>
            <w:tcW w:w="7560" w:type="dxa"/>
            <w:vAlign w:val="bottom"/>
            <w:gridSpan w:val="2"/>
          </w:tcPr>
          <w:p>
            <w:pPr>
              <w:ind w:left="20"/>
              <w:spacing w:after="0"/>
              <w:rPr>
                <w:sz w:val="20"/>
                <w:szCs w:val="20"/>
                <w:color w:val="auto"/>
              </w:rPr>
            </w:pPr>
            <w:r>
              <w:rPr>
                <w:rFonts w:ascii="Arial" w:cs="Arial" w:eastAsia="Arial" w:hAnsi="Arial"/>
                <w:sz w:val="16"/>
                <w:szCs w:val="16"/>
                <w:color w:val="auto"/>
              </w:rPr>
              <w:t>Free Cash Flow</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951,703</w:t>
            </w:r>
          </w:p>
        </w:tc>
        <w:tc>
          <w:tcPr>
            <w:tcW w:w="80" w:type="dxa"/>
            <w:vAlign w:val="bottom"/>
          </w:tcPr>
          <w:p>
            <w:pPr>
              <w:spacing w:after="0"/>
              <w:rPr>
                <w:sz w:val="21"/>
                <w:szCs w:val="21"/>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721,746</w:t>
            </w:r>
          </w:p>
        </w:tc>
      </w:tr>
      <w:tr>
        <w:trPr>
          <w:trHeight w:val="20"/>
        </w:trPr>
        <w:tc>
          <w:tcPr>
            <w:tcW w:w="7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7</w:t>
      </w:r>
    </w:p>
    <w:p>
      <w:pPr>
        <w:sectPr>
          <w:pgSz w:w="11900" w:h="16838" w:orient="portrait"/>
          <w:cols w:equalWidth="0" w:num="1">
            <w:col w:w="11240"/>
          </w:cols>
          <w:pgMar w:left="320" w:top="827"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BASIC AND DILUTED EPS CALCULATIONS (UNAUDITED)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gridSpan w:val="11"/>
          </w:tcPr>
          <w:p>
            <w:pPr>
              <w:spacing w:after="0"/>
              <w:rPr>
                <w:sz w:val="20"/>
                <w:szCs w:val="20"/>
                <w:color w:val="auto"/>
              </w:rPr>
            </w:pPr>
            <w:r>
              <w:rPr>
                <w:rFonts w:ascii="Arial" w:cs="Arial" w:eastAsia="Arial" w:hAnsi="Arial"/>
                <w:sz w:val="16"/>
                <w:szCs w:val="16"/>
                <w:color w:val="auto"/>
              </w:rPr>
              <w:t>The following table summarizes the basic and diluted earnings per share calculations for Tradeweb Markets Inc.:</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0"/>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60" w:type="dxa"/>
            <w:vAlign w:val="bottom"/>
            <w:gridSpan w:val="5"/>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24"/>
                <w:szCs w:val="24"/>
                <w:color w:val="auto"/>
              </w:rPr>
            </w:pPr>
          </w:p>
        </w:tc>
        <w:tc>
          <w:tcPr>
            <w:tcW w:w="278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11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EPS: Net income attributable to Tradeweb Markets Inc.</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60" w:type="dxa"/>
            <w:vAlign w:val="bottom"/>
            <w:gridSpan w:val="9"/>
          </w:tcPr>
          <w:p>
            <w:pPr>
              <w:jc w:val="right"/>
              <w:ind w:right="99"/>
              <w:spacing w:after="0"/>
              <w:rPr>
                <w:sz w:val="20"/>
                <w:szCs w:val="20"/>
                <w:color w:val="auto"/>
              </w:rPr>
            </w:pPr>
            <w:r>
              <w:rPr>
                <w:rFonts w:ascii="Arial" w:cs="Arial" w:eastAsia="Arial" w:hAnsi="Arial"/>
                <w:sz w:val="16"/>
                <w:szCs w:val="16"/>
                <w:b w:val="1"/>
                <w:bCs w:val="1"/>
                <w:color w:val="auto"/>
              </w:rPr>
              <w:t>(dollars in thousands, except per share amounts)</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Borders>
              <w:bottom w:val="single" w:sz="8" w:color="D5DCE4"/>
            </w:tcBorders>
            <w:shd w:val="clear" w:color="auto" w:fill="D5DCE4"/>
          </w:tcPr>
          <w:p>
            <w:pPr>
              <w:spacing w:after="0"/>
              <w:rPr>
                <w:sz w:val="19"/>
                <w:szCs w:val="19"/>
                <w:color w:val="auto"/>
              </w:rPr>
            </w:pPr>
          </w:p>
        </w:tc>
        <w:tc>
          <w:tcPr>
            <w:tcW w:w="820" w:type="dxa"/>
            <w:vAlign w:val="bottom"/>
            <w:tcBorders>
              <w:bottom w:val="single" w:sz="8" w:color="auto"/>
            </w:tcBorders>
            <w:shd w:val="clear" w:color="auto" w:fill="D5DCE4"/>
          </w:tcPr>
          <w:p>
            <w:pPr>
              <w:spacing w:after="0"/>
              <w:rPr>
                <w:sz w:val="20"/>
                <w:szCs w:val="20"/>
                <w:color w:val="auto"/>
              </w:rPr>
            </w:pPr>
            <w:r>
              <w:rPr>
                <w:rFonts w:ascii="Arial" w:cs="Arial" w:eastAsia="Arial" w:hAnsi="Arial"/>
                <w:sz w:val="16"/>
                <w:szCs w:val="16"/>
                <w:color w:val="auto"/>
                <w:w w:val="99"/>
              </w:rPr>
              <w:t>Numerator:</w:t>
            </w:r>
          </w:p>
        </w:tc>
        <w:tc>
          <w:tcPr>
            <w:tcW w:w="4120" w:type="dxa"/>
            <w:vAlign w:val="bottom"/>
            <w:tcBorders>
              <w:bottom w:val="single" w:sz="8" w:color="D5DCE4"/>
            </w:tcBorders>
            <w:gridSpan w:val="3"/>
            <w:shd w:val="clear" w:color="auto" w:fill="D5DCE4"/>
          </w:tcPr>
          <w:p>
            <w:pPr>
              <w:spacing w:after="0"/>
              <w:rPr>
                <w:sz w:val="19"/>
                <w:szCs w:val="19"/>
                <w:color w:val="auto"/>
              </w:rPr>
            </w:pPr>
          </w:p>
        </w:tc>
        <w:tc>
          <w:tcPr>
            <w:tcW w:w="320" w:type="dxa"/>
            <w:vAlign w:val="bottom"/>
            <w:tcBorders>
              <w:bottom w:val="single" w:sz="8" w:color="D5DCE4"/>
            </w:tcBorders>
            <w:shd w:val="clear" w:color="auto" w:fill="D5DCE4"/>
          </w:tcPr>
          <w:p>
            <w:pPr>
              <w:spacing w:after="0"/>
              <w:rPr>
                <w:sz w:val="19"/>
                <w:szCs w:val="19"/>
                <w:color w:val="auto"/>
              </w:rPr>
            </w:pPr>
          </w:p>
        </w:tc>
        <w:tc>
          <w:tcPr>
            <w:tcW w:w="1180" w:type="dxa"/>
            <w:vAlign w:val="bottom"/>
            <w:tcBorders>
              <w:bottom w:val="single" w:sz="8" w:color="D5DCE4"/>
            </w:tcBorders>
            <w:shd w:val="clear" w:color="auto" w:fill="D5DCE4"/>
          </w:tcPr>
          <w:p>
            <w:pPr>
              <w:spacing w:after="0"/>
              <w:rPr>
                <w:sz w:val="19"/>
                <w:szCs w:val="19"/>
                <w:color w:val="auto"/>
              </w:rPr>
            </w:pPr>
          </w:p>
        </w:tc>
        <w:tc>
          <w:tcPr>
            <w:tcW w:w="80" w:type="dxa"/>
            <w:vAlign w:val="bottom"/>
            <w:tcBorders>
              <w:bottom w:val="single" w:sz="8" w:color="D5DCE4"/>
            </w:tcBorders>
            <w:shd w:val="clear" w:color="auto" w:fill="D5DCE4"/>
          </w:tcPr>
          <w:p>
            <w:pPr>
              <w:spacing w:after="0"/>
              <w:rPr>
                <w:sz w:val="19"/>
                <w:szCs w:val="19"/>
                <w:color w:val="auto"/>
              </w:rPr>
            </w:pPr>
          </w:p>
        </w:tc>
        <w:tc>
          <w:tcPr>
            <w:tcW w:w="420" w:type="dxa"/>
            <w:vAlign w:val="bottom"/>
            <w:tcBorders>
              <w:bottom w:val="single" w:sz="8" w:color="D5DCE4"/>
            </w:tcBorders>
            <w:shd w:val="clear" w:color="auto" w:fill="D5DCE4"/>
          </w:tcPr>
          <w:p>
            <w:pPr>
              <w:spacing w:after="0"/>
              <w:rPr>
                <w:sz w:val="19"/>
                <w:szCs w:val="19"/>
                <w:color w:val="auto"/>
              </w:rPr>
            </w:pPr>
          </w:p>
        </w:tc>
        <w:tc>
          <w:tcPr>
            <w:tcW w:w="1100" w:type="dxa"/>
            <w:vAlign w:val="bottom"/>
            <w:tcBorders>
              <w:bottom w:val="single" w:sz="8" w:color="D5DCE4"/>
            </w:tcBorders>
            <w:shd w:val="clear" w:color="auto" w:fill="D5DCE4"/>
          </w:tcPr>
          <w:p>
            <w:pPr>
              <w:spacing w:after="0"/>
              <w:rPr>
                <w:sz w:val="19"/>
                <w:szCs w:val="19"/>
                <w:color w:val="auto"/>
              </w:rPr>
            </w:pPr>
          </w:p>
        </w:tc>
        <w:tc>
          <w:tcPr>
            <w:tcW w:w="80" w:type="dxa"/>
            <w:vAlign w:val="bottom"/>
            <w:tcBorders>
              <w:bottom w:val="single" w:sz="8" w:color="D5DCE4"/>
            </w:tcBorders>
            <w:shd w:val="clear" w:color="auto" w:fill="D5DCE4"/>
          </w:tcPr>
          <w:p>
            <w:pPr>
              <w:spacing w:after="0"/>
              <w:rPr>
                <w:sz w:val="19"/>
                <w:szCs w:val="19"/>
                <w:color w:val="auto"/>
              </w:rPr>
            </w:pPr>
          </w:p>
        </w:tc>
        <w:tc>
          <w:tcPr>
            <w:tcW w:w="320" w:type="dxa"/>
            <w:vAlign w:val="bottom"/>
            <w:tcBorders>
              <w:bottom w:val="single" w:sz="8" w:color="D5DCE4"/>
            </w:tcBorders>
            <w:shd w:val="clear" w:color="auto" w:fill="D5DCE4"/>
          </w:tcPr>
          <w:p>
            <w:pPr>
              <w:spacing w:after="0"/>
              <w:rPr>
                <w:sz w:val="19"/>
                <w:szCs w:val="19"/>
                <w:color w:val="auto"/>
              </w:rPr>
            </w:pPr>
          </w:p>
        </w:tc>
        <w:tc>
          <w:tcPr>
            <w:tcW w:w="1180" w:type="dxa"/>
            <w:vAlign w:val="bottom"/>
            <w:tcBorders>
              <w:bottom w:val="single" w:sz="8" w:color="D5DCE4"/>
            </w:tcBorders>
            <w:shd w:val="clear" w:color="auto" w:fill="D5DCE4"/>
          </w:tcPr>
          <w:p>
            <w:pPr>
              <w:spacing w:after="0"/>
              <w:rPr>
                <w:sz w:val="19"/>
                <w:szCs w:val="19"/>
                <w:color w:val="auto"/>
              </w:rPr>
            </w:pPr>
          </w:p>
        </w:tc>
        <w:tc>
          <w:tcPr>
            <w:tcW w:w="80" w:type="dxa"/>
            <w:vAlign w:val="bottom"/>
            <w:tcBorders>
              <w:bottom w:val="single" w:sz="8" w:color="D5DCE4"/>
            </w:tcBorders>
            <w:shd w:val="clear" w:color="auto" w:fill="D5DCE4"/>
          </w:tcPr>
          <w:p>
            <w:pPr>
              <w:spacing w:after="0"/>
              <w:rPr>
                <w:sz w:val="19"/>
                <w:szCs w:val="19"/>
                <w:color w:val="auto"/>
              </w:rPr>
            </w:pPr>
          </w:p>
        </w:tc>
        <w:tc>
          <w:tcPr>
            <w:tcW w:w="420" w:type="dxa"/>
            <w:vAlign w:val="bottom"/>
            <w:tcBorders>
              <w:bottom w:val="single" w:sz="8" w:color="D5DCE4"/>
            </w:tcBorders>
            <w:shd w:val="clear" w:color="auto" w:fill="D5DCE4"/>
          </w:tcPr>
          <w:p>
            <w:pPr>
              <w:spacing w:after="0"/>
              <w:rPr>
                <w:sz w:val="19"/>
                <w:szCs w:val="19"/>
                <w:color w:val="auto"/>
              </w:rPr>
            </w:pPr>
          </w:p>
        </w:tc>
        <w:tc>
          <w:tcPr>
            <w:tcW w:w="1100" w:type="dxa"/>
            <w:vAlign w:val="bottom"/>
            <w:tcBorders>
              <w:bottom w:val="single" w:sz="8" w:color="D5DCE4"/>
            </w:tcBorders>
            <w:shd w:val="clear" w:color="auto" w:fill="D5DCE4"/>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Net income attributable to Tradeweb Markets Inc.</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153,782</w:t>
            </w:r>
          </w:p>
        </w:tc>
        <w:tc>
          <w:tcPr>
            <w:tcW w:w="8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119,239</w:t>
            </w:r>
          </w:p>
        </w:tc>
        <w:tc>
          <w:tcPr>
            <w:tcW w:w="8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302,164</w:t>
            </w:r>
          </w:p>
        </w:tc>
        <w:tc>
          <w:tcPr>
            <w:tcW w:w="8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245,381</w:t>
            </w:r>
          </w:p>
        </w:tc>
        <w:tc>
          <w:tcPr>
            <w:tcW w:w="0" w:type="dxa"/>
            <w:vAlign w:val="bottom"/>
          </w:tcPr>
          <w:p>
            <w:pPr>
              <w:spacing w:after="0"/>
              <w:rPr>
                <w:sz w:val="1"/>
                <w:szCs w:val="1"/>
                <w:color w:val="auto"/>
              </w:rPr>
            </w:pPr>
          </w:p>
        </w:tc>
      </w:tr>
      <w:tr>
        <w:trPr>
          <w:trHeight w:val="210"/>
        </w:trPr>
        <w:tc>
          <w:tcPr>
            <w:tcW w:w="20" w:type="dxa"/>
            <w:vAlign w:val="bottom"/>
            <w:shd w:val="clear" w:color="auto" w:fill="D5DCE4"/>
          </w:tcPr>
          <w:p>
            <w:pPr>
              <w:spacing w:after="0"/>
              <w:rPr>
                <w:sz w:val="18"/>
                <w:szCs w:val="18"/>
                <w:color w:val="auto"/>
              </w:rPr>
            </w:pPr>
          </w:p>
        </w:tc>
        <w:tc>
          <w:tcPr>
            <w:tcW w:w="4940" w:type="dxa"/>
            <w:vAlign w:val="bottom"/>
            <w:gridSpan w:val="4"/>
            <w:shd w:val="clear" w:color="auto" w:fill="D5DCE4"/>
          </w:tcPr>
          <w:p>
            <w:pPr>
              <w:spacing w:after="0"/>
              <w:rPr>
                <w:sz w:val="20"/>
                <w:szCs w:val="20"/>
                <w:color w:val="auto"/>
              </w:rPr>
            </w:pPr>
            <w:r>
              <w:rPr>
                <w:rFonts w:ascii="Arial" w:cs="Arial" w:eastAsia="Arial" w:hAnsi="Arial"/>
                <w:sz w:val="16"/>
                <w:szCs w:val="16"/>
                <w:color w:val="auto"/>
              </w:rPr>
              <w:t>Less: Distributed and undistributed earnings allocated to</w:t>
            </w:r>
          </w:p>
        </w:tc>
        <w:tc>
          <w:tcPr>
            <w:tcW w:w="320" w:type="dxa"/>
            <w:vAlign w:val="bottom"/>
            <w:shd w:val="clear" w:color="auto" w:fill="D5DCE4"/>
          </w:tcPr>
          <w:p>
            <w:pPr>
              <w:spacing w:after="0"/>
              <w:rPr>
                <w:sz w:val="18"/>
                <w:szCs w:val="18"/>
                <w:color w:val="auto"/>
              </w:rPr>
            </w:pPr>
          </w:p>
        </w:tc>
        <w:tc>
          <w:tcPr>
            <w:tcW w:w="118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420" w:type="dxa"/>
            <w:vAlign w:val="bottom"/>
            <w:shd w:val="clear" w:color="auto" w:fill="D5DCE4"/>
          </w:tcPr>
          <w:p>
            <w:pPr>
              <w:spacing w:after="0"/>
              <w:rPr>
                <w:sz w:val="18"/>
                <w:szCs w:val="18"/>
                <w:color w:val="auto"/>
              </w:rPr>
            </w:pPr>
          </w:p>
        </w:tc>
        <w:tc>
          <w:tcPr>
            <w:tcW w:w="110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320" w:type="dxa"/>
            <w:vAlign w:val="bottom"/>
            <w:shd w:val="clear" w:color="auto" w:fill="D5DCE4"/>
          </w:tcPr>
          <w:p>
            <w:pPr>
              <w:spacing w:after="0"/>
              <w:rPr>
                <w:sz w:val="18"/>
                <w:szCs w:val="18"/>
                <w:color w:val="auto"/>
              </w:rPr>
            </w:pPr>
          </w:p>
        </w:tc>
        <w:tc>
          <w:tcPr>
            <w:tcW w:w="118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420" w:type="dxa"/>
            <w:vAlign w:val="bottom"/>
            <w:shd w:val="clear" w:color="auto" w:fill="D5DCE4"/>
          </w:tcPr>
          <w:p>
            <w:pPr>
              <w:spacing w:after="0"/>
              <w:rPr>
                <w:sz w:val="18"/>
                <w:szCs w:val="18"/>
                <w:color w:val="auto"/>
              </w:rPr>
            </w:pPr>
          </w:p>
        </w:tc>
        <w:tc>
          <w:tcPr>
            <w:tcW w:w="1100" w:type="dxa"/>
            <w:vAlign w:val="bottom"/>
            <w:shd w:val="clear" w:color="auto" w:fill="D5DCE4"/>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shd w:val="clear" w:color="auto" w:fill="D5DCE4"/>
          </w:tcPr>
          <w:p>
            <w:pPr>
              <w:spacing w:after="0"/>
              <w:rPr>
                <w:sz w:val="21"/>
                <w:szCs w:val="21"/>
                <w:color w:val="auto"/>
              </w:rPr>
            </w:pPr>
          </w:p>
        </w:tc>
        <w:tc>
          <w:tcPr>
            <w:tcW w:w="4940" w:type="dxa"/>
            <w:vAlign w:val="bottom"/>
            <w:gridSpan w:val="4"/>
            <w:shd w:val="clear" w:color="auto" w:fill="D5DCE4"/>
          </w:tcPr>
          <w:p>
            <w:pPr>
              <w:spacing w:after="0"/>
              <w:rPr>
                <w:sz w:val="20"/>
                <w:szCs w:val="20"/>
                <w:color w:val="auto"/>
              </w:rPr>
            </w:pPr>
            <w:r>
              <w:rPr>
                <w:rFonts w:ascii="Arial" w:cs="Arial" w:eastAsia="Arial" w:hAnsi="Arial"/>
                <w:sz w:val="16"/>
                <w:szCs w:val="16"/>
                <w:color w:val="auto"/>
              </w:rPr>
              <w:t xml:space="preserve">participating securities </w:t>
            </w:r>
            <w:r>
              <w:rPr>
                <w:rFonts w:ascii="Arial" w:cs="Arial" w:eastAsia="Arial" w:hAnsi="Arial"/>
                <w:sz w:val="21"/>
                <w:szCs w:val="21"/>
                <w:color w:val="auto"/>
                <w:vertAlign w:val="superscript"/>
              </w:rPr>
              <w:t>(1)</w:t>
            </w:r>
          </w:p>
        </w:tc>
        <w:tc>
          <w:tcPr>
            <w:tcW w:w="320" w:type="dxa"/>
            <w:vAlign w:val="bottom"/>
            <w:tcBorders>
              <w:bottom w:val="single" w:sz="8" w:color="auto"/>
            </w:tcBorders>
            <w:shd w:val="clear" w:color="auto" w:fill="D5DCE4"/>
          </w:tcPr>
          <w:p>
            <w:pPr>
              <w:spacing w:after="0"/>
              <w:rPr>
                <w:sz w:val="21"/>
                <w:szCs w:val="21"/>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(117)</w:t>
            </w:r>
          </w:p>
        </w:tc>
        <w:tc>
          <w:tcPr>
            <w:tcW w:w="80" w:type="dxa"/>
            <w:vAlign w:val="bottom"/>
            <w:shd w:val="clear" w:color="auto" w:fill="D5DCE4"/>
          </w:tcPr>
          <w:p>
            <w:pPr>
              <w:spacing w:after="0"/>
              <w:rPr>
                <w:sz w:val="21"/>
                <w:szCs w:val="21"/>
                <w:color w:val="auto"/>
              </w:rPr>
            </w:pPr>
          </w:p>
        </w:tc>
        <w:tc>
          <w:tcPr>
            <w:tcW w:w="420" w:type="dxa"/>
            <w:vAlign w:val="bottom"/>
            <w:tcBorders>
              <w:bottom w:val="single" w:sz="8" w:color="auto"/>
            </w:tcBorders>
            <w:shd w:val="clear" w:color="auto" w:fill="D5DCE4"/>
          </w:tcPr>
          <w:p>
            <w:pPr>
              <w:spacing w:after="0"/>
              <w:rPr>
                <w:sz w:val="21"/>
                <w:szCs w:val="21"/>
                <w:color w:val="auto"/>
              </w:rPr>
            </w:pPr>
          </w:p>
        </w:tc>
        <w:tc>
          <w:tcPr>
            <w:tcW w:w="11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(70)</w:t>
            </w:r>
          </w:p>
        </w:tc>
        <w:tc>
          <w:tcPr>
            <w:tcW w:w="80" w:type="dxa"/>
            <w:vAlign w:val="bottom"/>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(225)</w:t>
            </w:r>
          </w:p>
        </w:tc>
        <w:tc>
          <w:tcPr>
            <w:tcW w:w="80" w:type="dxa"/>
            <w:vAlign w:val="bottom"/>
            <w:shd w:val="clear" w:color="auto" w:fill="D5DCE4"/>
          </w:tcPr>
          <w:p>
            <w:pPr>
              <w:spacing w:after="0"/>
              <w:rPr>
                <w:sz w:val="21"/>
                <w:szCs w:val="21"/>
                <w:color w:val="auto"/>
              </w:rPr>
            </w:pPr>
          </w:p>
        </w:tc>
        <w:tc>
          <w:tcPr>
            <w:tcW w:w="420" w:type="dxa"/>
            <w:vAlign w:val="bottom"/>
            <w:tcBorders>
              <w:bottom w:val="single" w:sz="8" w:color="auto"/>
            </w:tcBorders>
            <w:shd w:val="clear" w:color="auto" w:fill="D5DCE4"/>
          </w:tcPr>
          <w:p>
            <w:pPr>
              <w:spacing w:after="0"/>
              <w:rPr>
                <w:sz w:val="21"/>
                <w:szCs w:val="21"/>
                <w:color w:val="auto"/>
              </w:rPr>
            </w:pPr>
          </w:p>
        </w:tc>
        <w:tc>
          <w:tcPr>
            <w:tcW w:w="11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40" w:type="dxa"/>
            <w:vAlign w:val="bottom"/>
            <w:gridSpan w:val="4"/>
          </w:tcPr>
          <w:p>
            <w:pPr>
              <w:spacing w:after="0" w:line="182" w:lineRule="exact"/>
              <w:rPr>
                <w:sz w:val="20"/>
                <w:szCs w:val="20"/>
                <w:color w:val="auto"/>
              </w:rPr>
            </w:pPr>
            <w:r>
              <w:rPr>
                <w:rFonts w:ascii="Arial" w:cs="Arial" w:eastAsia="Arial" w:hAnsi="Arial"/>
                <w:sz w:val="16"/>
                <w:szCs w:val="16"/>
                <w:color w:val="auto"/>
              </w:rPr>
              <w:t>Net income attributable to outstanding shares of Class A and Class</w:t>
            </w:r>
          </w:p>
        </w:tc>
        <w:tc>
          <w:tcPr>
            <w:tcW w:w="3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153,665</w:t>
            </w:r>
          </w:p>
        </w:tc>
        <w:tc>
          <w:tcPr>
            <w:tcW w:w="80" w:type="dxa"/>
            <w:vAlign w:val="bottom"/>
          </w:tcPr>
          <w:p>
            <w:pPr>
              <w:spacing w:after="0"/>
              <w:rPr>
                <w:sz w:val="15"/>
                <w:szCs w:val="15"/>
                <w:color w:val="auto"/>
              </w:rPr>
            </w:pPr>
          </w:p>
        </w:tc>
        <w:tc>
          <w:tcPr>
            <w:tcW w:w="420" w:type="dxa"/>
            <w:vAlign w:val="bottom"/>
            <w:vMerge w:val="restart"/>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119,169</w:t>
            </w:r>
          </w:p>
        </w:tc>
        <w:tc>
          <w:tcPr>
            <w:tcW w:w="80" w:type="dxa"/>
            <w:vAlign w:val="bottom"/>
          </w:tcPr>
          <w:p>
            <w:pPr>
              <w:spacing w:after="0"/>
              <w:rPr>
                <w:sz w:val="15"/>
                <w:szCs w:val="15"/>
                <w:color w:val="auto"/>
              </w:rPr>
            </w:pPr>
          </w:p>
        </w:tc>
        <w:tc>
          <w:tcPr>
            <w:tcW w:w="320" w:type="dxa"/>
            <w:vAlign w:val="bottom"/>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301,939</w:t>
            </w:r>
          </w:p>
        </w:tc>
        <w:tc>
          <w:tcPr>
            <w:tcW w:w="80" w:type="dxa"/>
            <w:vAlign w:val="bottom"/>
          </w:tcPr>
          <w:p>
            <w:pPr>
              <w:spacing w:after="0"/>
              <w:rPr>
                <w:sz w:val="15"/>
                <w:szCs w:val="15"/>
                <w:color w:val="auto"/>
              </w:rPr>
            </w:pPr>
          </w:p>
        </w:tc>
        <w:tc>
          <w:tcPr>
            <w:tcW w:w="420" w:type="dxa"/>
            <w:vAlign w:val="bottom"/>
            <w:vMerge w:val="restart"/>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245,217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8"/>
                <w:szCs w:val="18"/>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B common stock - Basic and Diluted</w:t>
            </w:r>
          </w:p>
        </w:tc>
        <w:tc>
          <w:tcPr>
            <w:tcW w:w="3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5DCE4"/>
            </w:tcBorders>
          </w:tcPr>
          <w:p>
            <w:pPr>
              <w:spacing w:after="0" w:line="20" w:lineRule="exact"/>
              <w:rPr>
                <w:sz w:val="1"/>
                <w:szCs w:val="1"/>
                <w:color w:val="auto"/>
              </w:rPr>
            </w:pPr>
          </w:p>
        </w:tc>
        <w:tc>
          <w:tcPr>
            <w:tcW w:w="820" w:type="dxa"/>
            <w:vAlign w:val="bottom"/>
            <w:tcBorders>
              <w:bottom w:val="single" w:sz="8" w:color="D5DCE4"/>
            </w:tcBorders>
          </w:tcPr>
          <w:p>
            <w:pPr>
              <w:spacing w:after="0" w:line="20" w:lineRule="exact"/>
              <w:rPr>
                <w:sz w:val="1"/>
                <w:szCs w:val="1"/>
                <w:color w:val="auto"/>
              </w:rPr>
            </w:pPr>
          </w:p>
        </w:tc>
        <w:tc>
          <w:tcPr>
            <w:tcW w:w="160" w:type="dxa"/>
            <w:vAlign w:val="bottom"/>
            <w:tcBorders>
              <w:bottom w:val="single" w:sz="8" w:color="D5DCE4"/>
            </w:tcBorders>
          </w:tcPr>
          <w:p>
            <w:pPr>
              <w:spacing w:after="0" w:line="20" w:lineRule="exact"/>
              <w:rPr>
                <w:sz w:val="1"/>
                <w:szCs w:val="1"/>
                <w:color w:val="auto"/>
              </w:rPr>
            </w:pPr>
          </w:p>
        </w:tc>
        <w:tc>
          <w:tcPr>
            <w:tcW w:w="388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D5DCE4"/>
          </w:tcPr>
          <w:p>
            <w:pPr>
              <w:spacing w:after="0"/>
              <w:rPr>
                <w:sz w:val="19"/>
                <w:szCs w:val="19"/>
                <w:color w:val="auto"/>
              </w:rPr>
            </w:pPr>
          </w:p>
        </w:tc>
        <w:tc>
          <w:tcPr>
            <w:tcW w:w="820" w:type="dxa"/>
            <w:vAlign w:val="bottom"/>
            <w:shd w:val="clear" w:color="auto" w:fill="D5DCE4"/>
          </w:tcPr>
          <w:p>
            <w:pPr>
              <w:spacing w:after="0"/>
              <w:rPr>
                <w:sz w:val="19"/>
                <w:szCs w:val="19"/>
                <w:color w:val="auto"/>
              </w:rPr>
            </w:pPr>
          </w:p>
        </w:tc>
        <w:tc>
          <w:tcPr>
            <w:tcW w:w="160" w:type="dxa"/>
            <w:vAlign w:val="bottom"/>
            <w:shd w:val="clear" w:color="auto" w:fill="D5DCE4"/>
          </w:tcPr>
          <w:p>
            <w:pPr>
              <w:spacing w:after="0"/>
              <w:rPr>
                <w:sz w:val="19"/>
                <w:szCs w:val="19"/>
                <w:color w:val="auto"/>
              </w:rPr>
            </w:pPr>
          </w:p>
        </w:tc>
        <w:tc>
          <w:tcPr>
            <w:tcW w:w="38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320" w:type="dxa"/>
            <w:vAlign w:val="bottom"/>
            <w:shd w:val="clear" w:color="auto" w:fill="D5DCE4"/>
          </w:tcPr>
          <w:p>
            <w:pPr>
              <w:spacing w:after="0"/>
              <w:rPr>
                <w:sz w:val="19"/>
                <w:szCs w:val="19"/>
                <w:color w:val="auto"/>
              </w:rPr>
            </w:pPr>
          </w:p>
        </w:tc>
        <w:tc>
          <w:tcPr>
            <w:tcW w:w="11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420" w:type="dxa"/>
            <w:vAlign w:val="bottom"/>
            <w:shd w:val="clear" w:color="auto" w:fill="D5DCE4"/>
          </w:tcPr>
          <w:p>
            <w:pPr>
              <w:spacing w:after="0"/>
              <w:rPr>
                <w:sz w:val="19"/>
                <w:szCs w:val="19"/>
                <w:color w:val="auto"/>
              </w:rPr>
            </w:pPr>
          </w:p>
        </w:tc>
        <w:tc>
          <w:tcPr>
            <w:tcW w:w="110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320" w:type="dxa"/>
            <w:vAlign w:val="bottom"/>
            <w:shd w:val="clear" w:color="auto" w:fill="D5DCE4"/>
          </w:tcPr>
          <w:p>
            <w:pPr>
              <w:spacing w:after="0"/>
              <w:rPr>
                <w:sz w:val="19"/>
                <w:szCs w:val="19"/>
                <w:color w:val="auto"/>
              </w:rPr>
            </w:pPr>
          </w:p>
        </w:tc>
        <w:tc>
          <w:tcPr>
            <w:tcW w:w="11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420" w:type="dxa"/>
            <w:vAlign w:val="bottom"/>
            <w:shd w:val="clear" w:color="auto" w:fill="D5DCE4"/>
          </w:tcPr>
          <w:p>
            <w:pPr>
              <w:spacing w:after="0"/>
              <w:rPr>
                <w:sz w:val="19"/>
                <w:szCs w:val="19"/>
                <w:color w:val="auto"/>
              </w:rPr>
            </w:pPr>
          </w:p>
        </w:tc>
        <w:tc>
          <w:tcPr>
            <w:tcW w:w="1100" w:type="dxa"/>
            <w:vAlign w:val="bottom"/>
            <w:shd w:val="clear" w:color="auto" w:fill="D5DCE4"/>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Denominator:</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shd w:val="clear" w:color="auto" w:fill="D5DCE4"/>
          </w:tcPr>
          <w:p>
            <w:pPr>
              <w:spacing w:after="0"/>
              <w:rPr>
                <w:sz w:val="14"/>
                <w:szCs w:val="14"/>
                <w:color w:val="auto"/>
              </w:rPr>
            </w:pPr>
          </w:p>
        </w:tc>
        <w:tc>
          <w:tcPr>
            <w:tcW w:w="4940" w:type="dxa"/>
            <w:vAlign w:val="bottom"/>
            <w:gridSpan w:val="4"/>
            <w:shd w:val="clear" w:color="auto" w:fill="D5DCE4"/>
          </w:tcPr>
          <w:p>
            <w:pPr>
              <w:spacing w:after="0" w:line="162" w:lineRule="exact"/>
              <w:rPr>
                <w:sz w:val="20"/>
                <w:szCs w:val="20"/>
                <w:color w:val="auto"/>
              </w:rPr>
            </w:pPr>
            <w:r>
              <w:rPr>
                <w:rFonts w:ascii="Arial" w:cs="Arial" w:eastAsia="Arial" w:hAnsi="Arial"/>
                <w:sz w:val="16"/>
                <w:szCs w:val="16"/>
                <w:color w:val="auto"/>
              </w:rPr>
              <w:t>Weighted average shares of Class A and Class B common stock</w:t>
            </w:r>
          </w:p>
        </w:tc>
        <w:tc>
          <w:tcPr>
            <w:tcW w:w="320" w:type="dxa"/>
            <w:vAlign w:val="bottom"/>
            <w:shd w:val="clear" w:color="auto" w:fill="D5DCE4"/>
          </w:tcPr>
          <w:p>
            <w:pPr>
              <w:spacing w:after="0"/>
              <w:rPr>
                <w:sz w:val="14"/>
                <w:szCs w:val="14"/>
                <w:color w:val="auto"/>
              </w:rPr>
            </w:pPr>
          </w:p>
        </w:tc>
        <w:tc>
          <w:tcPr>
            <w:tcW w:w="118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213,339,761</w:t>
            </w:r>
          </w:p>
        </w:tc>
        <w:tc>
          <w:tcPr>
            <w:tcW w:w="80" w:type="dxa"/>
            <w:vAlign w:val="bottom"/>
            <w:shd w:val="clear" w:color="auto" w:fill="D5DCE4"/>
          </w:tcPr>
          <w:p>
            <w:pPr>
              <w:spacing w:after="0"/>
              <w:rPr>
                <w:sz w:val="14"/>
                <w:szCs w:val="14"/>
                <w:color w:val="auto"/>
              </w:rPr>
            </w:pPr>
          </w:p>
        </w:tc>
        <w:tc>
          <w:tcPr>
            <w:tcW w:w="420" w:type="dxa"/>
            <w:vAlign w:val="bottom"/>
            <w:shd w:val="clear" w:color="auto" w:fill="D5DCE4"/>
          </w:tcPr>
          <w:p>
            <w:pPr>
              <w:spacing w:after="0"/>
              <w:rPr>
                <w:sz w:val="14"/>
                <w:szCs w:val="14"/>
                <w:color w:val="auto"/>
              </w:rPr>
            </w:pPr>
          </w:p>
        </w:tc>
        <w:tc>
          <w:tcPr>
            <w:tcW w:w="110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213,162,158</w:t>
            </w:r>
          </w:p>
        </w:tc>
        <w:tc>
          <w:tcPr>
            <w:tcW w:w="80" w:type="dxa"/>
            <w:vAlign w:val="bottom"/>
            <w:shd w:val="clear" w:color="auto" w:fill="D5DCE4"/>
          </w:tcPr>
          <w:p>
            <w:pPr>
              <w:spacing w:after="0"/>
              <w:rPr>
                <w:sz w:val="14"/>
                <w:szCs w:val="14"/>
                <w:color w:val="auto"/>
              </w:rPr>
            </w:pPr>
          </w:p>
        </w:tc>
        <w:tc>
          <w:tcPr>
            <w:tcW w:w="320" w:type="dxa"/>
            <w:vAlign w:val="bottom"/>
            <w:shd w:val="clear" w:color="auto" w:fill="D5DCE4"/>
          </w:tcPr>
          <w:p>
            <w:pPr>
              <w:spacing w:after="0"/>
              <w:rPr>
                <w:sz w:val="14"/>
                <w:szCs w:val="14"/>
                <w:color w:val="auto"/>
              </w:rPr>
            </w:pPr>
          </w:p>
        </w:tc>
        <w:tc>
          <w:tcPr>
            <w:tcW w:w="118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213,214,326</w:t>
            </w:r>
          </w:p>
        </w:tc>
        <w:tc>
          <w:tcPr>
            <w:tcW w:w="80" w:type="dxa"/>
            <w:vAlign w:val="bottom"/>
            <w:shd w:val="clear" w:color="auto" w:fill="D5DCE4"/>
          </w:tcPr>
          <w:p>
            <w:pPr>
              <w:spacing w:after="0"/>
              <w:rPr>
                <w:sz w:val="14"/>
                <w:szCs w:val="14"/>
                <w:color w:val="auto"/>
              </w:rPr>
            </w:pPr>
          </w:p>
        </w:tc>
        <w:tc>
          <w:tcPr>
            <w:tcW w:w="420" w:type="dxa"/>
            <w:vAlign w:val="bottom"/>
            <w:shd w:val="clear" w:color="auto" w:fill="D5DCE4"/>
          </w:tcPr>
          <w:p>
            <w:pPr>
              <w:spacing w:after="0"/>
              <w:rPr>
                <w:sz w:val="14"/>
                <w:szCs w:val="14"/>
                <w:color w:val="auto"/>
              </w:rPr>
            </w:pPr>
          </w:p>
        </w:tc>
        <w:tc>
          <w:tcPr>
            <w:tcW w:w="110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212,936,015</w:t>
            </w:r>
          </w:p>
        </w:tc>
        <w:tc>
          <w:tcPr>
            <w:tcW w:w="0" w:type="dxa"/>
            <w:vAlign w:val="bottom"/>
          </w:tcPr>
          <w:p>
            <w:pPr>
              <w:spacing w:after="0"/>
              <w:rPr>
                <w:sz w:val="1"/>
                <w:szCs w:val="1"/>
                <w:color w:val="auto"/>
              </w:rPr>
            </w:pPr>
          </w:p>
        </w:tc>
      </w:tr>
      <w:tr>
        <w:trPr>
          <w:trHeight w:val="216"/>
        </w:trPr>
        <w:tc>
          <w:tcPr>
            <w:tcW w:w="20" w:type="dxa"/>
            <w:vAlign w:val="bottom"/>
            <w:shd w:val="clear" w:color="auto" w:fill="D5DCE4"/>
          </w:tcPr>
          <w:p>
            <w:pPr>
              <w:spacing w:after="0"/>
              <w:rPr>
                <w:sz w:val="18"/>
                <w:szCs w:val="18"/>
                <w:color w:val="auto"/>
              </w:rPr>
            </w:pPr>
          </w:p>
        </w:tc>
        <w:tc>
          <w:tcPr>
            <w:tcW w:w="4940" w:type="dxa"/>
            <w:vAlign w:val="bottom"/>
            <w:gridSpan w:val="4"/>
            <w:shd w:val="clear" w:color="auto" w:fill="D5DCE4"/>
          </w:tcPr>
          <w:p>
            <w:pPr>
              <w:spacing w:after="0"/>
              <w:rPr>
                <w:sz w:val="20"/>
                <w:szCs w:val="20"/>
                <w:color w:val="auto"/>
              </w:rPr>
            </w:pPr>
            <w:r>
              <w:rPr>
                <w:rFonts w:ascii="Arial" w:cs="Arial" w:eastAsia="Arial" w:hAnsi="Arial"/>
                <w:sz w:val="16"/>
                <w:szCs w:val="16"/>
                <w:color w:val="auto"/>
              </w:rPr>
              <w:t>outstanding - Basic</w:t>
            </w:r>
          </w:p>
        </w:tc>
        <w:tc>
          <w:tcPr>
            <w:tcW w:w="320" w:type="dxa"/>
            <w:vAlign w:val="bottom"/>
            <w:shd w:val="clear" w:color="auto" w:fill="D5DCE4"/>
          </w:tcPr>
          <w:p>
            <w:pPr>
              <w:spacing w:after="0"/>
              <w:rPr>
                <w:sz w:val="18"/>
                <w:szCs w:val="18"/>
                <w:color w:val="auto"/>
              </w:rPr>
            </w:pPr>
          </w:p>
        </w:tc>
        <w:tc>
          <w:tcPr>
            <w:tcW w:w="1180" w:type="dxa"/>
            <w:vAlign w:val="bottom"/>
            <w:vMerge w:val="continue"/>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420" w:type="dxa"/>
            <w:vAlign w:val="bottom"/>
            <w:shd w:val="clear" w:color="auto" w:fill="D5DCE4"/>
          </w:tcPr>
          <w:p>
            <w:pPr>
              <w:spacing w:after="0"/>
              <w:rPr>
                <w:sz w:val="18"/>
                <w:szCs w:val="18"/>
                <w:color w:val="auto"/>
              </w:rPr>
            </w:pPr>
          </w:p>
        </w:tc>
        <w:tc>
          <w:tcPr>
            <w:tcW w:w="1100" w:type="dxa"/>
            <w:vAlign w:val="bottom"/>
            <w:vMerge w:val="continue"/>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320" w:type="dxa"/>
            <w:vAlign w:val="bottom"/>
            <w:shd w:val="clear" w:color="auto" w:fill="D5DCE4"/>
          </w:tcPr>
          <w:p>
            <w:pPr>
              <w:spacing w:after="0"/>
              <w:rPr>
                <w:sz w:val="18"/>
                <w:szCs w:val="18"/>
                <w:color w:val="auto"/>
              </w:rPr>
            </w:pPr>
          </w:p>
        </w:tc>
        <w:tc>
          <w:tcPr>
            <w:tcW w:w="1180" w:type="dxa"/>
            <w:vAlign w:val="bottom"/>
            <w:vMerge w:val="continue"/>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420" w:type="dxa"/>
            <w:vAlign w:val="bottom"/>
            <w:shd w:val="clear" w:color="auto" w:fill="D5DCE4"/>
          </w:tcPr>
          <w:p>
            <w:pPr>
              <w:spacing w:after="0"/>
              <w:rPr>
                <w:sz w:val="18"/>
                <w:szCs w:val="18"/>
                <w:color w:val="auto"/>
              </w:rPr>
            </w:pPr>
          </w:p>
        </w:tc>
        <w:tc>
          <w:tcPr>
            <w:tcW w:w="1100" w:type="dxa"/>
            <w:vAlign w:val="bottom"/>
            <w:vMerge w:val="continue"/>
            <w:shd w:val="clear" w:color="auto" w:fill="D5DCE4"/>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940" w:type="dxa"/>
            <w:vAlign w:val="bottom"/>
            <w:gridSpan w:val="4"/>
          </w:tcPr>
          <w:p>
            <w:pPr>
              <w:ind w:left="120"/>
              <w:spacing w:after="0"/>
              <w:rPr>
                <w:sz w:val="20"/>
                <w:szCs w:val="20"/>
                <w:color w:val="auto"/>
              </w:rPr>
            </w:pPr>
            <w:r>
              <w:rPr>
                <w:rFonts w:ascii="Arial" w:cs="Arial" w:eastAsia="Arial" w:hAnsi="Arial"/>
                <w:sz w:val="16"/>
                <w:szCs w:val="16"/>
                <w:color w:val="auto"/>
              </w:rPr>
              <w:t>Dilutive effect of PRSUs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450,980</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568,304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442,710</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534,583</w:t>
            </w:r>
          </w:p>
        </w:tc>
        <w:tc>
          <w:tcPr>
            <w:tcW w:w="0" w:type="dxa"/>
            <w:vAlign w:val="bottom"/>
          </w:tcPr>
          <w:p>
            <w:pPr>
              <w:spacing w:after="0"/>
              <w:rPr>
                <w:sz w:val="1"/>
                <w:szCs w:val="1"/>
                <w:color w:val="auto"/>
              </w:rPr>
            </w:pPr>
          </w:p>
        </w:tc>
      </w:tr>
      <w:tr>
        <w:trPr>
          <w:trHeight w:val="251"/>
        </w:trPr>
        <w:tc>
          <w:tcPr>
            <w:tcW w:w="20" w:type="dxa"/>
            <w:vAlign w:val="bottom"/>
            <w:shd w:val="clear" w:color="auto" w:fill="D5DCE4"/>
          </w:tcPr>
          <w:p>
            <w:pPr>
              <w:spacing w:after="0"/>
              <w:rPr>
                <w:sz w:val="21"/>
                <w:szCs w:val="21"/>
                <w:color w:val="auto"/>
              </w:rPr>
            </w:pPr>
          </w:p>
        </w:tc>
        <w:tc>
          <w:tcPr>
            <w:tcW w:w="4940" w:type="dxa"/>
            <w:vAlign w:val="bottom"/>
            <w:gridSpan w:val="4"/>
            <w:shd w:val="clear" w:color="auto" w:fill="D5DCE4"/>
          </w:tcPr>
          <w:p>
            <w:pPr>
              <w:ind w:left="120"/>
              <w:spacing w:after="0"/>
              <w:rPr>
                <w:sz w:val="20"/>
                <w:szCs w:val="20"/>
                <w:color w:val="auto"/>
              </w:rPr>
            </w:pPr>
            <w:r>
              <w:rPr>
                <w:rFonts w:ascii="Arial" w:cs="Arial" w:eastAsia="Arial" w:hAnsi="Arial"/>
                <w:sz w:val="16"/>
                <w:szCs w:val="16"/>
                <w:color w:val="auto"/>
              </w:rPr>
              <w:t>Dilutive effect of options</w:t>
            </w: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292,392</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spacing w:after="0"/>
              <w:rPr>
                <w:sz w:val="21"/>
                <w:szCs w:val="21"/>
                <w:color w:val="auto"/>
              </w:rPr>
            </w:pP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449,252</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291,132</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spacing w:after="0"/>
              <w:rPr>
                <w:sz w:val="21"/>
                <w:szCs w:val="21"/>
                <w:color w:val="auto"/>
              </w:rPr>
            </w:pP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524,413</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940" w:type="dxa"/>
            <w:vAlign w:val="bottom"/>
            <w:gridSpan w:val="4"/>
          </w:tcPr>
          <w:p>
            <w:pPr>
              <w:ind w:left="120"/>
              <w:spacing w:after="0"/>
              <w:rPr>
                <w:sz w:val="20"/>
                <w:szCs w:val="20"/>
                <w:color w:val="auto"/>
              </w:rPr>
            </w:pPr>
            <w:r>
              <w:rPr>
                <w:rFonts w:ascii="Arial" w:cs="Arial" w:eastAsia="Arial" w:hAnsi="Arial"/>
                <w:sz w:val="16"/>
                <w:szCs w:val="16"/>
                <w:color w:val="auto"/>
              </w:rPr>
              <w:t>Dilutive effect of RSUs and RSAs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330,102</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252,498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441,924</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348,282</w:t>
            </w:r>
          </w:p>
        </w:tc>
        <w:tc>
          <w:tcPr>
            <w:tcW w:w="0" w:type="dxa"/>
            <w:vAlign w:val="bottom"/>
          </w:tcPr>
          <w:p>
            <w:pPr>
              <w:spacing w:after="0"/>
              <w:rPr>
                <w:sz w:val="1"/>
                <w:szCs w:val="1"/>
                <w:color w:val="auto"/>
              </w:rPr>
            </w:pPr>
          </w:p>
        </w:tc>
      </w:tr>
      <w:tr>
        <w:trPr>
          <w:trHeight w:val="251"/>
        </w:trPr>
        <w:tc>
          <w:tcPr>
            <w:tcW w:w="20" w:type="dxa"/>
            <w:vAlign w:val="bottom"/>
            <w:shd w:val="clear" w:color="auto" w:fill="D5DCE4"/>
          </w:tcPr>
          <w:p>
            <w:pPr>
              <w:spacing w:after="0"/>
              <w:rPr>
                <w:sz w:val="21"/>
                <w:szCs w:val="21"/>
                <w:color w:val="auto"/>
              </w:rPr>
            </w:pPr>
          </w:p>
        </w:tc>
        <w:tc>
          <w:tcPr>
            <w:tcW w:w="4940" w:type="dxa"/>
            <w:vAlign w:val="bottom"/>
            <w:gridSpan w:val="4"/>
            <w:shd w:val="clear" w:color="auto" w:fill="D5DCE4"/>
          </w:tcPr>
          <w:p>
            <w:pPr>
              <w:ind w:left="120"/>
              <w:spacing w:after="0"/>
              <w:rPr>
                <w:sz w:val="20"/>
                <w:szCs w:val="20"/>
                <w:color w:val="auto"/>
              </w:rPr>
            </w:pPr>
            <w:r>
              <w:rPr>
                <w:rFonts w:ascii="Arial" w:cs="Arial" w:eastAsia="Arial" w:hAnsi="Arial"/>
                <w:sz w:val="16"/>
                <w:szCs w:val="16"/>
                <w:color w:val="auto"/>
              </w:rPr>
              <w:t>Dilutive effect of PSUs</w:t>
            </w:r>
          </w:p>
        </w:tc>
        <w:tc>
          <w:tcPr>
            <w:tcW w:w="320" w:type="dxa"/>
            <w:vAlign w:val="bottom"/>
            <w:tcBorders>
              <w:bottom w:val="single" w:sz="8" w:color="auto"/>
            </w:tcBorders>
            <w:shd w:val="clear" w:color="auto" w:fill="D5DCE4"/>
          </w:tcPr>
          <w:p>
            <w:pPr>
              <w:spacing w:after="0"/>
              <w:rPr>
                <w:sz w:val="21"/>
                <w:szCs w:val="21"/>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558,711</w:t>
            </w:r>
          </w:p>
        </w:tc>
        <w:tc>
          <w:tcPr>
            <w:tcW w:w="80" w:type="dxa"/>
            <w:vAlign w:val="bottom"/>
            <w:shd w:val="clear" w:color="auto" w:fill="D5DCE4"/>
          </w:tcPr>
          <w:p>
            <w:pPr>
              <w:spacing w:after="0"/>
              <w:rPr>
                <w:sz w:val="21"/>
                <w:szCs w:val="21"/>
                <w:color w:val="auto"/>
              </w:rPr>
            </w:pPr>
          </w:p>
        </w:tc>
        <w:tc>
          <w:tcPr>
            <w:tcW w:w="420" w:type="dxa"/>
            <w:vAlign w:val="bottom"/>
            <w:tcBorders>
              <w:bottom w:val="single" w:sz="8" w:color="auto"/>
            </w:tcBorders>
            <w:shd w:val="clear" w:color="auto" w:fill="D5DCE4"/>
          </w:tcPr>
          <w:p>
            <w:pPr>
              <w:spacing w:after="0"/>
              <w:rPr>
                <w:sz w:val="21"/>
                <w:szCs w:val="21"/>
                <w:color w:val="auto"/>
              </w:rPr>
            </w:pPr>
          </w:p>
        </w:tc>
        <w:tc>
          <w:tcPr>
            <w:tcW w:w="11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463,735</w:t>
            </w:r>
          </w:p>
        </w:tc>
        <w:tc>
          <w:tcPr>
            <w:tcW w:w="80" w:type="dxa"/>
            <w:vAlign w:val="bottom"/>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544,286</w:t>
            </w:r>
          </w:p>
        </w:tc>
        <w:tc>
          <w:tcPr>
            <w:tcW w:w="80" w:type="dxa"/>
            <w:vAlign w:val="bottom"/>
            <w:shd w:val="clear" w:color="auto" w:fill="D5DCE4"/>
          </w:tcPr>
          <w:p>
            <w:pPr>
              <w:spacing w:after="0"/>
              <w:rPr>
                <w:sz w:val="21"/>
                <w:szCs w:val="21"/>
                <w:color w:val="auto"/>
              </w:rPr>
            </w:pPr>
          </w:p>
        </w:tc>
        <w:tc>
          <w:tcPr>
            <w:tcW w:w="420" w:type="dxa"/>
            <w:vAlign w:val="bottom"/>
            <w:tcBorders>
              <w:bottom w:val="single" w:sz="8" w:color="auto"/>
            </w:tcBorders>
            <w:shd w:val="clear" w:color="auto" w:fill="D5DCE4"/>
          </w:tcPr>
          <w:p>
            <w:pPr>
              <w:spacing w:after="0"/>
              <w:rPr>
                <w:sz w:val="21"/>
                <w:szCs w:val="21"/>
                <w:color w:val="auto"/>
              </w:rPr>
            </w:pPr>
          </w:p>
        </w:tc>
        <w:tc>
          <w:tcPr>
            <w:tcW w:w="11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435,049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gridSpan w:val="4"/>
          </w:tcPr>
          <w:p>
            <w:pPr>
              <w:spacing w:after="0" w:line="142" w:lineRule="exact"/>
              <w:rPr>
                <w:sz w:val="20"/>
                <w:szCs w:val="20"/>
                <w:color w:val="auto"/>
              </w:rPr>
            </w:pPr>
            <w:r>
              <w:rPr>
                <w:rFonts w:ascii="Arial" w:cs="Arial" w:eastAsia="Arial" w:hAnsi="Arial"/>
                <w:sz w:val="16"/>
                <w:szCs w:val="16"/>
                <w:color w:val="auto"/>
              </w:rPr>
              <w:t>Weighted average shares of Class A and Class B common stock</w:t>
            </w:r>
          </w:p>
        </w:tc>
        <w:tc>
          <w:tcPr>
            <w:tcW w:w="32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214,971,946</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214,895,947</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214,934,378</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214,778,342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outstanding - Diluted</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5DCE4"/>
            </w:tcBorders>
          </w:tcPr>
          <w:p>
            <w:pPr>
              <w:spacing w:after="0" w:line="20" w:lineRule="exact"/>
              <w:rPr>
                <w:sz w:val="1"/>
                <w:szCs w:val="1"/>
                <w:color w:val="auto"/>
              </w:rPr>
            </w:pPr>
          </w:p>
        </w:tc>
        <w:tc>
          <w:tcPr>
            <w:tcW w:w="820" w:type="dxa"/>
            <w:vAlign w:val="bottom"/>
            <w:tcBorders>
              <w:bottom w:val="single" w:sz="8" w:color="D5DCE4"/>
            </w:tcBorders>
          </w:tcPr>
          <w:p>
            <w:pPr>
              <w:spacing w:after="0" w:line="20" w:lineRule="exact"/>
              <w:rPr>
                <w:sz w:val="1"/>
                <w:szCs w:val="1"/>
                <w:color w:val="auto"/>
              </w:rPr>
            </w:pPr>
          </w:p>
        </w:tc>
        <w:tc>
          <w:tcPr>
            <w:tcW w:w="160" w:type="dxa"/>
            <w:vAlign w:val="bottom"/>
            <w:tcBorders>
              <w:bottom w:val="single" w:sz="8" w:color="D5DCE4"/>
            </w:tcBorders>
          </w:tcPr>
          <w:p>
            <w:pPr>
              <w:spacing w:after="0" w:line="20" w:lineRule="exact"/>
              <w:rPr>
                <w:sz w:val="1"/>
                <w:szCs w:val="1"/>
                <w:color w:val="auto"/>
              </w:rPr>
            </w:pPr>
          </w:p>
        </w:tc>
        <w:tc>
          <w:tcPr>
            <w:tcW w:w="388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D5DCE4"/>
          </w:tcPr>
          <w:p>
            <w:pPr>
              <w:spacing w:after="0"/>
              <w:rPr>
                <w:sz w:val="19"/>
                <w:szCs w:val="19"/>
                <w:color w:val="auto"/>
              </w:rPr>
            </w:pPr>
          </w:p>
        </w:tc>
        <w:tc>
          <w:tcPr>
            <w:tcW w:w="820" w:type="dxa"/>
            <w:vAlign w:val="bottom"/>
            <w:shd w:val="clear" w:color="auto" w:fill="D5DCE4"/>
          </w:tcPr>
          <w:p>
            <w:pPr>
              <w:spacing w:after="0"/>
              <w:rPr>
                <w:sz w:val="19"/>
                <w:szCs w:val="19"/>
                <w:color w:val="auto"/>
              </w:rPr>
            </w:pPr>
          </w:p>
        </w:tc>
        <w:tc>
          <w:tcPr>
            <w:tcW w:w="160" w:type="dxa"/>
            <w:vAlign w:val="bottom"/>
            <w:shd w:val="clear" w:color="auto" w:fill="D5DCE4"/>
          </w:tcPr>
          <w:p>
            <w:pPr>
              <w:spacing w:after="0"/>
              <w:rPr>
                <w:sz w:val="19"/>
                <w:szCs w:val="19"/>
                <w:color w:val="auto"/>
              </w:rPr>
            </w:pPr>
          </w:p>
        </w:tc>
        <w:tc>
          <w:tcPr>
            <w:tcW w:w="38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320" w:type="dxa"/>
            <w:vAlign w:val="bottom"/>
            <w:shd w:val="clear" w:color="auto" w:fill="D5DCE4"/>
          </w:tcPr>
          <w:p>
            <w:pPr>
              <w:spacing w:after="0"/>
              <w:rPr>
                <w:sz w:val="19"/>
                <w:szCs w:val="19"/>
                <w:color w:val="auto"/>
              </w:rPr>
            </w:pPr>
          </w:p>
        </w:tc>
        <w:tc>
          <w:tcPr>
            <w:tcW w:w="11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420" w:type="dxa"/>
            <w:vAlign w:val="bottom"/>
            <w:shd w:val="clear" w:color="auto" w:fill="D5DCE4"/>
          </w:tcPr>
          <w:p>
            <w:pPr>
              <w:spacing w:after="0"/>
              <w:rPr>
                <w:sz w:val="19"/>
                <w:szCs w:val="19"/>
                <w:color w:val="auto"/>
              </w:rPr>
            </w:pPr>
          </w:p>
        </w:tc>
        <w:tc>
          <w:tcPr>
            <w:tcW w:w="110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320" w:type="dxa"/>
            <w:vAlign w:val="bottom"/>
            <w:shd w:val="clear" w:color="auto" w:fill="D5DCE4"/>
          </w:tcPr>
          <w:p>
            <w:pPr>
              <w:spacing w:after="0"/>
              <w:rPr>
                <w:sz w:val="19"/>
                <w:szCs w:val="19"/>
                <w:color w:val="auto"/>
              </w:rPr>
            </w:pPr>
          </w:p>
        </w:tc>
        <w:tc>
          <w:tcPr>
            <w:tcW w:w="11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420" w:type="dxa"/>
            <w:vAlign w:val="bottom"/>
            <w:shd w:val="clear" w:color="auto" w:fill="D5DCE4"/>
          </w:tcPr>
          <w:p>
            <w:pPr>
              <w:spacing w:after="0"/>
              <w:rPr>
                <w:sz w:val="19"/>
                <w:szCs w:val="19"/>
                <w:color w:val="auto"/>
              </w:rPr>
            </w:pPr>
          </w:p>
        </w:tc>
        <w:tc>
          <w:tcPr>
            <w:tcW w:w="1100" w:type="dxa"/>
            <w:vAlign w:val="bottom"/>
            <w:shd w:val="clear" w:color="auto" w:fill="D5DCE4"/>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Earnings per share - Basic</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0.72</w:t>
            </w:r>
          </w:p>
        </w:tc>
        <w:tc>
          <w:tcPr>
            <w:tcW w:w="80" w:type="dxa"/>
            <w:vAlign w:val="bottom"/>
          </w:tcPr>
          <w:p>
            <w:pPr>
              <w:spacing w:after="0"/>
              <w:rPr>
                <w:sz w:val="21"/>
                <w:szCs w:val="21"/>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0.56</w:t>
            </w:r>
          </w:p>
        </w:tc>
        <w:tc>
          <w:tcPr>
            <w:tcW w:w="8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w:t>
            </w:r>
          </w:p>
        </w:tc>
        <w:tc>
          <w:tcPr>
            <w:tcW w:w="80" w:type="dxa"/>
            <w:vAlign w:val="bottom"/>
          </w:tcPr>
          <w:p>
            <w:pPr>
              <w:spacing w:after="0"/>
              <w:rPr>
                <w:sz w:val="21"/>
                <w:szCs w:val="21"/>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0"/>
        </w:trPr>
        <w:tc>
          <w:tcPr>
            <w:tcW w:w="20" w:type="dxa"/>
            <w:vAlign w:val="bottom"/>
            <w:tcBorders>
              <w:bottom w:val="single" w:sz="8" w:color="D5DCE4"/>
            </w:tcBorders>
          </w:tcPr>
          <w:p>
            <w:pPr>
              <w:spacing w:after="0" w:line="20" w:lineRule="exact"/>
              <w:rPr>
                <w:sz w:val="1"/>
                <w:szCs w:val="1"/>
                <w:color w:val="auto"/>
              </w:rPr>
            </w:pPr>
          </w:p>
        </w:tc>
        <w:tc>
          <w:tcPr>
            <w:tcW w:w="820" w:type="dxa"/>
            <w:vAlign w:val="bottom"/>
            <w:tcBorders>
              <w:bottom w:val="single" w:sz="8" w:color="D5DCE4"/>
            </w:tcBorders>
          </w:tcPr>
          <w:p>
            <w:pPr>
              <w:spacing w:after="0" w:line="20" w:lineRule="exact"/>
              <w:rPr>
                <w:sz w:val="1"/>
                <w:szCs w:val="1"/>
                <w:color w:val="auto"/>
              </w:rPr>
            </w:pPr>
          </w:p>
        </w:tc>
        <w:tc>
          <w:tcPr>
            <w:tcW w:w="160" w:type="dxa"/>
            <w:vAlign w:val="bottom"/>
            <w:tcBorders>
              <w:bottom w:val="single" w:sz="8" w:color="D5DCE4"/>
            </w:tcBorders>
          </w:tcPr>
          <w:p>
            <w:pPr>
              <w:spacing w:after="0" w:line="20" w:lineRule="exact"/>
              <w:rPr>
                <w:sz w:val="1"/>
                <w:szCs w:val="1"/>
                <w:color w:val="auto"/>
              </w:rPr>
            </w:pPr>
          </w:p>
        </w:tc>
        <w:tc>
          <w:tcPr>
            <w:tcW w:w="388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Borders>
              <w:bottom w:val="single" w:sz="8" w:color="D5DCE4"/>
            </w:tcBorders>
            <w:shd w:val="clear" w:color="auto" w:fill="D5DCE4"/>
          </w:tcPr>
          <w:p>
            <w:pPr>
              <w:spacing w:after="0"/>
              <w:rPr>
                <w:sz w:val="22"/>
                <w:szCs w:val="22"/>
                <w:color w:val="auto"/>
              </w:rPr>
            </w:pPr>
          </w:p>
        </w:tc>
        <w:tc>
          <w:tcPr>
            <w:tcW w:w="4940" w:type="dxa"/>
            <w:vAlign w:val="bottom"/>
            <w:tcBorders>
              <w:bottom w:val="single" w:sz="8" w:color="D5DCE4"/>
            </w:tcBorders>
            <w:gridSpan w:val="4"/>
            <w:shd w:val="clear" w:color="auto" w:fill="D5DCE4"/>
          </w:tcPr>
          <w:p>
            <w:pPr>
              <w:spacing w:after="0"/>
              <w:rPr>
                <w:sz w:val="20"/>
                <w:szCs w:val="20"/>
                <w:color w:val="auto"/>
              </w:rPr>
            </w:pPr>
            <w:r>
              <w:rPr>
                <w:rFonts w:ascii="Arial" w:cs="Arial" w:eastAsia="Arial" w:hAnsi="Arial"/>
                <w:sz w:val="16"/>
                <w:szCs w:val="16"/>
                <w:color w:val="auto"/>
              </w:rPr>
              <w:t>Earnings per share - Diluted</w:t>
            </w:r>
          </w:p>
        </w:tc>
        <w:tc>
          <w:tcPr>
            <w:tcW w:w="3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0.71</w:t>
            </w:r>
          </w:p>
        </w:tc>
        <w:tc>
          <w:tcPr>
            <w:tcW w:w="80" w:type="dxa"/>
            <w:vAlign w:val="bottom"/>
            <w:tcBorders>
              <w:bottom w:val="single" w:sz="8" w:color="D5DCE4"/>
            </w:tcBorders>
            <w:shd w:val="clear" w:color="auto" w:fill="D5DCE4"/>
          </w:tcPr>
          <w:p>
            <w:pPr>
              <w:spacing w:after="0"/>
              <w:rPr>
                <w:sz w:val="22"/>
                <w:szCs w:val="22"/>
                <w:color w:val="auto"/>
              </w:rPr>
            </w:pPr>
          </w:p>
        </w:tc>
        <w:tc>
          <w:tcPr>
            <w:tcW w:w="420" w:type="dxa"/>
            <w:vAlign w:val="bottom"/>
            <w:tcBorders>
              <w:bottom w:val="single" w:sz="8" w:color="auto"/>
            </w:tcBorders>
            <w:shd w:val="clear" w:color="auto" w:fill="D5DCE4"/>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0.55</w:t>
            </w:r>
          </w:p>
        </w:tc>
        <w:tc>
          <w:tcPr>
            <w:tcW w:w="80" w:type="dxa"/>
            <w:vAlign w:val="bottom"/>
            <w:tcBorders>
              <w:bottom w:val="single" w:sz="8" w:color="D5DCE4"/>
            </w:tcBorders>
            <w:shd w:val="clear" w:color="auto" w:fill="D5DCE4"/>
          </w:tcPr>
          <w:p>
            <w:pPr>
              <w:spacing w:after="0"/>
              <w:rPr>
                <w:sz w:val="22"/>
                <w:szCs w:val="22"/>
                <w:color w:val="auto"/>
              </w:rPr>
            </w:pPr>
          </w:p>
        </w:tc>
        <w:tc>
          <w:tcPr>
            <w:tcW w:w="32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1.40</w:t>
            </w:r>
          </w:p>
        </w:tc>
        <w:tc>
          <w:tcPr>
            <w:tcW w:w="80" w:type="dxa"/>
            <w:vAlign w:val="bottom"/>
            <w:tcBorders>
              <w:bottom w:val="single" w:sz="8" w:color="D5DCE4"/>
            </w:tcBorders>
            <w:shd w:val="clear" w:color="auto" w:fill="D5DCE4"/>
          </w:tcPr>
          <w:p>
            <w:pPr>
              <w:spacing w:after="0"/>
              <w:rPr>
                <w:sz w:val="22"/>
                <w:szCs w:val="22"/>
                <w:color w:val="auto"/>
              </w:rPr>
            </w:pPr>
          </w:p>
        </w:tc>
        <w:tc>
          <w:tcPr>
            <w:tcW w:w="420" w:type="dxa"/>
            <w:vAlign w:val="bottom"/>
            <w:tcBorders>
              <w:bottom w:val="single" w:sz="8" w:color="auto"/>
            </w:tcBorders>
            <w:shd w:val="clear" w:color="auto" w:fill="D5DCE4"/>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0"/>
        </w:trPr>
        <w:tc>
          <w:tcPr>
            <w:tcW w:w="20" w:type="dxa"/>
            <w:vAlign w:val="bottom"/>
            <w:tcBorders>
              <w:top w:val="single" w:sz="8" w:color="D5DCE4"/>
            </w:tcBorders>
          </w:tcPr>
          <w:p>
            <w:pPr>
              <w:spacing w:after="0" w:line="20" w:lineRule="exact"/>
              <w:rPr>
                <w:sz w:val="1"/>
                <w:szCs w:val="1"/>
                <w:color w:val="auto"/>
              </w:rPr>
            </w:pPr>
          </w:p>
        </w:tc>
        <w:tc>
          <w:tcPr>
            <w:tcW w:w="82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D5DCE4"/>
            </w:tcBorders>
          </w:tcPr>
          <w:p>
            <w:pPr>
              <w:spacing w:after="0" w:line="20" w:lineRule="exact"/>
              <w:rPr>
                <w:sz w:val="1"/>
                <w:szCs w:val="1"/>
                <w:color w:val="auto"/>
              </w:rPr>
            </w:pPr>
          </w:p>
        </w:tc>
        <w:tc>
          <w:tcPr>
            <w:tcW w:w="388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20" w:type="dxa"/>
            <w:vAlign w:val="bottom"/>
            <w:tcBorders>
              <w:top w:val="single" w:sz="8" w:color="D5DCE4"/>
              <w:bottom w:val="single" w:sz="8" w:color="auto"/>
            </w:tcBorders>
          </w:tcPr>
          <w:p>
            <w:pPr>
              <w:spacing w:after="0" w:line="20" w:lineRule="exact"/>
              <w:rPr>
                <w:sz w:val="1"/>
                <w:szCs w:val="1"/>
                <w:color w:val="auto"/>
              </w:rPr>
            </w:pPr>
          </w:p>
        </w:tc>
        <w:tc>
          <w:tcPr>
            <w:tcW w:w="110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20" w:type="dxa"/>
            <w:vAlign w:val="bottom"/>
            <w:tcBorders>
              <w:top w:val="single" w:sz="8" w:color="D5DCE4"/>
              <w:bottom w:val="single" w:sz="8" w:color="auto"/>
            </w:tcBorders>
          </w:tcPr>
          <w:p>
            <w:pPr>
              <w:spacing w:after="0" w:line="20" w:lineRule="exact"/>
              <w:rPr>
                <w:sz w:val="1"/>
                <w:szCs w:val="1"/>
                <w:color w:val="auto"/>
              </w:rPr>
            </w:pPr>
          </w:p>
        </w:tc>
        <w:tc>
          <w:tcPr>
            <w:tcW w:w="1100" w:type="dxa"/>
            <w:vAlign w:val="bottom"/>
            <w:tcBorders>
              <w:top w:val="single" w:sz="8" w:color="D5DCE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During the three months ended June 30, 2025 and 2024, there was a total of 162,433 and 125,012, respectively, and during the six months ended June 30, 2025 and 2024, there were a total of 173,894</w:t>
      </w:r>
    </w:p>
    <w:p>
      <w:pPr>
        <w:spacing w:after="0" w:line="11" w:lineRule="exact"/>
        <w:rPr>
          <w:sz w:val="20"/>
          <w:szCs w:val="20"/>
          <w:color w:val="auto"/>
        </w:rPr>
      </w:pPr>
    </w:p>
    <w:p>
      <w:pPr>
        <w:ind w:left="440" w:right="220" w:hanging="414"/>
        <w:spacing w:after="0" w:line="294" w:lineRule="auto"/>
        <w:tabs>
          <w:tab w:leader="none" w:pos="4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and 142,484, respectively, weighted average unvested or unsettled vested stock awards that were considered a participating security for purposes of calculating earnings per share in accordance with the two-class method.</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REVENUES BY ASSET CLASS (UNAUDITED)</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4"/>
          </w:tcPr>
          <w:p>
            <w:pPr>
              <w:jc w:val="right"/>
              <w:ind w:right="199"/>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9"/>
        </w:trPr>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4"/>
                <w:szCs w:val="14"/>
                <w:b w:val="1"/>
                <w:bCs w:val="1"/>
                <w:color w:val="auto"/>
              </w:rPr>
              <w:t>June 30,</w:t>
            </w: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23"/>
        </w:trPr>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6"/>
              </w:rPr>
              <w:t>2025</w:t>
            </w:r>
          </w:p>
        </w:tc>
        <w:tc>
          <w:tcPr>
            <w:tcW w:w="8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6"/>
              </w:rPr>
              <w:t>2024</w:t>
            </w:r>
          </w:p>
        </w:tc>
        <w:tc>
          <w:tcPr>
            <w:tcW w:w="8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6"/>
                <w:szCs w:val="16"/>
                <w:b w:val="1"/>
                <w:bCs w:val="1"/>
                <w:color w:val="auto"/>
              </w:rPr>
              <w:t>$ Change</w:t>
            </w:r>
          </w:p>
        </w:tc>
        <w:tc>
          <w:tcPr>
            <w:tcW w:w="200" w:type="dxa"/>
            <w:vAlign w:val="bottom"/>
          </w:tcPr>
          <w:p>
            <w:pPr>
              <w:spacing w:after="0"/>
              <w:rPr>
                <w:sz w:val="19"/>
                <w:szCs w:val="19"/>
                <w:color w:val="auto"/>
              </w:rPr>
            </w:pPr>
          </w:p>
        </w:tc>
        <w:tc>
          <w:tcPr>
            <w:tcW w:w="2240" w:type="dxa"/>
            <w:vAlign w:val="bottom"/>
            <w:tcBorders>
              <w:bottom w:val="single" w:sz="8" w:color="auto"/>
            </w:tcBorders>
            <w:gridSpan w:val="2"/>
          </w:tcPr>
          <w:p>
            <w:pPr>
              <w:jc w:val="right"/>
              <w:ind w:right="639"/>
              <w:spacing w:after="0"/>
              <w:rPr>
                <w:sz w:val="20"/>
                <w:szCs w:val="20"/>
                <w:color w:val="auto"/>
              </w:rPr>
            </w:pPr>
            <w:r>
              <w:rPr>
                <w:rFonts w:ascii="Arial" w:cs="Arial" w:eastAsia="Arial" w:hAnsi="Arial"/>
                <w:sz w:val="16"/>
                <w:szCs w:val="16"/>
                <w:b w:val="1"/>
                <w:bCs w:val="1"/>
                <w:color w:val="auto"/>
              </w:rPr>
              <w:t>% Change</w:t>
            </w:r>
          </w:p>
        </w:tc>
      </w:tr>
      <w:tr>
        <w:trPr>
          <w:trHeight w:val="239"/>
        </w:trPr>
        <w:tc>
          <w:tcPr>
            <w:tcW w:w="2120" w:type="dxa"/>
            <w:vAlign w:val="bottom"/>
            <w:gridSpan w:val="2"/>
          </w:tcPr>
          <w:p>
            <w:pPr>
              <w:ind w:left="20"/>
              <w:spacing w:after="0"/>
              <w:rPr>
                <w:sz w:val="20"/>
                <w:szCs w:val="20"/>
                <w:color w:val="auto"/>
              </w:rPr>
            </w:pPr>
            <w:r>
              <w:rPr>
                <w:rFonts w:ascii="Arial" w:cs="Arial" w:eastAsia="Arial" w:hAnsi="Arial"/>
                <w:sz w:val="16"/>
                <w:szCs w:val="16"/>
                <w:b w:val="1"/>
                <w:bCs w:val="1"/>
                <w:color w:val="auto"/>
              </w:rPr>
              <w:t>Revenues</w:t>
            </w:r>
          </w:p>
        </w:tc>
        <w:tc>
          <w:tcPr>
            <w:tcW w:w="1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Variable</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Arial" w:cs="Arial" w:eastAsia="Arial" w:hAnsi="Arial"/>
                <w:sz w:val="16"/>
                <w:szCs w:val="16"/>
                <w:b w:val="1"/>
                <w:bCs w:val="1"/>
                <w:color w:val="auto"/>
              </w:rPr>
              <w:t>Fixed</w:t>
            </w:r>
          </w:p>
        </w:tc>
        <w:tc>
          <w:tcPr>
            <w:tcW w:w="1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Variable</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Arial" w:cs="Arial" w:eastAsia="Arial" w:hAnsi="Arial"/>
                <w:sz w:val="16"/>
                <w:szCs w:val="16"/>
                <w:b w:val="1"/>
                <w:bCs w:val="1"/>
                <w:color w:val="auto"/>
              </w:rPr>
              <w:t>Fixed</w:t>
            </w:r>
          </w:p>
        </w:tc>
        <w:tc>
          <w:tcPr>
            <w:tcW w:w="14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Arial" w:cs="Arial" w:eastAsia="Arial" w:hAnsi="Arial"/>
                <w:sz w:val="16"/>
                <w:szCs w:val="16"/>
                <w:b w:val="1"/>
                <w:bCs w:val="1"/>
                <w:color w:val="auto"/>
              </w:rPr>
              <w:t>Variable</w:t>
            </w:r>
          </w:p>
        </w:tc>
        <w:tc>
          <w:tcPr>
            <w:tcW w:w="180" w:type="dxa"/>
            <w:vAlign w:val="bottom"/>
          </w:tcPr>
          <w:p>
            <w:pPr>
              <w:spacing w:after="0"/>
              <w:rPr>
                <w:sz w:val="20"/>
                <w:szCs w:val="20"/>
                <w:color w:val="auto"/>
              </w:rPr>
            </w:pPr>
          </w:p>
        </w:tc>
        <w:tc>
          <w:tcPr>
            <w:tcW w:w="780" w:type="dxa"/>
            <w:vAlign w:val="bottom"/>
          </w:tcPr>
          <w:p>
            <w:pPr>
              <w:jc w:val="right"/>
              <w:ind w:right="179"/>
              <w:spacing w:after="0"/>
              <w:rPr>
                <w:sz w:val="20"/>
                <w:szCs w:val="20"/>
                <w:color w:val="auto"/>
              </w:rPr>
            </w:pPr>
            <w:r>
              <w:rPr>
                <w:rFonts w:ascii="Arial" w:cs="Arial" w:eastAsia="Arial" w:hAnsi="Arial"/>
                <w:sz w:val="16"/>
                <w:szCs w:val="16"/>
                <w:b w:val="1"/>
                <w:bCs w:val="1"/>
                <w:color w:val="auto"/>
              </w:rPr>
              <w:t>Fixed</w:t>
            </w:r>
          </w:p>
        </w:tc>
        <w:tc>
          <w:tcPr>
            <w:tcW w:w="200" w:type="dxa"/>
            <w:vAlign w:val="bottom"/>
          </w:tcPr>
          <w:p>
            <w:pPr>
              <w:spacing w:after="0"/>
              <w:rPr>
                <w:sz w:val="20"/>
                <w:szCs w:val="20"/>
                <w:color w:val="auto"/>
              </w:rPr>
            </w:pPr>
          </w:p>
        </w:tc>
        <w:tc>
          <w:tcPr>
            <w:tcW w:w="1300" w:type="dxa"/>
            <w:vAlign w:val="bottom"/>
          </w:tcPr>
          <w:p>
            <w:pPr>
              <w:jc w:val="right"/>
              <w:ind w:right="359"/>
              <w:spacing w:after="0"/>
              <w:rPr>
                <w:sz w:val="20"/>
                <w:szCs w:val="20"/>
                <w:color w:val="auto"/>
              </w:rPr>
            </w:pPr>
            <w:r>
              <w:rPr>
                <w:rFonts w:ascii="Arial" w:cs="Arial" w:eastAsia="Arial" w:hAnsi="Arial"/>
                <w:sz w:val="16"/>
                <w:szCs w:val="16"/>
                <w:b w:val="1"/>
                <w:bCs w:val="1"/>
                <w:color w:val="auto"/>
              </w:rPr>
              <w:t>Variable</w:t>
            </w:r>
          </w:p>
        </w:tc>
        <w:tc>
          <w:tcPr>
            <w:tcW w:w="940" w:type="dxa"/>
            <w:vAlign w:val="bottom"/>
          </w:tcPr>
          <w:p>
            <w:pPr>
              <w:jc w:val="right"/>
              <w:ind w:right="239"/>
              <w:spacing w:after="0"/>
              <w:rPr>
                <w:sz w:val="20"/>
                <w:szCs w:val="20"/>
                <w:color w:val="auto"/>
              </w:rPr>
            </w:pPr>
            <w:r>
              <w:rPr>
                <w:rFonts w:ascii="Arial" w:cs="Arial" w:eastAsia="Arial" w:hAnsi="Arial"/>
                <w:sz w:val="16"/>
                <w:szCs w:val="16"/>
                <w:b w:val="1"/>
                <w:bCs w:val="1"/>
                <w:color w:val="auto"/>
              </w:rPr>
              <w:t>Fixed</w:t>
            </w:r>
          </w:p>
        </w:tc>
      </w:tr>
      <w:tr>
        <w:trPr>
          <w:trHeight w:val="236"/>
        </w:trPr>
        <w:tc>
          <w:tcPr>
            <w:tcW w:w="19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gridSpan w:val="5"/>
          </w:tcPr>
          <w:p>
            <w:pPr>
              <w:ind w:left="60"/>
              <w:spacing w:after="0"/>
              <w:rPr>
                <w:sz w:val="20"/>
                <w:szCs w:val="20"/>
                <w:color w:val="auto"/>
              </w:rPr>
            </w:pPr>
            <w:r>
              <w:rPr>
                <w:rFonts w:ascii="Arial" w:cs="Arial" w:eastAsia="Arial" w:hAnsi="Arial"/>
                <w:sz w:val="16"/>
                <w:szCs w:val="16"/>
                <w:b w:val="1"/>
                <w:bCs w:val="1"/>
                <w:color w:val="auto"/>
              </w:rPr>
              <w:t>(dollars in thousands)</w:t>
            </w: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247"/>
        </w:trPr>
        <w:tc>
          <w:tcPr>
            <w:tcW w:w="212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Rates</w:t>
            </w: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204,743</w:t>
            </w:r>
          </w:p>
        </w:tc>
        <w:tc>
          <w:tcPr>
            <w:tcW w:w="440" w:type="dxa"/>
            <w:vAlign w:val="bottom"/>
            <w:gridSpan w:val="3"/>
            <w:shd w:val="clear" w:color="auto" w:fill="D5DCE4"/>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69,774</w:t>
            </w:r>
          </w:p>
        </w:tc>
        <w:tc>
          <w:tcPr>
            <w:tcW w:w="140" w:type="dxa"/>
            <w:vAlign w:val="bottom"/>
            <w:shd w:val="clear" w:color="auto" w:fill="D5DCE4"/>
          </w:tcPr>
          <w:p>
            <w:pPr>
              <w:spacing w:after="0"/>
              <w:rPr>
                <w:sz w:val="21"/>
                <w:szCs w:val="21"/>
                <w:color w:val="auto"/>
              </w:rPr>
            </w:pPr>
          </w:p>
        </w:tc>
        <w:tc>
          <w:tcPr>
            <w:tcW w:w="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157,636</w:t>
            </w:r>
          </w:p>
        </w:tc>
        <w:tc>
          <w:tcPr>
            <w:tcW w:w="440" w:type="dxa"/>
            <w:vAlign w:val="bottom"/>
            <w:gridSpan w:val="3"/>
            <w:shd w:val="clear" w:color="auto" w:fill="D5DCE4"/>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59,895</w:t>
            </w:r>
          </w:p>
        </w:tc>
        <w:tc>
          <w:tcPr>
            <w:tcW w:w="180" w:type="dxa"/>
            <w:vAlign w:val="bottom"/>
            <w:shd w:val="clear" w:color="auto" w:fill="D5DCE4"/>
          </w:tcPr>
          <w:p>
            <w:pPr>
              <w:spacing w:after="0"/>
              <w:rPr>
                <w:sz w:val="21"/>
                <w:szCs w:val="21"/>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47,107</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9,879</w:t>
            </w:r>
          </w:p>
        </w:tc>
        <w:tc>
          <w:tcPr>
            <w:tcW w:w="1500" w:type="dxa"/>
            <w:vAlign w:val="bottom"/>
            <w:gridSpan w:val="2"/>
            <w:shd w:val="clear" w:color="auto" w:fill="D5DCE4"/>
          </w:tcPr>
          <w:p>
            <w:pPr>
              <w:jc w:val="right"/>
              <w:ind w:right="139"/>
              <w:spacing w:after="0"/>
              <w:rPr>
                <w:sz w:val="20"/>
                <w:szCs w:val="20"/>
                <w:color w:val="auto"/>
              </w:rPr>
            </w:pPr>
            <w:r>
              <w:rPr>
                <w:rFonts w:ascii="Arial" w:cs="Arial" w:eastAsia="Arial" w:hAnsi="Arial"/>
                <w:sz w:val="16"/>
                <w:szCs w:val="16"/>
                <w:color w:val="auto"/>
              </w:rPr>
              <w:t>29.9 %</w:t>
            </w:r>
          </w:p>
        </w:tc>
        <w:tc>
          <w:tcPr>
            <w:tcW w:w="9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16.5 %</w:t>
            </w:r>
          </w:p>
        </w:tc>
      </w:tr>
      <w:tr>
        <w:trPr>
          <w:trHeight w:val="235"/>
        </w:trPr>
        <w:tc>
          <w:tcPr>
            <w:tcW w:w="2120" w:type="dxa"/>
            <w:vAlign w:val="bottom"/>
            <w:gridSpan w:val="2"/>
          </w:tcPr>
          <w:p>
            <w:pPr>
              <w:ind w:left="20"/>
              <w:spacing w:after="0"/>
              <w:rPr>
                <w:sz w:val="20"/>
                <w:szCs w:val="20"/>
                <w:color w:val="auto"/>
              </w:rPr>
            </w:pPr>
            <w:r>
              <w:rPr>
                <w:rFonts w:ascii="Arial" w:cs="Arial" w:eastAsia="Arial" w:hAnsi="Arial"/>
                <w:sz w:val="16"/>
                <w:szCs w:val="16"/>
                <w:color w:val="auto"/>
              </w:rPr>
              <w:t>Credit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106,956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17,339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102,785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8,539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4,171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8,800</w:t>
            </w:r>
          </w:p>
        </w:tc>
        <w:tc>
          <w:tcPr>
            <w:tcW w:w="1500" w:type="dxa"/>
            <w:vAlign w:val="bottom"/>
            <w:gridSpan w:val="2"/>
          </w:tcPr>
          <w:p>
            <w:pPr>
              <w:jc w:val="right"/>
              <w:ind w:right="139"/>
              <w:spacing w:after="0"/>
              <w:rPr>
                <w:sz w:val="20"/>
                <w:szCs w:val="20"/>
                <w:color w:val="auto"/>
              </w:rPr>
            </w:pPr>
            <w:r>
              <w:rPr>
                <w:rFonts w:ascii="Arial" w:cs="Arial" w:eastAsia="Arial" w:hAnsi="Arial"/>
                <w:sz w:val="16"/>
                <w:szCs w:val="16"/>
                <w:color w:val="auto"/>
              </w:rPr>
              <w:t>4.1 %</w:t>
            </w:r>
          </w:p>
        </w:tc>
        <w:tc>
          <w:tcPr>
            <w:tcW w:w="940" w:type="dxa"/>
            <w:vAlign w:val="bottom"/>
          </w:tcPr>
          <w:p>
            <w:pPr>
              <w:jc w:val="right"/>
              <w:spacing w:after="0"/>
              <w:rPr>
                <w:sz w:val="20"/>
                <w:szCs w:val="20"/>
                <w:color w:val="auto"/>
              </w:rPr>
            </w:pPr>
            <w:r>
              <w:rPr>
                <w:rFonts w:ascii="Arial" w:cs="Arial" w:eastAsia="Arial" w:hAnsi="Arial"/>
                <w:sz w:val="16"/>
                <w:szCs w:val="16"/>
                <w:color w:val="auto"/>
              </w:rPr>
              <w:t>103.1 %</w:t>
            </w:r>
          </w:p>
        </w:tc>
      </w:tr>
      <w:tr>
        <w:trPr>
          <w:trHeight w:val="251"/>
        </w:trPr>
        <w:tc>
          <w:tcPr>
            <w:tcW w:w="212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Equities</w:t>
            </w:r>
          </w:p>
        </w:tc>
        <w:tc>
          <w:tcPr>
            <w:tcW w:w="14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31,893</w:t>
            </w:r>
          </w:p>
        </w:tc>
        <w:tc>
          <w:tcPr>
            <w:tcW w:w="6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2,359</w:t>
            </w:r>
          </w:p>
        </w:tc>
        <w:tc>
          <w:tcPr>
            <w:tcW w:w="14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7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20,602</w:t>
            </w:r>
          </w:p>
        </w:tc>
        <w:tc>
          <w:tcPr>
            <w:tcW w:w="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2,269</w:t>
            </w:r>
          </w:p>
        </w:tc>
        <w:tc>
          <w:tcPr>
            <w:tcW w:w="18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11,291</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90</w:t>
            </w:r>
          </w:p>
        </w:tc>
        <w:tc>
          <w:tcPr>
            <w:tcW w:w="1500" w:type="dxa"/>
            <w:vAlign w:val="bottom"/>
            <w:gridSpan w:val="2"/>
            <w:shd w:val="clear" w:color="auto" w:fill="D5DCE4"/>
          </w:tcPr>
          <w:p>
            <w:pPr>
              <w:jc w:val="right"/>
              <w:ind w:right="139"/>
              <w:spacing w:after="0"/>
              <w:rPr>
                <w:sz w:val="20"/>
                <w:szCs w:val="20"/>
                <w:color w:val="auto"/>
              </w:rPr>
            </w:pPr>
            <w:r>
              <w:rPr>
                <w:rFonts w:ascii="Arial" w:cs="Arial" w:eastAsia="Arial" w:hAnsi="Arial"/>
                <w:sz w:val="16"/>
                <w:szCs w:val="16"/>
                <w:color w:val="auto"/>
              </w:rPr>
              <w:t>54.8 %</w:t>
            </w:r>
          </w:p>
        </w:tc>
        <w:tc>
          <w:tcPr>
            <w:tcW w:w="9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4.0 %</w:t>
            </w:r>
          </w:p>
        </w:tc>
      </w:tr>
      <w:tr>
        <w:trPr>
          <w:trHeight w:val="235"/>
        </w:trPr>
        <w:tc>
          <w:tcPr>
            <w:tcW w:w="2120" w:type="dxa"/>
            <w:vAlign w:val="bottom"/>
            <w:gridSpan w:val="2"/>
          </w:tcPr>
          <w:p>
            <w:pPr>
              <w:ind w:left="20"/>
              <w:spacing w:after="0"/>
              <w:rPr>
                <w:sz w:val="20"/>
                <w:szCs w:val="20"/>
                <w:color w:val="auto"/>
              </w:rPr>
            </w:pPr>
            <w:r>
              <w:rPr>
                <w:rFonts w:ascii="Arial" w:cs="Arial" w:eastAsia="Arial" w:hAnsi="Arial"/>
                <w:sz w:val="16"/>
                <w:szCs w:val="16"/>
                <w:color w:val="auto"/>
              </w:rPr>
              <w:t>Money Markets</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37,287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4,349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13,695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4,350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23,592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1500" w:type="dxa"/>
            <w:vAlign w:val="bottom"/>
            <w:gridSpan w:val="2"/>
          </w:tcPr>
          <w:p>
            <w:pPr>
              <w:jc w:val="right"/>
              <w:ind w:right="139"/>
              <w:spacing w:after="0"/>
              <w:rPr>
                <w:sz w:val="20"/>
                <w:szCs w:val="20"/>
                <w:color w:val="auto"/>
              </w:rPr>
            </w:pPr>
            <w:r>
              <w:rPr>
                <w:rFonts w:ascii="Arial" w:cs="Arial" w:eastAsia="Arial" w:hAnsi="Arial"/>
                <w:sz w:val="16"/>
                <w:szCs w:val="16"/>
                <w:color w:val="auto"/>
              </w:rPr>
              <w:t>172.3 %</w:t>
            </w:r>
          </w:p>
        </w:tc>
        <w:tc>
          <w:tcPr>
            <w:tcW w:w="9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51"/>
        </w:trPr>
        <w:tc>
          <w:tcPr>
            <w:tcW w:w="212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Market Data</w:t>
            </w:r>
          </w:p>
        </w:tc>
        <w:tc>
          <w:tcPr>
            <w:tcW w:w="14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109</w:t>
            </w:r>
          </w:p>
        </w:tc>
        <w:tc>
          <w:tcPr>
            <w:tcW w:w="6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30,308</w:t>
            </w:r>
          </w:p>
        </w:tc>
        <w:tc>
          <w:tcPr>
            <w:tcW w:w="14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7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132</w:t>
            </w:r>
          </w:p>
        </w:tc>
        <w:tc>
          <w:tcPr>
            <w:tcW w:w="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29,095</w:t>
            </w:r>
          </w:p>
        </w:tc>
        <w:tc>
          <w:tcPr>
            <w:tcW w:w="18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(23)</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1,213</w:t>
            </w:r>
          </w:p>
        </w:tc>
        <w:tc>
          <w:tcPr>
            <w:tcW w:w="1500" w:type="dxa"/>
            <w:vAlign w:val="bottom"/>
            <w:gridSpan w:val="2"/>
            <w:shd w:val="clear" w:color="auto" w:fill="D5DCE4"/>
          </w:tcPr>
          <w:p>
            <w:pPr>
              <w:jc w:val="right"/>
              <w:ind w:right="139"/>
              <w:spacing w:after="0"/>
              <w:rPr>
                <w:sz w:val="20"/>
                <w:szCs w:val="20"/>
                <w:color w:val="auto"/>
              </w:rPr>
            </w:pPr>
            <w:r>
              <w:rPr>
                <w:rFonts w:ascii="Arial" w:cs="Arial" w:eastAsia="Arial" w:hAnsi="Arial"/>
                <w:sz w:val="16"/>
                <w:szCs w:val="16"/>
                <w:color w:val="auto"/>
              </w:rPr>
              <w:t>(17.4)%</w:t>
            </w:r>
          </w:p>
        </w:tc>
        <w:tc>
          <w:tcPr>
            <w:tcW w:w="9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4.2 %</w:t>
            </w:r>
          </w:p>
        </w:tc>
      </w:tr>
      <w:tr>
        <w:trPr>
          <w:trHeight w:val="237"/>
        </w:trPr>
        <w:tc>
          <w:tcPr>
            <w:tcW w:w="2120" w:type="dxa"/>
            <w:vAlign w:val="bottom"/>
            <w:tcBorders>
              <w:bottom w:val="single" w:sz="8" w:color="D5DCE4"/>
            </w:tcBorders>
            <w:gridSpan w:val="2"/>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1,875</w:t>
            </w: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D5DCE4"/>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5,979</w:t>
            </w:r>
          </w:p>
        </w:tc>
        <w:tc>
          <w:tcPr>
            <w:tcW w:w="140" w:type="dxa"/>
            <w:vAlign w:val="bottom"/>
            <w:tcBorders>
              <w:bottom w:val="single" w:sz="8" w:color="D5DCE4"/>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D5DCE4"/>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5,953</w:t>
            </w:r>
          </w:p>
        </w:tc>
        <w:tc>
          <w:tcPr>
            <w:tcW w:w="180" w:type="dxa"/>
            <w:vAlign w:val="bottom"/>
            <w:tcBorders>
              <w:bottom w:val="single" w:sz="8" w:color="D5DCE4"/>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1,875</w:t>
            </w:r>
          </w:p>
        </w:tc>
        <w:tc>
          <w:tcPr>
            <w:tcW w:w="80" w:type="dxa"/>
            <w:vAlign w:val="bottom"/>
            <w:tcBorders>
              <w:bottom w:val="single" w:sz="8" w:color="D5DCE4"/>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200" w:type="dxa"/>
            <w:vAlign w:val="bottom"/>
            <w:tcBorders>
              <w:bottom w:val="single" w:sz="8" w:color="D5DCE4"/>
            </w:tcBorders>
          </w:tcPr>
          <w:p>
            <w:pPr>
              <w:spacing w:after="0"/>
              <w:rPr>
                <w:sz w:val="20"/>
                <w:szCs w:val="20"/>
                <w:color w:val="auto"/>
              </w:rPr>
            </w:pPr>
          </w:p>
        </w:tc>
        <w:tc>
          <w:tcPr>
            <w:tcW w:w="1300" w:type="dxa"/>
            <w:vAlign w:val="bottom"/>
            <w:tcBorders>
              <w:bottom w:val="single" w:sz="8" w:color="D5DCE4"/>
            </w:tcBorders>
          </w:tcPr>
          <w:p>
            <w:pPr>
              <w:jc w:val="right"/>
              <w:ind w:right="139"/>
              <w:spacing w:after="0"/>
              <w:rPr>
                <w:sz w:val="20"/>
                <w:szCs w:val="20"/>
                <w:color w:val="auto"/>
              </w:rPr>
            </w:pPr>
            <w:r>
              <w:rPr>
                <w:rFonts w:ascii="Arial" w:cs="Arial" w:eastAsia="Arial" w:hAnsi="Arial"/>
                <w:sz w:val="16"/>
                <w:szCs w:val="16"/>
                <w:color w:val="auto"/>
              </w:rPr>
              <w:t>N/M</w:t>
            </w:r>
          </w:p>
        </w:tc>
        <w:tc>
          <w:tcPr>
            <w:tcW w:w="940" w:type="dxa"/>
            <w:vAlign w:val="bottom"/>
            <w:tcBorders>
              <w:bottom w:val="single" w:sz="8" w:color="D5DCE4"/>
            </w:tcBorders>
          </w:tcPr>
          <w:p>
            <w:pPr>
              <w:jc w:val="right"/>
              <w:spacing w:after="0"/>
              <w:rPr>
                <w:sz w:val="20"/>
                <w:szCs w:val="20"/>
                <w:color w:val="auto"/>
              </w:rPr>
            </w:pPr>
            <w:r>
              <w:rPr>
                <w:rFonts w:ascii="Arial" w:cs="Arial" w:eastAsia="Arial" w:hAnsi="Arial"/>
                <w:sz w:val="16"/>
                <w:szCs w:val="16"/>
                <w:color w:val="auto"/>
              </w:rPr>
              <w:t>0.4 %</w:t>
            </w:r>
          </w:p>
        </w:tc>
      </w:tr>
      <w:tr>
        <w:trPr>
          <w:trHeight w:val="263"/>
        </w:trPr>
        <w:tc>
          <w:tcPr>
            <w:tcW w:w="212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Total revenue</w:t>
            </w: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382,863</w:t>
            </w:r>
          </w:p>
        </w:tc>
        <w:tc>
          <w:tcPr>
            <w:tcW w:w="440" w:type="dxa"/>
            <w:vAlign w:val="bottom"/>
            <w:gridSpan w:val="3"/>
            <w:shd w:val="clear" w:color="auto" w:fill="D5DCE4"/>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130,108</w:t>
            </w:r>
          </w:p>
        </w:tc>
        <w:tc>
          <w:tcPr>
            <w:tcW w:w="140" w:type="dxa"/>
            <w:vAlign w:val="bottom"/>
            <w:shd w:val="clear" w:color="auto" w:fill="D5DCE4"/>
          </w:tcPr>
          <w:p>
            <w:pPr>
              <w:spacing w:after="0"/>
              <w:rPr>
                <w:sz w:val="22"/>
                <w:szCs w:val="22"/>
                <w:color w:val="auto"/>
              </w:rPr>
            </w:pPr>
          </w:p>
        </w:tc>
        <w:tc>
          <w:tcPr>
            <w:tcW w:w="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294,850</w:t>
            </w:r>
          </w:p>
        </w:tc>
        <w:tc>
          <w:tcPr>
            <w:tcW w:w="440" w:type="dxa"/>
            <w:vAlign w:val="bottom"/>
            <w:gridSpan w:val="3"/>
            <w:shd w:val="clear" w:color="auto" w:fill="D5DCE4"/>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110,101</w:t>
            </w:r>
          </w:p>
        </w:tc>
        <w:tc>
          <w:tcPr>
            <w:tcW w:w="180" w:type="dxa"/>
            <w:vAlign w:val="bottom"/>
            <w:shd w:val="clear" w:color="auto" w:fill="D5DCE4"/>
          </w:tcPr>
          <w:p>
            <w:pPr>
              <w:spacing w:after="0"/>
              <w:rPr>
                <w:sz w:val="22"/>
                <w:szCs w:val="22"/>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88,013</w:t>
            </w:r>
          </w:p>
        </w:tc>
        <w:tc>
          <w:tcPr>
            <w:tcW w:w="80" w:type="dxa"/>
            <w:vAlign w:val="bottom"/>
            <w:shd w:val="clear" w:color="auto" w:fill="D5DCE4"/>
          </w:tcPr>
          <w:p>
            <w:pPr>
              <w:spacing w:after="0"/>
              <w:rPr>
                <w:sz w:val="22"/>
                <w:szCs w:val="22"/>
                <w:color w:val="auto"/>
              </w:rPr>
            </w:pPr>
          </w:p>
        </w:tc>
        <w:tc>
          <w:tcPr>
            <w:tcW w:w="18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20,007</w:t>
            </w:r>
          </w:p>
        </w:tc>
        <w:tc>
          <w:tcPr>
            <w:tcW w:w="1500" w:type="dxa"/>
            <w:vAlign w:val="bottom"/>
            <w:gridSpan w:val="2"/>
            <w:shd w:val="clear" w:color="auto" w:fill="D5DCE4"/>
          </w:tcPr>
          <w:p>
            <w:pPr>
              <w:jc w:val="right"/>
              <w:ind w:right="139"/>
              <w:spacing w:after="0"/>
              <w:rPr>
                <w:sz w:val="20"/>
                <w:szCs w:val="20"/>
                <w:color w:val="auto"/>
              </w:rPr>
            </w:pPr>
            <w:r>
              <w:rPr>
                <w:rFonts w:ascii="Arial" w:cs="Arial" w:eastAsia="Arial" w:hAnsi="Arial"/>
                <w:sz w:val="16"/>
                <w:szCs w:val="16"/>
                <w:color w:val="auto"/>
              </w:rPr>
              <w:t>29.9 %</w:t>
            </w:r>
          </w:p>
        </w:tc>
        <w:tc>
          <w:tcPr>
            <w:tcW w:w="9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18.2 %</w:t>
            </w:r>
          </w:p>
        </w:tc>
      </w:tr>
      <w:tr>
        <w:trPr>
          <w:trHeight w:val="20"/>
        </w:trPr>
        <w:tc>
          <w:tcPr>
            <w:tcW w:w="1920" w:type="dxa"/>
            <w:vAlign w:val="bottom"/>
            <w:tcBorders>
              <w:top w:val="single" w:sz="8" w:color="D5DCE4"/>
            </w:tcBorders>
          </w:tcPr>
          <w:p>
            <w:pPr>
              <w:spacing w:after="0" w:line="20" w:lineRule="exact"/>
              <w:rPr>
                <w:sz w:val="1"/>
                <w:szCs w:val="1"/>
                <w:color w:val="auto"/>
              </w:rPr>
            </w:pPr>
          </w:p>
        </w:tc>
        <w:tc>
          <w:tcPr>
            <w:tcW w:w="20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5DCE4"/>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5DCE4"/>
            </w:tcBorders>
          </w:tcPr>
          <w:p>
            <w:pPr>
              <w:spacing w:after="0" w:line="20" w:lineRule="exact"/>
              <w:rPr>
                <w:sz w:val="1"/>
                <w:szCs w:val="1"/>
                <w:color w:val="auto"/>
              </w:rPr>
            </w:pPr>
          </w:p>
        </w:tc>
        <w:tc>
          <w:tcPr>
            <w:tcW w:w="1300" w:type="dxa"/>
            <w:vAlign w:val="bottom"/>
            <w:tcBorders>
              <w:top w:val="single" w:sz="8" w:color="D5DCE4"/>
            </w:tcBorders>
          </w:tcPr>
          <w:p>
            <w:pPr>
              <w:spacing w:after="0" w:line="20" w:lineRule="exact"/>
              <w:rPr>
                <w:sz w:val="1"/>
                <w:szCs w:val="1"/>
                <w:color w:val="auto"/>
              </w:rPr>
            </w:pPr>
          </w:p>
        </w:tc>
        <w:tc>
          <w:tcPr>
            <w:tcW w:w="940" w:type="dxa"/>
            <w:vAlign w:val="bottom"/>
            <w:tcBorders>
              <w:top w:val="single" w:sz="8" w:color="D5DCE4"/>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8</w:t>
      </w:r>
    </w:p>
    <w:p>
      <w:pPr>
        <w:sectPr>
          <w:pgSz w:w="11900" w:h="16838" w:orient="portrait"/>
          <w:cols w:equalWidth="0" w:num="1">
            <w:col w:w="11240"/>
          </w:cols>
          <w:pgMar w:left="320" w:top="773"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AVERAGE VARIABLE FEES PER MILLION DOLLARS OF VOLUME (UNAUDITED)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2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1620" w:type="dxa"/>
            <w:vAlign w:val="bottom"/>
          </w:tcPr>
          <w:p>
            <w:pPr>
              <w:spacing w:after="0"/>
              <w:rPr>
                <w:sz w:val="19"/>
                <w:szCs w:val="19"/>
                <w:color w:val="auto"/>
              </w:rPr>
            </w:pPr>
          </w:p>
        </w:tc>
      </w:tr>
      <w:tr>
        <w:trPr>
          <w:trHeight w:val="244"/>
        </w:trPr>
        <w:tc>
          <w:tcPr>
            <w:tcW w:w="64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20" w:type="dxa"/>
            <w:vAlign w:val="bottom"/>
          </w:tcPr>
          <w:p>
            <w:pPr>
              <w:jc w:val="right"/>
              <w:ind w:right="579"/>
              <w:spacing w:after="0"/>
              <w:rPr>
                <w:sz w:val="20"/>
                <w:szCs w:val="20"/>
                <w:color w:val="auto"/>
              </w:rPr>
            </w:pPr>
            <w:r>
              <w:rPr>
                <w:rFonts w:ascii="Arial" w:cs="Arial" w:eastAsia="Arial" w:hAnsi="Arial"/>
                <w:sz w:val="16"/>
                <w:szCs w:val="16"/>
                <w:b w:val="1"/>
                <w:bCs w:val="1"/>
                <w:color w:val="auto"/>
              </w:rPr>
              <w:t>YoY</w:t>
            </w:r>
          </w:p>
        </w:tc>
      </w:tr>
      <w:tr>
        <w:trPr>
          <w:trHeight w:val="239"/>
        </w:trPr>
        <w:tc>
          <w:tcPr>
            <w:tcW w:w="6460" w:type="dxa"/>
            <w:vAlign w:val="bottom"/>
            <w:tcBorders>
              <w:bottom w:val="single" w:sz="8" w:color="D5DCE4"/>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D5DCE4"/>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D5DCE4"/>
            </w:tcBorders>
          </w:tcPr>
          <w:p>
            <w:pPr>
              <w:spacing w:after="0"/>
              <w:rPr>
                <w:sz w:val="20"/>
                <w:szCs w:val="20"/>
                <w:color w:val="auto"/>
              </w:rPr>
            </w:pPr>
          </w:p>
        </w:tc>
        <w:tc>
          <w:tcPr>
            <w:tcW w:w="16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 Change</w:t>
            </w:r>
          </w:p>
        </w:tc>
      </w:tr>
      <w:tr>
        <w:trPr>
          <w:trHeight w:val="240"/>
        </w:trPr>
        <w:tc>
          <w:tcPr>
            <w:tcW w:w="64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Rates</w:t>
            </w: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2.29</w:t>
            </w:r>
          </w:p>
        </w:tc>
        <w:tc>
          <w:tcPr>
            <w:tcW w:w="80" w:type="dxa"/>
            <w:vAlign w:val="bottom"/>
            <w:shd w:val="clear" w:color="auto" w:fill="D5DCE4"/>
          </w:tcPr>
          <w:p>
            <w:pPr>
              <w:spacing w:after="0"/>
              <w:rPr>
                <w:sz w:val="20"/>
                <w:szCs w:val="20"/>
                <w:color w:val="auto"/>
              </w:rPr>
            </w:pPr>
          </w:p>
        </w:tc>
        <w:tc>
          <w:tcPr>
            <w:tcW w:w="420" w:type="dxa"/>
            <w:vAlign w:val="bottom"/>
            <w:shd w:val="clear" w:color="auto" w:fill="D5DCE4"/>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2.00</w:t>
            </w:r>
          </w:p>
        </w:tc>
        <w:tc>
          <w:tcPr>
            <w:tcW w:w="80" w:type="dxa"/>
            <w:vAlign w:val="bottom"/>
            <w:shd w:val="clear" w:color="auto" w:fill="D5DCE4"/>
          </w:tcPr>
          <w:p>
            <w:pPr>
              <w:spacing w:after="0"/>
              <w:rPr>
                <w:sz w:val="20"/>
                <w:szCs w:val="20"/>
                <w:color w:val="auto"/>
              </w:rPr>
            </w:pPr>
          </w:p>
        </w:tc>
        <w:tc>
          <w:tcPr>
            <w:tcW w:w="16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14.2 %</w:t>
            </w:r>
          </w:p>
        </w:tc>
      </w:tr>
      <w:tr>
        <w:trPr>
          <w:trHeight w:val="235"/>
        </w:trPr>
        <w:tc>
          <w:tcPr>
            <w:tcW w:w="6460" w:type="dxa"/>
            <w:vAlign w:val="bottom"/>
          </w:tcPr>
          <w:p>
            <w:pPr>
              <w:ind w:left="140"/>
              <w:spacing w:after="0"/>
              <w:rPr>
                <w:sz w:val="20"/>
                <w:szCs w:val="20"/>
                <w:color w:val="auto"/>
              </w:rPr>
            </w:pPr>
            <w:r>
              <w:rPr>
                <w:rFonts w:ascii="Arial" w:cs="Arial" w:eastAsia="Arial" w:hAnsi="Arial"/>
                <w:sz w:val="16"/>
                <w:szCs w:val="16"/>
                <w:color w:val="auto"/>
              </w:rPr>
              <w:t>Rates Cash</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2.36</w:t>
            </w:r>
          </w:p>
        </w:tc>
        <w:tc>
          <w:tcPr>
            <w:tcW w:w="8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2.54</w:t>
            </w:r>
          </w:p>
        </w:tc>
        <w:tc>
          <w:tcPr>
            <w:tcW w:w="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51"/>
        </w:trPr>
        <w:tc>
          <w:tcPr>
            <w:tcW w:w="6460" w:type="dxa"/>
            <w:vAlign w:val="bottom"/>
            <w:shd w:val="clear" w:color="auto" w:fill="D5DCE4"/>
          </w:tcPr>
          <w:p>
            <w:pPr>
              <w:ind w:left="140"/>
              <w:spacing w:after="0"/>
              <w:rPr>
                <w:sz w:val="20"/>
                <w:szCs w:val="20"/>
                <w:color w:val="auto"/>
              </w:rPr>
            </w:pPr>
            <w:r>
              <w:rPr>
                <w:rFonts w:ascii="Arial" w:cs="Arial" w:eastAsia="Arial" w:hAnsi="Arial"/>
                <w:sz w:val="16"/>
                <w:szCs w:val="16"/>
                <w:color w:val="auto"/>
              </w:rPr>
              <w:t>Rates Derivatives</w:t>
            </w: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2.24</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1.69</w:t>
            </w:r>
          </w:p>
        </w:tc>
        <w:tc>
          <w:tcPr>
            <w:tcW w:w="80" w:type="dxa"/>
            <w:vAlign w:val="bottom"/>
            <w:shd w:val="clear" w:color="auto" w:fill="D5DCE4"/>
          </w:tcPr>
          <w:p>
            <w:pPr>
              <w:spacing w:after="0"/>
              <w:rPr>
                <w:sz w:val="21"/>
                <w:szCs w:val="21"/>
                <w:color w:val="auto"/>
              </w:rPr>
            </w:pPr>
          </w:p>
        </w:tc>
        <w:tc>
          <w:tcPr>
            <w:tcW w:w="16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32.9 %</w:t>
            </w:r>
          </w:p>
        </w:tc>
      </w:tr>
      <w:tr>
        <w:trPr>
          <w:trHeight w:val="235"/>
        </w:trPr>
        <w:tc>
          <w:tcPr>
            <w:tcW w:w="6460" w:type="dxa"/>
            <w:vAlign w:val="bottom"/>
          </w:tcPr>
          <w:p>
            <w:pPr>
              <w:ind w:left="240"/>
              <w:spacing w:after="0"/>
              <w:rPr>
                <w:sz w:val="20"/>
                <w:szCs w:val="20"/>
                <w:color w:val="auto"/>
              </w:rPr>
            </w:pPr>
            <w:r>
              <w:rPr>
                <w:rFonts w:ascii="Arial" w:cs="Arial" w:eastAsia="Arial" w:hAnsi="Arial"/>
                <w:sz w:val="16"/>
                <w:szCs w:val="16"/>
                <w:color w:val="auto"/>
              </w:rPr>
              <w:t>Rates Derivatives (greater than 1 year)</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3.79</w:t>
            </w:r>
          </w:p>
        </w:tc>
        <w:tc>
          <w:tcPr>
            <w:tcW w:w="8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2.71</w:t>
            </w:r>
          </w:p>
        </w:tc>
        <w:tc>
          <w:tcPr>
            <w:tcW w:w="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40.1 %</w:t>
            </w:r>
          </w:p>
        </w:tc>
      </w:tr>
      <w:tr>
        <w:trPr>
          <w:trHeight w:val="251"/>
        </w:trPr>
        <w:tc>
          <w:tcPr>
            <w:tcW w:w="6460" w:type="dxa"/>
            <w:vAlign w:val="bottom"/>
            <w:shd w:val="clear" w:color="auto" w:fill="D5DCE4"/>
          </w:tcPr>
          <w:p>
            <w:pPr>
              <w:ind w:left="240"/>
              <w:spacing w:after="0"/>
              <w:rPr>
                <w:sz w:val="20"/>
                <w:szCs w:val="20"/>
                <w:color w:val="auto"/>
              </w:rPr>
            </w:pPr>
            <w:r>
              <w:rPr>
                <w:rFonts w:ascii="Arial" w:cs="Arial" w:eastAsia="Arial" w:hAnsi="Arial"/>
                <w:sz w:val="16"/>
                <w:szCs w:val="16"/>
                <w:color w:val="auto"/>
              </w:rPr>
              <w:t xml:space="preserve">Other Rates Derivatives </w:t>
            </w:r>
            <w:r>
              <w:rPr>
                <w:rFonts w:ascii="Arial" w:cs="Arial" w:eastAsia="Arial" w:hAnsi="Arial"/>
                <w:sz w:val="21"/>
                <w:szCs w:val="21"/>
                <w:color w:val="auto"/>
                <w:vertAlign w:val="superscript"/>
              </w:rPr>
              <w:t>(1)</w:t>
            </w: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0.26</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0.20</w:t>
            </w:r>
          </w:p>
        </w:tc>
        <w:tc>
          <w:tcPr>
            <w:tcW w:w="80" w:type="dxa"/>
            <w:vAlign w:val="bottom"/>
            <w:shd w:val="clear" w:color="auto" w:fill="D5DCE4"/>
          </w:tcPr>
          <w:p>
            <w:pPr>
              <w:spacing w:after="0"/>
              <w:rPr>
                <w:sz w:val="21"/>
                <w:szCs w:val="21"/>
                <w:color w:val="auto"/>
              </w:rPr>
            </w:pPr>
          </w:p>
        </w:tc>
        <w:tc>
          <w:tcPr>
            <w:tcW w:w="16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27.9 %</w:t>
            </w:r>
          </w:p>
        </w:tc>
      </w:tr>
      <w:tr>
        <w:trPr>
          <w:trHeight w:val="216"/>
        </w:trPr>
        <w:tc>
          <w:tcPr>
            <w:tcW w:w="6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43"/>
        </w:trPr>
        <w:tc>
          <w:tcPr>
            <w:tcW w:w="64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Credit</w:t>
            </w: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45.82</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55.32</w:t>
            </w:r>
          </w:p>
        </w:tc>
        <w:tc>
          <w:tcPr>
            <w:tcW w:w="80" w:type="dxa"/>
            <w:vAlign w:val="bottom"/>
            <w:shd w:val="clear" w:color="auto" w:fill="D5DCE4"/>
          </w:tcPr>
          <w:p>
            <w:pPr>
              <w:spacing w:after="0"/>
              <w:rPr>
                <w:sz w:val="21"/>
                <w:szCs w:val="21"/>
                <w:color w:val="auto"/>
              </w:rPr>
            </w:pPr>
          </w:p>
        </w:tc>
        <w:tc>
          <w:tcPr>
            <w:tcW w:w="16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(17.2)%</w:t>
            </w:r>
          </w:p>
        </w:tc>
      </w:tr>
      <w:tr>
        <w:trPr>
          <w:trHeight w:val="243"/>
        </w:trPr>
        <w:tc>
          <w:tcPr>
            <w:tcW w:w="6460" w:type="dxa"/>
            <w:vAlign w:val="bottom"/>
          </w:tcPr>
          <w:p>
            <w:pPr>
              <w:ind w:left="140"/>
              <w:spacing w:after="0"/>
              <w:rPr>
                <w:sz w:val="20"/>
                <w:szCs w:val="20"/>
                <w:color w:val="auto"/>
              </w:rPr>
            </w:pPr>
            <w:r>
              <w:rPr>
                <w:rFonts w:ascii="Arial" w:cs="Arial" w:eastAsia="Arial" w:hAnsi="Arial"/>
                <w:sz w:val="16"/>
                <w:szCs w:val="16"/>
                <w:color w:val="auto"/>
              </w:rPr>
              <w:t xml:space="preserve">Cash Credit </w:t>
            </w:r>
            <w:r>
              <w:rPr>
                <w:rFonts w:ascii="Arial" w:cs="Arial" w:eastAsia="Arial" w:hAnsi="Arial"/>
                <w:sz w:val="21"/>
                <w:szCs w:val="21"/>
                <w:color w:val="auto"/>
                <w:vertAlign w:val="superscript"/>
              </w:rPr>
              <w:t>(2)</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128.76</w:t>
            </w:r>
          </w:p>
        </w:tc>
        <w:tc>
          <w:tcPr>
            <w:tcW w:w="80" w:type="dxa"/>
            <w:vAlign w:val="bottom"/>
          </w:tcPr>
          <w:p>
            <w:pPr>
              <w:spacing w:after="0"/>
              <w:rPr>
                <w:sz w:val="21"/>
                <w:szCs w:val="21"/>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145.04</w:t>
            </w: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243"/>
        </w:trPr>
        <w:tc>
          <w:tcPr>
            <w:tcW w:w="6460" w:type="dxa"/>
            <w:vAlign w:val="bottom"/>
            <w:shd w:val="clear" w:color="auto" w:fill="D5DCE4"/>
          </w:tcPr>
          <w:p>
            <w:pPr>
              <w:ind w:left="140"/>
              <w:spacing w:after="0"/>
              <w:rPr>
                <w:sz w:val="20"/>
                <w:szCs w:val="20"/>
                <w:color w:val="auto"/>
              </w:rPr>
            </w:pPr>
            <w:r>
              <w:rPr>
                <w:rFonts w:ascii="Arial" w:cs="Arial" w:eastAsia="Arial" w:hAnsi="Arial"/>
                <w:sz w:val="16"/>
                <w:szCs w:val="16"/>
                <w:color w:val="auto"/>
              </w:rPr>
              <w:t>Credit Derivatives, China Bonds and U.S. Cash EP</w:t>
            </w: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7.84</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7.76</w:t>
            </w:r>
          </w:p>
        </w:tc>
        <w:tc>
          <w:tcPr>
            <w:tcW w:w="80" w:type="dxa"/>
            <w:vAlign w:val="bottom"/>
            <w:shd w:val="clear" w:color="auto" w:fill="D5DCE4"/>
          </w:tcPr>
          <w:p>
            <w:pPr>
              <w:spacing w:after="0"/>
              <w:rPr>
                <w:sz w:val="21"/>
                <w:szCs w:val="21"/>
                <w:color w:val="auto"/>
              </w:rPr>
            </w:pPr>
          </w:p>
        </w:tc>
        <w:tc>
          <w:tcPr>
            <w:tcW w:w="16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1.0 %</w:t>
            </w:r>
          </w:p>
        </w:tc>
      </w:tr>
      <w:tr>
        <w:trPr>
          <w:trHeight w:val="216"/>
        </w:trPr>
        <w:tc>
          <w:tcPr>
            <w:tcW w:w="6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43"/>
        </w:trPr>
        <w:tc>
          <w:tcPr>
            <w:tcW w:w="64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Equities</w:t>
            </w: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18.68</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15.38</w:t>
            </w:r>
          </w:p>
        </w:tc>
        <w:tc>
          <w:tcPr>
            <w:tcW w:w="80" w:type="dxa"/>
            <w:vAlign w:val="bottom"/>
            <w:shd w:val="clear" w:color="auto" w:fill="D5DCE4"/>
          </w:tcPr>
          <w:p>
            <w:pPr>
              <w:spacing w:after="0"/>
              <w:rPr>
                <w:sz w:val="21"/>
                <w:szCs w:val="21"/>
                <w:color w:val="auto"/>
              </w:rPr>
            </w:pPr>
          </w:p>
        </w:tc>
        <w:tc>
          <w:tcPr>
            <w:tcW w:w="16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21.4 %</w:t>
            </w:r>
          </w:p>
        </w:tc>
      </w:tr>
      <w:tr>
        <w:trPr>
          <w:trHeight w:val="235"/>
        </w:trPr>
        <w:tc>
          <w:tcPr>
            <w:tcW w:w="6460" w:type="dxa"/>
            <w:vAlign w:val="bottom"/>
          </w:tcPr>
          <w:p>
            <w:pPr>
              <w:ind w:left="140"/>
              <w:spacing w:after="0"/>
              <w:rPr>
                <w:sz w:val="20"/>
                <w:szCs w:val="20"/>
                <w:color w:val="auto"/>
              </w:rPr>
            </w:pPr>
            <w:r>
              <w:rPr>
                <w:rFonts w:ascii="Arial" w:cs="Arial" w:eastAsia="Arial" w:hAnsi="Arial"/>
                <w:sz w:val="16"/>
                <w:szCs w:val="16"/>
                <w:color w:val="auto"/>
              </w:rPr>
              <w:t>Equities Cash</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30.54</w:t>
            </w:r>
          </w:p>
        </w:tc>
        <w:tc>
          <w:tcPr>
            <w:tcW w:w="8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26.50</w:t>
            </w:r>
          </w:p>
        </w:tc>
        <w:tc>
          <w:tcPr>
            <w:tcW w:w="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15.2 %</w:t>
            </w:r>
          </w:p>
        </w:tc>
      </w:tr>
      <w:tr>
        <w:trPr>
          <w:trHeight w:val="251"/>
        </w:trPr>
        <w:tc>
          <w:tcPr>
            <w:tcW w:w="6460" w:type="dxa"/>
            <w:vAlign w:val="bottom"/>
            <w:shd w:val="clear" w:color="auto" w:fill="D5DCE4"/>
          </w:tcPr>
          <w:p>
            <w:pPr>
              <w:ind w:left="140"/>
              <w:spacing w:after="0"/>
              <w:rPr>
                <w:sz w:val="20"/>
                <w:szCs w:val="20"/>
                <w:color w:val="auto"/>
              </w:rPr>
            </w:pPr>
            <w:r>
              <w:rPr>
                <w:rFonts w:ascii="Arial" w:cs="Arial" w:eastAsia="Arial" w:hAnsi="Arial"/>
                <w:sz w:val="16"/>
                <w:szCs w:val="16"/>
                <w:color w:val="auto"/>
              </w:rPr>
              <w:t>Equities Derivatives</w:t>
            </w: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6.97</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5.62</w:t>
            </w:r>
          </w:p>
        </w:tc>
        <w:tc>
          <w:tcPr>
            <w:tcW w:w="80" w:type="dxa"/>
            <w:vAlign w:val="bottom"/>
            <w:shd w:val="clear" w:color="auto" w:fill="D5DCE4"/>
          </w:tcPr>
          <w:p>
            <w:pPr>
              <w:spacing w:after="0"/>
              <w:rPr>
                <w:sz w:val="21"/>
                <w:szCs w:val="21"/>
                <w:color w:val="auto"/>
              </w:rPr>
            </w:pPr>
          </w:p>
        </w:tc>
        <w:tc>
          <w:tcPr>
            <w:tcW w:w="16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23.9 %</w:t>
            </w:r>
          </w:p>
        </w:tc>
      </w:tr>
      <w:tr>
        <w:trPr>
          <w:trHeight w:val="216"/>
        </w:trPr>
        <w:tc>
          <w:tcPr>
            <w:tcW w:w="6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43"/>
        </w:trPr>
        <w:tc>
          <w:tcPr>
            <w:tcW w:w="64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Money Markets</w:t>
            </w: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0.52</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0.35</w:t>
            </w:r>
          </w:p>
        </w:tc>
        <w:tc>
          <w:tcPr>
            <w:tcW w:w="80" w:type="dxa"/>
            <w:vAlign w:val="bottom"/>
            <w:shd w:val="clear" w:color="auto" w:fill="D5DCE4"/>
          </w:tcPr>
          <w:p>
            <w:pPr>
              <w:spacing w:after="0"/>
              <w:rPr>
                <w:sz w:val="21"/>
                <w:szCs w:val="21"/>
                <w:color w:val="auto"/>
              </w:rPr>
            </w:pPr>
          </w:p>
        </w:tc>
        <w:tc>
          <w:tcPr>
            <w:tcW w:w="16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48.6 %</w:t>
            </w:r>
          </w:p>
        </w:tc>
      </w:tr>
      <w:tr>
        <w:trPr>
          <w:trHeight w:val="216"/>
        </w:trPr>
        <w:tc>
          <w:tcPr>
            <w:tcW w:w="6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43"/>
        </w:trPr>
        <w:tc>
          <w:tcPr>
            <w:tcW w:w="64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Total</w:t>
            </w: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2.30</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2.43</w:t>
            </w:r>
          </w:p>
        </w:tc>
        <w:tc>
          <w:tcPr>
            <w:tcW w:w="80" w:type="dxa"/>
            <w:vAlign w:val="bottom"/>
            <w:shd w:val="clear" w:color="auto" w:fill="D5DCE4"/>
          </w:tcPr>
          <w:p>
            <w:pPr>
              <w:spacing w:after="0"/>
              <w:rPr>
                <w:sz w:val="21"/>
                <w:szCs w:val="21"/>
                <w:color w:val="auto"/>
              </w:rPr>
            </w:pPr>
          </w:p>
        </w:tc>
        <w:tc>
          <w:tcPr>
            <w:tcW w:w="16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(5.4)%</w:t>
            </w:r>
          </w:p>
        </w:tc>
      </w:tr>
      <w:tr>
        <w:trPr>
          <w:trHeight w:val="302"/>
        </w:trPr>
        <w:tc>
          <w:tcPr>
            <w:tcW w:w="6460" w:type="dxa"/>
            <w:vAlign w:val="bottom"/>
          </w:tcPr>
          <w:p>
            <w:pPr>
              <w:ind w:left="20"/>
              <w:spacing w:after="0"/>
              <w:rPr>
                <w:sz w:val="20"/>
                <w:szCs w:val="20"/>
                <w:color w:val="auto"/>
              </w:rPr>
            </w:pPr>
            <w:r>
              <w:rPr>
                <w:rFonts w:ascii="Arial" w:cs="Arial" w:eastAsia="Arial" w:hAnsi="Arial"/>
                <w:sz w:val="16"/>
                <w:szCs w:val="16"/>
                <w:b w:val="1"/>
                <w:bCs w:val="1"/>
                <w:color w:val="auto"/>
              </w:rPr>
              <w:t xml:space="preserve">Total excluding Other Rates Derivatives </w:t>
            </w:r>
            <w:r>
              <w:rPr>
                <w:rFonts w:ascii="Arial" w:cs="Arial" w:eastAsia="Arial" w:hAnsi="Arial"/>
                <w:sz w:val="21"/>
                <w:szCs w:val="21"/>
                <w:b w:val="1"/>
                <w:bCs w:val="1"/>
                <w:color w:val="auto"/>
                <w:vertAlign w:val="superscript"/>
              </w:rPr>
              <w:t>(3)</w:t>
            </w: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2.66</w:t>
            </w:r>
          </w:p>
        </w:tc>
        <w:tc>
          <w:tcPr>
            <w:tcW w:w="80" w:type="dxa"/>
            <w:vAlign w:val="bottom"/>
          </w:tcPr>
          <w:p>
            <w:pPr>
              <w:spacing w:after="0"/>
              <w:rPr>
                <w:sz w:val="24"/>
                <w:szCs w:val="24"/>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2.88</w:t>
            </w:r>
          </w:p>
        </w:tc>
        <w:tc>
          <w:tcPr>
            <w:tcW w:w="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rPr>
              <w:t>(7.7)%</w:t>
            </w:r>
          </w:p>
        </w:tc>
      </w:tr>
    </w:tbl>
    <w:p>
      <w:pPr>
        <w:spacing w:after="0" w:line="44" w:lineRule="exact"/>
        <w:rPr>
          <w:sz w:val="20"/>
          <w:szCs w:val="20"/>
          <w:color w:val="auto"/>
        </w:rPr>
      </w:pPr>
    </w:p>
    <w:p>
      <w:pPr>
        <w:ind w:left="20"/>
        <w:spacing w:after="0"/>
        <w:rPr>
          <w:sz w:val="20"/>
          <w:szCs w:val="20"/>
          <w:color w:val="auto"/>
        </w:rPr>
      </w:pPr>
      <w:r>
        <w:rPr>
          <w:rFonts w:ascii="Arial" w:cs="Arial" w:eastAsia="Arial" w:hAnsi="Arial"/>
          <w:sz w:val="12"/>
          <w:szCs w:val="12"/>
          <w:color w:val="auto"/>
        </w:rPr>
        <w:t>(1)</w:t>
      </w:r>
    </w:p>
    <w:p>
      <w:pPr>
        <w:ind w:left="440"/>
        <w:spacing w:after="0"/>
        <w:rPr>
          <w:sz w:val="20"/>
          <w:szCs w:val="20"/>
          <w:color w:val="auto"/>
        </w:rPr>
      </w:pPr>
      <w:r>
        <w:rPr>
          <w:rFonts w:ascii="Arial" w:cs="Arial" w:eastAsia="Arial" w:hAnsi="Arial"/>
          <w:sz w:val="12"/>
          <w:szCs w:val="12"/>
          <w:color w:val="auto"/>
        </w:rPr>
        <w:t>Includes Swaps/Swaptions of tenor less than 1 year and Rates Futures.</w:t>
      </w:r>
    </w:p>
    <w:p>
      <w:pPr>
        <w:spacing w:after="0" w:line="53" w:lineRule="exact"/>
        <w:rPr>
          <w:sz w:val="20"/>
          <w:szCs w:val="20"/>
          <w:color w:val="auto"/>
        </w:rPr>
      </w:pPr>
    </w:p>
    <w:p>
      <w:pPr>
        <w:ind w:left="440" w:hanging="414"/>
        <w:spacing w:after="0"/>
        <w:tabs>
          <w:tab w:leader="none" w:pos="4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“Cash Credit” category represents the “Credit” asset class excluding (1) Credit Derivatives (2) China Bonds and (3) U.S. High Grade and High Yield electronically processed (“EP”) activity.</w:t>
      </w:r>
    </w:p>
    <w:p>
      <w:pPr>
        <w:spacing w:after="0" w:line="64" w:lineRule="exact"/>
        <w:rPr>
          <w:rFonts w:ascii="Arial" w:cs="Arial" w:eastAsia="Arial" w:hAnsi="Arial"/>
          <w:sz w:val="12"/>
          <w:szCs w:val="12"/>
          <w:color w:val="auto"/>
        </w:rPr>
      </w:pPr>
    </w:p>
    <w:p>
      <w:pPr>
        <w:ind w:left="440" w:hanging="414"/>
        <w:spacing w:after="0"/>
        <w:tabs>
          <w:tab w:leader="none" w:pos="4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Included to contextualize the impact of short-tenored Swaps/Swaptions and Rates Futures on blended fees per million across all periods presented.</w:t>
      </w:r>
    </w:p>
    <w:p>
      <w:pPr>
        <w:spacing w:after="0" w:line="3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9</w:t>
      </w:r>
    </w:p>
    <w:p>
      <w:pPr>
        <w:sectPr>
          <w:pgSz w:w="11900" w:h="16838" w:orient="portrait"/>
          <w:cols w:equalWidth="0" w:num="1">
            <w:col w:w="11240"/>
          </w:cols>
          <w:pgMar w:left="320" w:top="773"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083566"/>
        </w:rPr>
        <w:t>TRADEWEB MARKETS INC.</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 xml:space="preserve">AVERAGE DAILY VOLUME (UNAUDITED) </w:t>
      </w:r>
      <w:r>
        <w:rPr>
          <w:rFonts w:ascii="Arial" w:cs="Arial" w:eastAsia="Arial" w:hAnsi="Arial"/>
          <w:sz w:val="21"/>
          <w:szCs w:val="21"/>
          <w:b w:val="1"/>
          <w:bCs w:val="1"/>
          <w:color w:val="083566"/>
          <w:vertAlign w:val="superscript"/>
        </w:rPr>
        <w:t>(1)</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ind w:left="760"/>
              <w:spacing w:after="0"/>
              <w:rPr>
                <w:sz w:val="20"/>
                <w:szCs w:val="20"/>
                <w:color w:val="auto"/>
              </w:rPr>
            </w:pPr>
            <w:r>
              <w:rPr>
                <w:rFonts w:ascii="Arial" w:cs="Arial" w:eastAsia="Arial" w:hAnsi="Arial"/>
                <w:sz w:val="16"/>
                <w:szCs w:val="16"/>
                <w:b w:val="1"/>
                <w:bCs w:val="1"/>
                <w:color w:val="auto"/>
              </w:rPr>
              <w:t>2025 Q2</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ind w:left="740"/>
              <w:spacing w:after="0"/>
              <w:rPr>
                <w:sz w:val="20"/>
                <w:szCs w:val="20"/>
                <w:color w:val="auto"/>
              </w:rPr>
            </w:pPr>
            <w:r>
              <w:rPr>
                <w:rFonts w:ascii="Arial" w:cs="Arial" w:eastAsia="Arial" w:hAnsi="Arial"/>
                <w:sz w:val="16"/>
                <w:szCs w:val="16"/>
                <w:b w:val="1"/>
                <w:bCs w:val="1"/>
                <w:color w:val="auto"/>
              </w:rPr>
              <w:t>2024 Q2</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ind w:left="440"/>
              <w:spacing w:after="0"/>
              <w:rPr>
                <w:sz w:val="20"/>
                <w:szCs w:val="20"/>
                <w:color w:val="auto"/>
              </w:rPr>
            </w:pPr>
            <w:r>
              <w:rPr>
                <w:rFonts w:ascii="Arial" w:cs="Arial" w:eastAsia="Arial" w:hAnsi="Arial"/>
                <w:sz w:val="16"/>
                <w:szCs w:val="16"/>
                <w:b w:val="1"/>
                <w:bCs w:val="1"/>
                <w:color w:val="auto"/>
              </w:rPr>
              <w:t>YoY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w w:val="99"/>
              </w:rPr>
              <w:t>Asset Class</w:t>
            </w:r>
          </w:p>
        </w:tc>
        <w:tc>
          <w:tcPr>
            <w:tcW w:w="26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Product</w:t>
            </w:r>
          </w:p>
        </w:tc>
        <w:tc>
          <w:tcPr>
            <w:tcW w:w="100" w:type="dxa"/>
            <w:vAlign w:val="bottom"/>
            <w:tcBorders>
              <w:bottom w:val="single" w:sz="8" w:color="D5DCE4"/>
            </w:tcBorders>
          </w:tcPr>
          <w:p>
            <w:pPr>
              <w:spacing w:after="0"/>
              <w:rPr>
                <w:sz w:val="21"/>
                <w:szCs w:val="21"/>
                <w:color w:val="auto"/>
              </w:rPr>
            </w:pPr>
          </w:p>
        </w:tc>
        <w:tc>
          <w:tcPr>
            <w:tcW w:w="27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ADV (USD mm)  Volume (USD mm)</w:t>
            </w:r>
          </w:p>
        </w:tc>
        <w:tc>
          <w:tcPr>
            <w:tcW w:w="100" w:type="dxa"/>
            <w:vAlign w:val="bottom"/>
            <w:tcBorders>
              <w:bottom w:val="single" w:sz="8" w:color="D5DCE4"/>
            </w:tcBorders>
          </w:tcPr>
          <w:p>
            <w:pPr>
              <w:spacing w:after="0"/>
              <w:rPr>
                <w:sz w:val="21"/>
                <w:szCs w:val="21"/>
                <w:color w:val="auto"/>
              </w:rPr>
            </w:pPr>
          </w:p>
        </w:tc>
        <w:tc>
          <w:tcPr>
            <w:tcW w:w="280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rPr>
              <w:t>ADV (USD mm)  Volume (USD mm)</w:t>
            </w:r>
          </w:p>
        </w:tc>
        <w:tc>
          <w:tcPr>
            <w:tcW w:w="120" w:type="dxa"/>
            <w:vAlign w:val="bottom"/>
            <w:tcBorders>
              <w:bottom w:val="single" w:sz="8" w:color="D5DCE4"/>
            </w:tcBorders>
          </w:tcPr>
          <w:p>
            <w:pPr>
              <w:spacing w:after="0"/>
              <w:rPr>
                <w:sz w:val="21"/>
                <w:szCs w:val="21"/>
                <w:color w:val="auto"/>
              </w:rPr>
            </w:pPr>
          </w:p>
        </w:tc>
        <w:tc>
          <w:tcPr>
            <w:tcW w:w="122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ADV</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94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Rates</w:t>
            </w:r>
          </w:p>
        </w:tc>
        <w:tc>
          <w:tcPr>
            <w:tcW w:w="260" w:type="dxa"/>
            <w:vAlign w:val="bottom"/>
            <w:tcBorders>
              <w:right w:val="single" w:sz="8" w:color="D5DCE4"/>
            </w:tcBorders>
            <w:shd w:val="clear" w:color="auto" w:fill="D5DCE4"/>
          </w:tcPr>
          <w:p>
            <w:pPr>
              <w:spacing w:after="0"/>
              <w:rPr>
                <w:sz w:val="20"/>
                <w:szCs w:val="20"/>
                <w:color w:val="auto"/>
              </w:rPr>
            </w:pPr>
          </w:p>
        </w:tc>
        <w:tc>
          <w:tcPr>
            <w:tcW w:w="296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320" w:type="dxa"/>
            <w:vAlign w:val="bottom"/>
            <w:shd w:val="clear" w:color="auto" w:fill="D5DCE4"/>
          </w:tcPr>
          <w:p>
            <w:pPr>
              <w:jc w:val="right"/>
              <w:ind w:right="160"/>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546,389</w:t>
            </w:r>
          </w:p>
        </w:tc>
        <w:tc>
          <w:tcPr>
            <w:tcW w:w="420" w:type="dxa"/>
            <w:vAlign w:val="bottom"/>
            <w:shd w:val="clear" w:color="auto" w:fill="D5DCE4"/>
          </w:tcPr>
          <w:p>
            <w:pPr>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33,874,577</w:t>
            </w:r>
          </w:p>
        </w:tc>
        <w:tc>
          <w:tcPr>
            <w:tcW w:w="100" w:type="dxa"/>
            <w:vAlign w:val="bottom"/>
            <w:tcBorders>
              <w:right w:val="single" w:sz="8" w:color="D5DCE4"/>
            </w:tcBorders>
            <w:shd w:val="clear" w:color="auto" w:fill="D5DCE4"/>
          </w:tcPr>
          <w:p>
            <w:pPr>
              <w:spacing w:after="0"/>
              <w:rPr>
                <w:sz w:val="20"/>
                <w:szCs w:val="20"/>
                <w:color w:val="auto"/>
              </w:rPr>
            </w:pP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462,335</w:t>
            </w:r>
          </w:p>
        </w:tc>
        <w:tc>
          <w:tcPr>
            <w:tcW w:w="400" w:type="dxa"/>
            <w:vAlign w:val="bottom"/>
            <w:shd w:val="clear" w:color="auto" w:fill="D5DCE4"/>
          </w:tcPr>
          <w:p>
            <w:pPr>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29,121,090</w:t>
            </w:r>
          </w:p>
        </w:tc>
        <w:tc>
          <w:tcPr>
            <w:tcW w:w="120" w:type="dxa"/>
            <w:vAlign w:val="bottom"/>
            <w:tcBorders>
              <w:right w:val="single" w:sz="8" w:color="D5DCE4"/>
            </w:tcBorders>
            <w:shd w:val="clear" w:color="auto" w:fill="D5DCE4"/>
          </w:tcPr>
          <w:p>
            <w:pPr>
              <w:spacing w:after="0"/>
              <w:rPr>
                <w:sz w:val="20"/>
                <w:szCs w:val="20"/>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18.18 %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6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U.S. Government Bonds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250,448</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15,527,787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202,460</w:t>
            </w: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12,754,986</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23.70 %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940" w:type="dxa"/>
            <w:vAlign w:val="bottom"/>
            <w:shd w:val="clear" w:color="auto" w:fill="D5DCE4"/>
          </w:tcPr>
          <w:p>
            <w:pPr>
              <w:spacing w:after="0"/>
              <w:rPr>
                <w:sz w:val="21"/>
                <w:szCs w:val="21"/>
                <w:color w:val="auto"/>
              </w:rPr>
            </w:pPr>
          </w:p>
        </w:tc>
        <w:tc>
          <w:tcPr>
            <w:tcW w:w="260" w:type="dxa"/>
            <w:vAlign w:val="bottom"/>
            <w:tcBorders>
              <w:right w:val="single" w:sz="8" w:color="D5DCE4"/>
            </w:tcBorders>
            <w:shd w:val="clear" w:color="auto" w:fill="D5DCE4"/>
          </w:tcPr>
          <w:p>
            <w:pPr>
              <w:spacing w:after="0"/>
              <w:rPr>
                <w:sz w:val="21"/>
                <w:szCs w:val="21"/>
                <w:color w:val="auto"/>
              </w:rPr>
            </w:pPr>
          </w:p>
        </w:tc>
        <w:tc>
          <w:tcPr>
            <w:tcW w:w="296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European Government Bonds</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55,015</w:t>
            </w:r>
          </w:p>
        </w:tc>
        <w:tc>
          <w:tcPr>
            <w:tcW w:w="42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3,410,960</w:t>
            </w:r>
          </w:p>
        </w:tc>
        <w:tc>
          <w:tcPr>
            <w:tcW w:w="100" w:type="dxa"/>
            <w:vAlign w:val="bottom"/>
            <w:tcBorders>
              <w:right w:val="single" w:sz="8" w:color="D5DCE4"/>
            </w:tcBorders>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04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45,699</w:t>
            </w:r>
          </w:p>
        </w:tc>
        <w:tc>
          <w:tcPr>
            <w:tcW w:w="40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2,879,044</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20.39 %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6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Mortgages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229,669</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14,239,483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203,813</w:t>
            </w: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12,840,218</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12.69 %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940" w:type="dxa"/>
            <w:vAlign w:val="bottom"/>
            <w:shd w:val="clear" w:color="auto" w:fill="D5DCE4"/>
          </w:tcPr>
          <w:p>
            <w:pPr>
              <w:spacing w:after="0"/>
              <w:rPr>
                <w:sz w:val="21"/>
                <w:szCs w:val="21"/>
                <w:color w:val="auto"/>
              </w:rPr>
            </w:pPr>
          </w:p>
        </w:tc>
        <w:tc>
          <w:tcPr>
            <w:tcW w:w="260" w:type="dxa"/>
            <w:vAlign w:val="bottom"/>
            <w:tcBorders>
              <w:right w:val="single" w:sz="8" w:color="D5DCE4"/>
            </w:tcBorders>
            <w:shd w:val="clear" w:color="auto" w:fill="D5DCE4"/>
          </w:tcPr>
          <w:p>
            <w:pPr>
              <w:spacing w:after="0"/>
              <w:rPr>
                <w:sz w:val="21"/>
                <w:szCs w:val="21"/>
                <w:color w:val="auto"/>
              </w:rPr>
            </w:pPr>
          </w:p>
        </w:tc>
        <w:tc>
          <w:tcPr>
            <w:tcW w:w="296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Other Government Bonds</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11,256</w:t>
            </w:r>
          </w:p>
        </w:tc>
        <w:tc>
          <w:tcPr>
            <w:tcW w:w="42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696,347</w:t>
            </w:r>
          </w:p>
        </w:tc>
        <w:tc>
          <w:tcPr>
            <w:tcW w:w="100" w:type="dxa"/>
            <w:vAlign w:val="bottom"/>
            <w:tcBorders>
              <w:right w:val="single" w:sz="8" w:color="D5DCE4"/>
            </w:tcBorders>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04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10,363</w:t>
            </w:r>
          </w:p>
        </w:tc>
        <w:tc>
          <w:tcPr>
            <w:tcW w:w="40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646,843</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8.62 %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60" w:type="dxa"/>
            <w:vAlign w:val="bottom"/>
            <w:gridSpan w:val="2"/>
          </w:tcPr>
          <w:p>
            <w:pPr>
              <w:spacing w:after="0"/>
              <w:rPr>
                <w:sz w:val="20"/>
                <w:szCs w:val="20"/>
                <w:color w:val="auto"/>
              </w:rPr>
            </w:pPr>
            <w:r>
              <w:rPr>
                <w:rFonts w:ascii="Arial" w:cs="Arial" w:eastAsia="Arial" w:hAnsi="Arial"/>
                <w:sz w:val="16"/>
                <w:szCs w:val="16"/>
                <w:b w:val="1"/>
                <w:bCs w:val="1"/>
                <w:color w:val="auto"/>
              </w:rPr>
              <w:t>Derivatives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896,536</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55,620,692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787,098</w:t>
            </w: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49,552,573</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13.90 %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40" w:type="dxa"/>
            <w:vAlign w:val="bottom"/>
            <w:shd w:val="clear" w:color="auto" w:fill="D5DCE4"/>
          </w:tcPr>
          <w:p>
            <w:pPr>
              <w:spacing w:after="0"/>
              <w:rPr>
                <w:sz w:val="21"/>
                <w:szCs w:val="21"/>
                <w:color w:val="auto"/>
              </w:rPr>
            </w:pPr>
          </w:p>
        </w:tc>
        <w:tc>
          <w:tcPr>
            <w:tcW w:w="260" w:type="dxa"/>
            <w:vAlign w:val="bottom"/>
            <w:tcBorders>
              <w:right w:val="single" w:sz="8" w:color="D5DCE4"/>
            </w:tcBorders>
            <w:shd w:val="clear" w:color="auto" w:fill="D5DCE4"/>
          </w:tcPr>
          <w:p>
            <w:pPr>
              <w:spacing w:after="0"/>
              <w:rPr>
                <w:sz w:val="21"/>
                <w:szCs w:val="21"/>
                <w:color w:val="auto"/>
              </w:rPr>
            </w:pPr>
          </w:p>
        </w:tc>
        <w:tc>
          <w:tcPr>
            <w:tcW w:w="296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Swaps/Swaptions ≥ 1Y</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503,630</w:t>
            </w:r>
          </w:p>
        </w:tc>
        <w:tc>
          <w:tcPr>
            <w:tcW w:w="42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31,235,081</w:t>
            </w:r>
          </w:p>
        </w:tc>
        <w:tc>
          <w:tcPr>
            <w:tcW w:w="100" w:type="dxa"/>
            <w:vAlign w:val="bottom"/>
            <w:tcBorders>
              <w:right w:val="single" w:sz="8" w:color="D5DCE4"/>
            </w:tcBorders>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04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466,924</w:t>
            </w:r>
          </w:p>
        </w:tc>
        <w:tc>
          <w:tcPr>
            <w:tcW w:w="40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29,396,355</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7.86 %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6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Swaps/Swaptions &lt; 1Y</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383,575</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23,782,432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310,657</w:t>
            </w: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19,558,079</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23.47 %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940" w:type="dxa"/>
            <w:vAlign w:val="bottom"/>
            <w:shd w:val="clear" w:color="auto" w:fill="D5DCE4"/>
          </w:tcPr>
          <w:p>
            <w:pPr>
              <w:spacing w:after="0"/>
              <w:rPr>
                <w:sz w:val="21"/>
                <w:szCs w:val="21"/>
                <w:color w:val="auto"/>
              </w:rPr>
            </w:pPr>
          </w:p>
        </w:tc>
        <w:tc>
          <w:tcPr>
            <w:tcW w:w="260" w:type="dxa"/>
            <w:vAlign w:val="bottom"/>
            <w:tcBorders>
              <w:right w:val="single" w:sz="8" w:color="D5DCE4"/>
            </w:tcBorders>
            <w:shd w:val="clear" w:color="auto" w:fill="D5DCE4"/>
          </w:tcPr>
          <w:p>
            <w:pPr>
              <w:spacing w:after="0"/>
              <w:rPr>
                <w:sz w:val="21"/>
                <w:szCs w:val="21"/>
                <w:color w:val="auto"/>
              </w:rPr>
            </w:pPr>
          </w:p>
        </w:tc>
        <w:tc>
          <w:tcPr>
            <w:tcW w:w="296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Futures</w:t>
            </w:r>
          </w:p>
        </w:tc>
        <w:tc>
          <w:tcPr>
            <w:tcW w:w="32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9,331</w:t>
            </w:r>
          </w:p>
        </w:tc>
        <w:tc>
          <w:tcPr>
            <w:tcW w:w="42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603,178</w:t>
            </w:r>
          </w:p>
        </w:tc>
        <w:tc>
          <w:tcPr>
            <w:tcW w:w="100" w:type="dxa"/>
            <w:vAlign w:val="bottom"/>
            <w:tcBorders>
              <w:right w:val="single" w:sz="8" w:color="D5DCE4"/>
            </w:tcBorders>
            <w:shd w:val="clear" w:color="auto" w:fill="D5DCE4"/>
          </w:tcPr>
          <w:p>
            <w:pPr>
              <w:spacing w:after="0"/>
              <w:rPr>
                <w:sz w:val="21"/>
                <w:szCs w:val="21"/>
                <w:color w:val="auto"/>
              </w:rPr>
            </w:pPr>
          </w:p>
        </w:tc>
        <w:tc>
          <w:tcPr>
            <w:tcW w:w="340" w:type="dxa"/>
            <w:vAlign w:val="bottom"/>
            <w:tcBorders>
              <w:bottom w:val="single" w:sz="8" w:color="auto"/>
            </w:tcBorders>
            <w:shd w:val="clear" w:color="auto" w:fill="D5DCE4"/>
          </w:tcPr>
          <w:p>
            <w:pPr>
              <w:spacing w:after="0"/>
              <w:rPr>
                <w:sz w:val="21"/>
                <w:szCs w:val="21"/>
                <w:color w:val="auto"/>
              </w:rPr>
            </w:pPr>
          </w:p>
        </w:tc>
        <w:tc>
          <w:tcPr>
            <w:tcW w:w="1040" w:type="dxa"/>
            <w:vAlign w:val="bottom"/>
            <w:tcBorders>
              <w:bottom w:val="single" w:sz="8" w:color="auto"/>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9,517</w:t>
            </w:r>
          </w:p>
        </w:tc>
        <w:tc>
          <w:tcPr>
            <w:tcW w:w="40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598,139</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940" w:type="dxa"/>
            <w:vAlign w:val="bottom"/>
            <w:tcBorders>
              <w:bottom w:val="single" w:sz="8" w:color="D5DCE4"/>
            </w:tcBorders>
          </w:tcPr>
          <w:p>
            <w:pPr>
              <w:spacing w:after="0"/>
              <w:rPr>
                <w:sz w:val="20"/>
                <w:szCs w:val="20"/>
                <w:color w:val="auto"/>
              </w:rPr>
            </w:pPr>
          </w:p>
        </w:tc>
        <w:tc>
          <w:tcPr>
            <w:tcW w:w="260" w:type="dxa"/>
            <w:vAlign w:val="bottom"/>
            <w:tcBorders>
              <w:bottom w:val="single" w:sz="8" w:color="D5DCE4"/>
            </w:tcBorders>
          </w:tcPr>
          <w:p>
            <w:pPr>
              <w:spacing w:after="0"/>
              <w:rPr>
                <w:sz w:val="20"/>
                <w:szCs w:val="20"/>
                <w:color w:val="auto"/>
              </w:rPr>
            </w:pPr>
          </w:p>
        </w:tc>
        <w:tc>
          <w:tcPr>
            <w:tcW w:w="2960" w:type="dxa"/>
            <w:vAlign w:val="bottom"/>
            <w:tcBorders>
              <w:bottom w:val="single" w:sz="8" w:color="D5DCE4"/>
            </w:tcBorders>
            <w:gridSpan w:val="2"/>
          </w:tcPr>
          <w:p>
            <w:pPr>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1,442,925</w:t>
            </w: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89,495,268</w:t>
            </w:r>
          </w:p>
        </w:tc>
        <w:tc>
          <w:tcPr>
            <w:tcW w:w="100" w:type="dxa"/>
            <w:vAlign w:val="bottom"/>
            <w:tcBorders>
              <w:bottom w:val="single" w:sz="8" w:color="D5DCE4"/>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1,249,433</w:t>
            </w: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78,673,663</w:t>
            </w:r>
          </w:p>
        </w:tc>
        <w:tc>
          <w:tcPr>
            <w:tcW w:w="120" w:type="dxa"/>
            <w:vAlign w:val="bottom"/>
            <w:tcBorders>
              <w:bottom w:val="single" w:sz="8" w:color="D5DCE4"/>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15.49 %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94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Credit</w:t>
            </w:r>
          </w:p>
        </w:tc>
        <w:tc>
          <w:tcPr>
            <w:tcW w:w="260" w:type="dxa"/>
            <w:vAlign w:val="bottom"/>
            <w:tcBorders>
              <w:right w:val="single" w:sz="8" w:color="D5DCE4"/>
            </w:tcBorders>
            <w:shd w:val="clear" w:color="auto" w:fill="D5DCE4"/>
          </w:tcPr>
          <w:p>
            <w:pPr>
              <w:spacing w:after="0"/>
              <w:rPr>
                <w:sz w:val="20"/>
                <w:szCs w:val="20"/>
                <w:color w:val="auto"/>
              </w:rPr>
            </w:pPr>
          </w:p>
        </w:tc>
        <w:tc>
          <w:tcPr>
            <w:tcW w:w="296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320" w:type="dxa"/>
            <w:vAlign w:val="bottom"/>
            <w:shd w:val="clear" w:color="auto" w:fill="D5DCE4"/>
          </w:tcPr>
          <w:p>
            <w:pPr>
              <w:spacing w:after="0"/>
              <w:rPr>
                <w:sz w:val="20"/>
                <w:szCs w:val="20"/>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18,218</w:t>
            </w:r>
          </w:p>
        </w:tc>
        <w:tc>
          <w:tcPr>
            <w:tcW w:w="420" w:type="dxa"/>
            <w:vAlign w:val="bottom"/>
            <w:shd w:val="clear" w:color="auto" w:fill="D5DCE4"/>
          </w:tcPr>
          <w:p>
            <w:pPr>
              <w:spacing w:after="0"/>
              <w:rPr>
                <w:sz w:val="20"/>
                <w:szCs w:val="20"/>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1,124,070</w:t>
            </w:r>
          </w:p>
        </w:tc>
        <w:tc>
          <w:tcPr>
            <w:tcW w:w="100" w:type="dxa"/>
            <w:vAlign w:val="bottom"/>
            <w:tcBorders>
              <w:right w:val="single" w:sz="8" w:color="D5DCE4"/>
            </w:tcBorders>
            <w:shd w:val="clear" w:color="auto" w:fill="D5DCE4"/>
          </w:tcPr>
          <w:p>
            <w:pPr>
              <w:spacing w:after="0"/>
              <w:rPr>
                <w:sz w:val="20"/>
                <w:szCs w:val="20"/>
                <w:color w:val="auto"/>
              </w:rPr>
            </w:pPr>
          </w:p>
        </w:tc>
        <w:tc>
          <w:tcPr>
            <w:tcW w:w="340" w:type="dxa"/>
            <w:vAlign w:val="bottom"/>
            <w:shd w:val="clear" w:color="auto" w:fill="D5DCE4"/>
          </w:tcPr>
          <w:p>
            <w:pPr>
              <w:spacing w:after="0"/>
              <w:rPr>
                <w:sz w:val="20"/>
                <w:szCs w:val="20"/>
                <w:color w:val="auto"/>
              </w:rPr>
            </w:pPr>
          </w:p>
        </w:tc>
        <w:tc>
          <w:tcPr>
            <w:tcW w:w="104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16,854</w:t>
            </w:r>
          </w:p>
        </w:tc>
        <w:tc>
          <w:tcPr>
            <w:tcW w:w="400" w:type="dxa"/>
            <w:vAlign w:val="bottom"/>
            <w:shd w:val="clear" w:color="auto" w:fill="D5DCE4"/>
          </w:tcPr>
          <w:p>
            <w:pPr>
              <w:spacing w:after="0"/>
              <w:rPr>
                <w:sz w:val="20"/>
                <w:szCs w:val="20"/>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1,047,835</w:t>
            </w:r>
          </w:p>
        </w:tc>
        <w:tc>
          <w:tcPr>
            <w:tcW w:w="120" w:type="dxa"/>
            <w:vAlign w:val="bottom"/>
            <w:tcBorders>
              <w:right w:val="single" w:sz="8" w:color="D5DCE4"/>
            </w:tcBorders>
            <w:shd w:val="clear" w:color="auto" w:fill="D5DCE4"/>
          </w:tcPr>
          <w:p>
            <w:pPr>
              <w:spacing w:after="0"/>
              <w:rPr>
                <w:sz w:val="20"/>
                <w:szCs w:val="20"/>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8.09 %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60" w:type="dxa"/>
            <w:vAlign w:val="bottom"/>
            <w:gridSpan w:val="2"/>
          </w:tcPr>
          <w:p>
            <w:pPr>
              <w:ind w:left="500"/>
              <w:spacing w:after="0"/>
              <w:rPr>
                <w:sz w:val="20"/>
                <w:szCs w:val="20"/>
                <w:color w:val="auto"/>
              </w:rPr>
            </w:pPr>
            <w:r>
              <w:rPr>
                <w:rFonts w:ascii="Arial" w:cs="Arial" w:eastAsia="Arial" w:hAnsi="Arial"/>
                <w:sz w:val="16"/>
                <w:szCs w:val="16"/>
                <w:i w:val="1"/>
                <w:iCs w:val="1"/>
                <w:color w:val="auto"/>
              </w:rPr>
              <w:t>U.S. High Grade - Fully Electronic</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7,290</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452,009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6,491</w:t>
            </w: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408,939</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12.31 %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940" w:type="dxa"/>
            <w:vAlign w:val="bottom"/>
            <w:shd w:val="clear" w:color="auto" w:fill="D5DCE4"/>
          </w:tcPr>
          <w:p>
            <w:pPr>
              <w:spacing w:after="0"/>
              <w:rPr>
                <w:sz w:val="21"/>
                <w:szCs w:val="21"/>
                <w:color w:val="auto"/>
              </w:rPr>
            </w:pPr>
          </w:p>
        </w:tc>
        <w:tc>
          <w:tcPr>
            <w:tcW w:w="3220" w:type="dxa"/>
            <w:vAlign w:val="bottom"/>
            <w:tcBorders>
              <w:right w:val="single" w:sz="8" w:color="D5DCE4"/>
            </w:tcBorders>
            <w:gridSpan w:val="3"/>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U.S. High Grade - Electronically Processed</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3,365</w:t>
            </w:r>
          </w:p>
        </w:tc>
        <w:tc>
          <w:tcPr>
            <w:tcW w:w="42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208,646</w:t>
            </w:r>
          </w:p>
        </w:tc>
        <w:tc>
          <w:tcPr>
            <w:tcW w:w="100" w:type="dxa"/>
            <w:vAlign w:val="bottom"/>
            <w:tcBorders>
              <w:right w:val="single" w:sz="8" w:color="D5DCE4"/>
            </w:tcBorders>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04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2,913</w:t>
            </w:r>
          </w:p>
        </w:tc>
        <w:tc>
          <w:tcPr>
            <w:tcW w:w="40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183,514</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15.53 %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6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U.S. High Yield - Fully Electronic</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1,114</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69,067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772</w:t>
            </w: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48,610</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44.37 %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940" w:type="dxa"/>
            <w:vAlign w:val="bottom"/>
            <w:shd w:val="clear" w:color="auto" w:fill="D5DCE4"/>
          </w:tcPr>
          <w:p>
            <w:pPr>
              <w:spacing w:after="0"/>
              <w:rPr>
                <w:sz w:val="21"/>
                <w:szCs w:val="21"/>
                <w:color w:val="auto"/>
              </w:rPr>
            </w:pPr>
          </w:p>
        </w:tc>
        <w:tc>
          <w:tcPr>
            <w:tcW w:w="3220" w:type="dxa"/>
            <w:vAlign w:val="bottom"/>
            <w:tcBorders>
              <w:right w:val="single" w:sz="8" w:color="D5DCE4"/>
            </w:tcBorders>
            <w:gridSpan w:val="3"/>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U.S. High Yield - Electronically Processed</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342</w:t>
            </w:r>
          </w:p>
        </w:tc>
        <w:tc>
          <w:tcPr>
            <w:tcW w:w="42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21,232</w:t>
            </w:r>
          </w:p>
        </w:tc>
        <w:tc>
          <w:tcPr>
            <w:tcW w:w="100" w:type="dxa"/>
            <w:vAlign w:val="bottom"/>
            <w:tcBorders>
              <w:right w:val="single" w:sz="8" w:color="D5DCE4"/>
            </w:tcBorders>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04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247</w:t>
            </w:r>
          </w:p>
        </w:tc>
        <w:tc>
          <w:tcPr>
            <w:tcW w:w="40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15,549</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38.75 %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6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European Credit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2,563</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158,887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2,353</w:t>
            </w: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148,222</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8.92 %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940" w:type="dxa"/>
            <w:vAlign w:val="bottom"/>
            <w:shd w:val="clear" w:color="auto" w:fill="D5DCE4"/>
          </w:tcPr>
          <w:p>
            <w:pPr>
              <w:spacing w:after="0"/>
              <w:rPr>
                <w:sz w:val="21"/>
                <w:szCs w:val="21"/>
                <w:color w:val="auto"/>
              </w:rPr>
            </w:pPr>
          </w:p>
        </w:tc>
        <w:tc>
          <w:tcPr>
            <w:tcW w:w="260" w:type="dxa"/>
            <w:vAlign w:val="bottom"/>
            <w:tcBorders>
              <w:right w:val="single" w:sz="8" w:color="D5DCE4"/>
            </w:tcBorders>
            <w:shd w:val="clear" w:color="auto" w:fill="D5DCE4"/>
          </w:tcPr>
          <w:p>
            <w:pPr>
              <w:spacing w:after="0"/>
              <w:rPr>
                <w:sz w:val="21"/>
                <w:szCs w:val="21"/>
                <w:color w:val="auto"/>
              </w:rPr>
            </w:pPr>
          </w:p>
        </w:tc>
        <w:tc>
          <w:tcPr>
            <w:tcW w:w="296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Municipal Bonds</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513</w:t>
            </w:r>
          </w:p>
        </w:tc>
        <w:tc>
          <w:tcPr>
            <w:tcW w:w="42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31,822</w:t>
            </w:r>
          </w:p>
        </w:tc>
        <w:tc>
          <w:tcPr>
            <w:tcW w:w="100" w:type="dxa"/>
            <w:vAlign w:val="bottom"/>
            <w:tcBorders>
              <w:right w:val="single" w:sz="8" w:color="D5DCE4"/>
            </w:tcBorders>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04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369</w:t>
            </w:r>
          </w:p>
        </w:tc>
        <w:tc>
          <w:tcPr>
            <w:tcW w:w="40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23,274</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38.93 %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6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Chinese Bonds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2,683</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160,994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3,476</w:t>
            </w: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205,089</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940" w:type="dxa"/>
            <w:vAlign w:val="bottom"/>
            <w:shd w:val="clear" w:color="auto" w:fill="D5DCE4"/>
          </w:tcPr>
          <w:p>
            <w:pPr>
              <w:spacing w:after="0"/>
              <w:rPr>
                <w:sz w:val="21"/>
                <w:szCs w:val="21"/>
                <w:color w:val="auto"/>
              </w:rPr>
            </w:pPr>
          </w:p>
        </w:tc>
        <w:tc>
          <w:tcPr>
            <w:tcW w:w="260" w:type="dxa"/>
            <w:vAlign w:val="bottom"/>
            <w:tcBorders>
              <w:right w:val="single" w:sz="8" w:color="D5DCE4"/>
            </w:tcBorders>
            <w:shd w:val="clear" w:color="auto" w:fill="D5DCE4"/>
          </w:tcPr>
          <w:p>
            <w:pPr>
              <w:spacing w:after="0"/>
              <w:rPr>
                <w:sz w:val="21"/>
                <w:szCs w:val="21"/>
                <w:color w:val="auto"/>
              </w:rPr>
            </w:pPr>
          </w:p>
        </w:tc>
        <w:tc>
          <w:tcPr>
            <w:tcW w:w="296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Other Credit Bonds</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346</w:t>
            </w:r>
          </w:p>
        </w:tc>
        <w:tc>
          <w:tcPr>
            <w:tcW w:w="42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21,413</w:t>
            </w:r>
          </w:p>
        </w:tc>
        <w:tc>
          <w:tcPr>
            <w:tcW w:w="100" w:type="dxa"/>
            <w:vAlign w:val="bottom"/>
            <w:tcBorders>
              <w:right w:val="single" w:sz="8" w:color="D5DCE4"/>
            </w:tcBorders>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04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233</w:t>
            </w:r>
          </w:p>
        </w:tc>
        <w:tc>
          <w:tcPr>
            <w:tcW w:w="40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14,638</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48.45 %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60" w:type="dxa"/>
            <w:vAlign w:val="bottom"/>
            <w:gridSpan w:val="2"/>
          </w:tcPr>
          <w:p>
            <w:pPr>
              <w:spacing w:after="0"/>
              <w:rPr>
                <w:sz w:val="20"/>
                <w:szCs w:val="20"/>
                <w:color w:val="auto"/>
              </w:rPr>
            </w:pPr>
            <w:r>
              <w:rPr>
                <w:rFonts w:ascii="Arial" w:cs="Arial" w:eastAsia="Arial" w:hAnsi="Arial"/>
                <w:sz w:val="16"/>
                <w:szCs w:val="16"/>
                <w:b w:val="1"/>
                <w:bCs w:val="1"/>
                <w:color w:val="auto"/>
              </w:rPr>
              <w:t>Derivatives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19,522</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1,210,363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12,863</w:t>
            </w: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810,324</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51.77 %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40" w:type="dxa"/>
            <w:vAlign w:val="bottom"/>
            <w:shd w:val="clear" w:color="auto" w:fill="D5DCE4"/>
          </w:tcPr>
          <w:p>
            <w:pPr>
              <w:spacing w:after="0"/>
              <w:rPr>
                <w:sz w:val="21"/>
                <w:szCs w:val="21"/>
                <w:color w:val="auto"/>
              </w:rPr>
            </w:pPr>
          </w:p>
        </w:tc>
        <w:tc>
          <w:tcPr>
            <w:tcW w:w="260" w:type="dxa"/>
            <w:vAlign w:val="bottom"/>
            <w:tcBorders>
              <w:right w:val="single" w:sz="8" w:color="D5DCE4"/>
            </w:tcBorders>
            <w:shd w:val="clear" w:color="auto" w:fill="D5DCE4"/>
          </w:tcPr>
          <w:p>
            <w:pPr>
              <w:spacing w:after="0"/>
              <w:rPr>
                <w:sz w:val="21"/>
                <w:szCs w:val="21"/>
                <w:color w:val="auto"/>
              </w:rPr>
            </w:pPr>
          </w:p>
        </w:tc>
        <w:tc>
          <w:tcPr>
            <w:tcW w:w="296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Swaps</w:t>
            </w:r>
          </w:p>
        </w:tc>
        <w:tc>
          <w:tcPr>
            <w:tcW w:w="32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19,522</w:t>
            </w:r>
          </w:p>
        </w:tc>
        <w:tc>
          <w:tcPr>
            <w:tcW w:w="42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1,210,363</w:t>
            </w:r>
          </w:p>
        </w:tc>
        <w:tc>
          <w:tcPr>
            <w:tcW w:w="100" w:type="dxa"/>
            <w:vAlign w:val="bottom"/>
            <w:tcBorders>
              <w:right w:val="single" w:sz="8" w:color="D5DCE4"/>
            </w:tcBorders>
            <w:shd w:val="clear" w:color="auto" w:fill="D5DCE4"/>
          </w:tcPr>
          <w:p>
            <w:pPr>
              <w:spacing w:after="0"/>
              <w:rPr>
                <w:sz w:val="21"/>
                <w:szCs w:val="21"/>
                <w:color w:val="auto"/>
              </w:rPr>
            </w:pPr>
          </w:p>
        </w:tc>
        <w:tc>
          <w:tcPr>
            <w:tcW w:w="340" w:type="dxa"/>
            <w:vAlign w:val="bottom"/>
            <w:tcBorders>
              <w:bottom w:val="single" w:sz="8" w:color="auto"/>
            </w:tcBorders>
            <w:shd w:val="clear" w:color="auto" w:fill="D5DCE4"/>
          </w:tcPr>
          <w:p>
            <w:pPr>
              <w:spacing w:after="0"/>
              <w:rPr>
                <w:sz w:val="21"/>
                <w:szCs w:val="21"/>
                <w:color w:val="auto"/>
              </w:rPr>
            </w:pPr>
          </w:p>
        </w:tc>
        <w:tc>
          <w:tcPr>
            <w:tcW w:w="1040" w:type="dxa"/>
            <w:vAlign w:val="bottom"/>
            <w:tcBorders>
              <w:bottom w:val="single" w:sz="8" w:color="auto"/>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12,863</w:t>
            </w:r>
          </w:p>
        </w:tc>
        <w:tc>
          <w:tcPr>
            <w:tcW w:w="40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810,324</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51.77 %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940" w:type="dxa"/>
            <w:vAlign w:val="bottom"/>
            <w:tcBorders>
              <w:bottom w:val="single" w:sz="8" w:color="D5DCE4"/>
            </w:tcBorders>
          </w:tcPr>
          <w:p>
            <w:pPr>
              <w:spacing w:after="0"/>
              <w:rPr>
                <w:sz w:val="20"/>
                <w:szCs w:val="20"/>
                <w:color w:val="auto"/>
              </w:rPr>
            </w:pPr>
          </w:p>
        </w:tc>
        <w:tc>
          <w:tcPr>
            <w:tcW w:w="260" w:type="dxa"/>
            <w:vAlign w:val="bottom"/>
            <w:tcBorders>
              <w:bottom w:val="single" w:sz="8" w:color="D5DCE4"/>
            </w:tcBorders>
          </w:tcPr>
          <w:p>
            <w:pPr>
              <w:spacing w:after="0"/>
              <w:rPr>
                <w:sz w:val="20"/>
                <w:szCs w:val="20"/>
                <w:color w:val="auto"/>
              </w:rPr>
            </w:pPr>
          </w:p>
        </w:tc>
        <w:tc>
          <w:tcPr>
            <w:tcW w:w="2960" w:type="dxa"/>
            <w:vAlign w:val="bottom"/>
            <w:tcBorders>
              <w:bottom w:val="single" w:sz="8" w:color="D5DCE4"/>
            </w:tcBorders>
            <w:gridSpan w:val="2"/>
          </w:tcPr>
          <w:p>
            <w:pPr>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37,740</w:t>
            </w: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2,334,433</w:t>
            </w:r>
          </w:p>
        </w:tc>
        <w:tc>
          <w:tcPr>
            <w:tcW w:w="100" w:type="dxa"/>
            <w:vAlign w:val="bottom"/>
            <w:tcBorders>
              <w:bottom w:val="single" w:sz="8" w:color="D5DCE4"/>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29,717</w:t>
            </w: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1,858,159</w:t>
            </w:r>
          </w:p>
        </w:tc>
        <w:tc>
          <w:tcPr>
            <w:tcW w:w="120" w:type="dxa"/>
            <w:vAlign w:val="bottom"/>
            <w:tcBorders>
              <w:bottom w:val="single" w:sz="8" w:color="D5DCE4"/>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27.00 %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94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Equities</w:t>
            </w:r>
          </w:p>
        </w:tc>
        <w:tc>
          <w:tcPr>
            <w:tcW w:w="260" w:type="dxa"/>
            <w:vAlign w:val="bottom"/>
            <w:tcBorders>
              <w:right w:val="single" w:sz="8" w:color="D5DCE4"/>
            </w:tcBorders>
            <w:shd w:val="clear" w:color="auto" w:fill="D5DCE4"/>
          </w:tcPr>
          <w:p>
            <w:pPr>
              <w:spacing w:after="0"/>
              <w:rPr>
                <w:sz w:val="20"/>
                <w:szCs w:val="20"/>
                <w:color w:val="auto"/>
              </w:rPr>
            </w:pPr>
          </w:p>
        </w:tc>
        <w:tc>
          <w:tcPr>
            <w:tcW w:w="296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320" w:type="dxa"/>
            <w:vAlign w:val="bottom"/>
            <w:shd w:val="clear" w:color="auto" w:fill="D5DCE4"/>
          </w:tcPr>
          <w:p>
            <w:pPr>
              <w:spacing w:after="0"/>
              <w:rPr>
                <w:sz w:val="20"/>
                <w:szCs w:val="20"/>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13,681</w:t>
            </w:r>
          </w:p>
        </w:tc>
        <w:tc>
          <w:tcPr>
            <w:tcW w:w="420" w:type="dxa"/>
            <w:vAlign w:val="bottom"/>
            <w:shd w:val="clear" w:color="auto" w:fill="D5DCE4"/>
          </w:tcPr>
          <w:p>
            <w:pPr>
              <w:spacing w:after="0"/>
              <w:rPr>
                <w:sz w:val="20"/>
                <w:szCs w:val="20"/>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848,246</w:t>
            </w:r>
          </w:p>
        </w:tc>
        <w:tc>
          <w:tcPr>
            <w:tcW w:w="100" w:type="dxa"/>
            <w:vAlign w:val="bottom"/>
            <w:tcBorders>
              <w:right w:val="single" w:sz="8" w:color="D5DCE4"/>
            </w:tcBorders>
            <w:shd w:val="clear" w:color="auto" w:fill="D5DCE4"/>
          </w:tcPr>
          <w:p>
            <w:pPr>
              <w:spacing w:after="0"/>
              <w:rPr>
                <w:sz w:val="20"/>
                <w:szCs w:val="20"/>
                <w:color w:val="auto"/>
              </w:rPr>
            </w:pPr>
          </w:p>
        </w:tc>
        <w:tc>
          <w:tcPr>
            <w:tcW w:w="340" w:type="dxa"/>
            <w:vAlign w:val="bottom"/>
            <w:shd w:val="clear" w:color="auto" w:fill="D5DCE4"/>
          </w:tcPr>
          <w:p>
            <w:pPr>
              <w:spacing w:after="0"/>
              <w:rPr>
                <w:sz w:val="20"/>
                <w:szCs w:val="20"/>
                <w:color w:val="auto"/>
              </w:rPr>
            </w:pPr>
          </w:p>
        </w:tc>
        <w:tc>
          <w:tcPr>
            <w:tcW w:w="104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9,939</w:t>
            </w:r>
          </w:p>
        </w:tc>
        <w:tc>
          <w:tcPr>
            <w:tcW w:w="400" w:type="dxa"/>
            <w:vAlign w:val="bottom"/>
            <w:shd w:val="clear" w:color="auto" w:fill="D5DCE4"/>
          </w:tcPr>
          <w:p>
            <w:pPr>
              <w:spacing w:after="0"/>
              <w:rPr>
                <w:sz w:val="20"/>
                <w:szCs w:val="20"/>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626,128</w:t>
            </w:r>
          </w:p>
        </w:tc>
        <w:tc>
          <w:tcPr>
            <w:tcW w:w="120" w:type="dxa"/>
            <w:vAlign w:val="bottom"/>
            <w:tcBorders>
              <w:right w:val="single" w:sz="8" w:color="D5DCE4"/>
            </w:tcBorders>
            <w:shd w:val="clear" w:color="auto" w:fill="D5DCE4"/>
          </w:tcPr>
          <w:p>
            <w:pPr>
              <w:spacing w:after="0"/>
              <w:rPr>
                <w:sz w:val="20"/>
                <w:szCs w:val="20"/>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37.66 %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6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U.S. ETFs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9,746</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604,248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7,287</w:t>
            </w: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459,066</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33.75 %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940" w:type="dxa"/>
            <w:vAlign w:val="bottom"/>
            <w:shd w:val="clear" w:color="auto" w:fill="D5DCE4"/>
          </w:tcPr>
          <w:p>
            <w:pPr>
              <w:spacing w:after="0"/>
              <w:rPr>
                <w:sz w:val="21"/>
                <w:szCs w:val="21"/>
                <w:color w:val="auto"/>
              </w:rPr>
            </w:pPr>
          </w:p>
        </w:tc>
        <w:tc>
          <w:tcPr>
            <w:tcW w:w="260" w:type="dxa"/>
            <w:vAlign w:val="bottom"/>
            <w:tcBorders>
              <w:right w:val="single" w:sz="8" w:color="D5DCE4"/>
            </w:tcBorders>
            <w:shd w:val="clear" w:color="auto" w:fill="D5DCE4"/>
          </w:tcPr>
          <w:p>
            <w:pPr>
              <w:spacing w:after="0"/>
              <w:rPr>
                <w:sz w:val="21"/>
                <w:szCs w:val="21"/>
                <w:color w:val="auto"/>
              </w:rPr>
            </w:pPr>
          </w:p>
        </w:tc>
        <w:tc>
          <w:tcPr>
            <w:tcW w:w="296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European ETFs</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3,935</w:t>
            </w:r>
          </w:p>
        </w:tc>
        <w:tc>
          <w:tcPr>
            <w:tcW w:w="42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243,998</w:t>
            </w:r>
          </w:p>
        </w:tc>
        <w:tc>
          <w:tcPr>
            <w:tcW w:w="100" w:type="dxa"/>
            <w:vAlign w:val="bottom"/>
            <w:tcBorders>
              <w:right w:val="single" w:sz="8" w:color="D5DCE4"/>
            </w:tcBorders>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04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2,652</w:t>
            </w:r>
          </w:p>
        </w:tc>
        <w:tc>
          <w:tcPr>
            <w:tcW w:w="40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167,063</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48.41 %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60" w:type="dxa"/>
            <w:vAlign w:val="bottom"/>
            <w:gridSpan w:val="2"/>
          </w:tcPr>
          <w:p>
            <w:pPr>
              <w:spacing w:after="0"/>
              <w:rPr>
                <w:sz w:val="20"/>
                <w:szCs w:val="20"/>
                <w:color w:val="auto"/>
              </w:rPr>
            </w:pPr>
            <w:r>
              <w:rPr>
                <w:rFonts w:ascii="Arial" w:cs="Arial" w:eastAsia="Arial" w:hAnsi="Arial"/>
                <w:sz w:val="16"/>
                <w:szCs w:val="16"/>
                <w:b w:val="1"/>
                <w:bCs w:val="1"/>
                <w:color w:val="auto"/>
              </w:rPr>
              <w:t>Derivatives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13,862</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859,438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11,318</w:t>
            </w: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713,035</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22.48 %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40" w:type="dxa"/>
            <w:vAlign w:val="bottom"/>
            <w:shd w:val="clear" w:color="auto" w:fill="D5DCE4"/>
          </w:tcPr>
          <w:p>
            <w:pPr>
              <w:spacing w:after="0"/>
              <w:rPr>
                <w:sz w:val="21"/>
                <w:szCs w:val="21"/>
                <w:color w:val="auto"/>
              </w:rPr>
            </w:pPr>
          </w:p>
        </w:tc>
        <w:tc>
          <w:tcPr>
            <w:tcW w:w="260" w:type="dxa"/>
            <w:vAlign w:val="bottom"/>
            <w:tcBorders>
              <w:right w:val="single" w:sz="8" w:color="D5DCE4"/>
            </w:tcBorders>
            <w:shd w:val="clear" w:color="auto" w:fill="D5DCE4"/>
          </w:tcPr>
          <w:p>
            <w:pPr>
              <w:spacing w:after="0"/>
              <w:rPr>
                <w:sz w:val="21"/>
                <w:szCs w:val="21"/>
                <w:color w:val="auto"/>
              </w:rPr>
            </w:pPr>
          </w:p>
        </w:tc>
        <w:tc>
          <w:tcPr>
            <w:tcW w:w="296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Convertibles/Swaps/Options</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9,785</w:t>
            </w:r>
          </w:p>
        </w:tc>
        <w:tc>
          <w:tcPr>
            <w:tcW w:w="42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606,661</w:t>
            </w:r>
          </w:p>
        </w:tc>
        <w:tc>
          <w:tcPr>
            <w:tcW w:w="100" w:type="dxa"/>
            <w:vAlign w:val="bottom"/>
            <w:tcBorders>
              <w:right w:val="single" w:sz="8" w:color="D5DCE4"/>
            </w:tcBorders>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04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7,982</w:t>
            </w:r>
          </w:p>
        </w:tc>
        <w:tc>
          <w:tcPr>
            <w:tcW w:w="40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502,841</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22.59 %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940" w:type="dxa"/>
            <w:vAlign w:val="bottom"/>
            <w:tcBorders>
              <w:bottom w:val="single" w:sz="8" w:color="D5DCE4"/>
            </w:tcBorders>
          </w:tcPr>
          <w:p>
            <w:pPr>
              <w:spacing w:after="0"/>
              <w:rPr>
                <w:sz w:val="20"/>
                <w:szCs w:val="20"/>
                <w:color w:val="auto"/>
              </w:rPr>
            </w:pPr>
          </w:p>
        </w:tc>
        <w:tc>
          <w:tcPr>
            <w:tcW w:w="260" w:type="dxa"/>
            <w:vAlign w:val="bottom"/>
            <w:tcBorders>
              <w:bottom w:val="single" w:sz="8" w:color="D5DCE4"/>
            </w:tcBorders>
          </w:tcPr>
          <w:p>
            <w:pPr>
              <w:spacing w:after="0"/>
              <w:rPr>
                <w:sz w:val="20"/>
                <w:szCs w:val="20"/>
                <w:color w:val="auto"/>
              </w:rPr>
            </w:pPr>
          </w:p>
        </w:tc>
        <w:tc>
          <w:tcPr>
            <w:tcW w:w="2960" w:type="dxa"/>
            <w:vAlign w:val="bottom"/>
            <w:tcBorders>
              <w:bottom w:val="single" w:sz="8" w:color="D5DCE4"/>
            </w:tcBorders>
            <w:gridSpan w:val="2"/>
          </w:tcPr>
          <w:p>
            <w:pPr>
              <w:jc w:val="right"/>
              <w:ind w:right="120"/>
              <w:spacing w:after="0"/>
              <w:rPr>
                <w:sz w:val="20"/>
                <w:szCs w:val="20"/>
                <w:color w:val="auto"/>
              </w:rPr>
            </w:pPr>
            <w:r>
              <w:rPr>
                <w:rFonts w:ascii="Arial" w:cs="Arial" w:eastAsia="Arial" w:hAnsi="Arial"/>
                <w:sz w:val="16"/>
                <w:szCs w:val="16"/>
                <w:i w:val="1"/>
                <w:iCs w:val="1"/>
                <w:color w:val="auto"/>
              </w:rPr>
              <w:t>Futures</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4,077</w:t>
            </w: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252,778</w:t>
            </w:r>
          </w:p>
        </w:tc>
        <w:tc>
          <w:tcPr>
            <w:tcW w:w="100" w:type="dxa"/>
            <w:vAlign w:val="bottom"/>
            <w:tcBorders>
              <w:bottom w:val="single" w:sz="8" w:color="D5DCE4"/>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3,336</w:t>
            </w: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210,194</w:t>
            </w:r>
          </w:p>
        </w:tc>
        <w:tc>
          <w:tcPr>
            <w:tcW w:w="120" w:type="dxa"/>
            <w:vAlign w:val="bottom"/>
            <w:tcBorders>
              <w:bottom w:val="single" w:sz="8" w:color="D5DCE4"/>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40" w:type="dxa"/>
            <w:vAlign w:val="bottom"/>
            <w:shd w:val="clear" w:color="auto" w:fill="D5DCE4"/>
          </w:tcPr>
          <w:p>
            <w:pPr>
              <w:spacing w:after="0"/>
              <w:rPr>
                <w:sz w:val="21"/>
                <w:szCs w:val="21"/>
                <w:color w:val="auto"/>
              </w:rPr>
            </w:pPr>
          </w:p>
        </w:tc>
        <w:tc>
          <w:tcPr>
            <w:tcW w:w="260" w:type="dxa"/>
            <w:vAlign w:val="bottom"/>
            <w:tcBorders>
              <w:right w:val="single" w:sz="8" w:color="D5DCE4"/>
            </w:tcBorders>
            <w:shd w:val="clear" w:color="auto" w:fill="D5DCE4"/>
          </w:tcPr>
          <w:p>
            <w:pPr>
              <w:spacing w:after="0"/>
              <w:rPr>
                <w:sz w:val="21"/>
                <w:szCs w:val="21"/>
                <w:color w:val="auto"/>
              </w:rPr>
            </w:pPr>
          </w:p>
        </w:tc>
        <w:tc>
          <w:tcPr>
            <w:tcW w:w="296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27,543</w:t>
            </w:r>
          </w:p>
        </w:tc>
        <w:tc>
          <w:tcPr>
            <w:tcW w:w="42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1,707,685</w:t>
            </w:r>
          </w:p>
        </w:tc>
        <w:tc>
          <w:tcPr>
            <w:tcW w:w="100" w:type="dxa"/>
            <w:vAlign w:val="bottom"/>
            <w:tcBorders>
              <w:right w:val="single" w:sz="8" w:color="D5DCE4"/>
            </w:tcBorders>
            <w:shd w:val="clear" w:color="auto" w:fill="D5DCE4"/>
          </w:tcPr>
          <w:p>
            <w:pPr>
              <w:spacing w:after="0"/>
              <w:rPr>
                <w:sz w:val="21"/>
                <w:szCs w:val="21"/>
                <w:color w:val="auto"/>
              </w:rPr>
            </w:pPr>
          </w:p>
        </w:tc>
        <w:tc>
          <w:tcPr>
            <w:tcW w:w="340" w:type="dxa"/>
            <w:vAlign w:val="bottom"/>
            <w:tcBorders>
              <w:bottom w:val="single" w:sz="8" w:color="auto"/>
            </w:tcBorders>
            <w:shd w:val="clear" w:color="auto" w:fill="D5DCE4"/>
          </w:tcPr>
          <w:p>
            <w:pPr>
              <w:spacing w:after="0"/>
              <w:rPr>
                <w:sz w:val="21"/>
                <w:szCs w:val="21"/>
                <w:color w:val="auto"/>
              </w:rPr>
            </w:pPr>
          </w:p>
        </w:tc>
        <w:tc>
          <w:tcPr>
            <w:tcW w:w="1040" w:type="dxa"/>
            <w:vAlign w:val="bottom"/>
            <w:tcBorders>
              <w:bottom w:val="single" w:sz="8" w:color="auto"/>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21,257</w:t>
            </w:r>
          </w:p>
        </w:tc>
        <w:tc>
          <w:tcPr>
            <w:tcW w:w="40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1,339,163</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29.58 %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940" w:type="dxa"/>
            <w:vAlign w:val="bottom"/>
          </w:tcPr>
          <w:p>
            <w:pPr>
              <w:ind w:left="20"/>
              <w:spacing w:after="0" w:line="182" w:lineRule="exact"/>
              <w:rPr>
                <w:sz w:val="20"/>
                <w:szCs w:val="20"/>
                <w:color w:val="auto"/>
              </w:rPr>
            </w:pPr>
            <w:r>
              <w:rPr>
                <w:rFonts w:ascii="Arial" w:cs="Arial" w:eastAsia="Arial" w:hAnsi="Arial"/>
                <w:sz w:val="16"/>
                <w:szCs w:val="16"/>
                <w:b w:val="1"/>
                <w:bCs w:val="1"/>
                <w:color w:val="auto"/>
              </w:rPr>
              <w:t>Money</w:t>
            </w:r>
          </w:p>
        </w:tc>
        <w:tc>
          <w:tcPr>
            <w:tcW w:w="260" w:type="dxa"/>
            <w:vAlign w:val="bottom"/>
          </w:tcPr>
          <w:p>
            <w:pPr>
              <w:spacing w:after="0"/>
              <w:rPr>
                <w:sz w:val="15"/>
                <w:szCs w:val="15"/>
                <w:color w:val="auto"/>
              </w:rPr>
            </w:pPr>
          </w:p>
        </w:tc>
        <w:tc>
          <w:tcPr>
            <w:tcW w:w="29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Cash</w:t>
            </w:r>
          </w:p>
        </w:tc>
        <w:tc>
          <w:tcPr>
            <w:tcW w:w="3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1,041,814</w:t>
            </w:r>
          </w:p>
        </w:tc>
        <w:tc>
          <w:tcPr>
            <w:tcW w:w="4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71,783,776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621,840</w:t>
            </w:r>
          </w:p>
        </w:tc>
        <w:tc>
          <w:tcPr>
            <w:tcW w:w="4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39,173,808</w:t>
            </w:r>
          </w:p>
        </w:tc>
        <w:tc>
          <w:tcPr>
            <w:tcW w:w="1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67.54 %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Markets</w:t>
            </w:r>
          </w:p>
        </w:tc>
        <w:tc>
          <w:tcPr>
            <w:tcW w:w="260" w:type="dxa"/>
            <w:vAlign w:val="bottom"/>
          </w:tcPr>
          <w:p>
            <w:pPr>
              <w:spacing w:after="0"/>
              <w:rPr>
                <w:sz w:val="12"/>
                <w:szCs w:val="12"/>
                <w:color w:val="auto"/>
              </w:rPr>
            </w:pPr>
          </w:p>
        </w:tc>
        <w:tc>
          <w:tcPr>
            <w:tcW w:w="29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9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940" w:type="dxa"/>
            <w:vAlign w:val="bottom"/>
            <w:shd w:val="clear" w:color="auto" w:fill="D5DCE4"/>
          </w:tcPr>
          <w:p>
            <w:pPr>
              <w:spacing w:after="0"/>
              <w:rPr>
                <w:sz w:val="21"/>
                <w:szCs w:val="21"/>
                <w:color w:val="auto"/>
              </w:rPr>
            </w:pPr>
          </w:p>
        </w:tc>
        <w:tc>
          <w:tcPr>
            <w:tcW w:w="260" w:type="dxa"/>
            <w:vAlign w:val="bottom"/>
            <w:tcBorders>
              <w:right w:val="single" w:sz="8" w:color="D5DCE4"/>
            </w:tcBorders>
            <w:shd w:val="clear" w:color="auto" w:fill="D5DCE4"/>
          </w:tcPr>
          <w:p>
            <w:pPr>
              <w:spacing w:after="0"/>
              <w:rPr>
                <w:sz w:val="21"/>
                <w:szCs w:val="21"/>
                <w:color w:val="auto"/>
              </w:rPr>
            </w:pPr>
          </w:p>
        </w:tc>
        <w:tc>
          <w:tcPr>
            <w:tcW w:w="296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Repurchase Agreements (Repo)</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770,457</w:t>
            </w:r>
          </w:p>
        </w:tc>
        <w:tc>
          <w:tcPr>
            <w:tcW w:w="42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47,768,311</w:t>
            </w:r>
          </w:p>
        </w:tc>
        <w:tc>
          <w:tcPr>
            <w:tcW w:w="100" w:type="dxa"/>
            <w:vAlign w:val="bottom"/>
            <w:tcBorders>
              <w:right w:val="single" w:sz="8" w:color="D5DCE4"/>
            </w:tcBorders>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04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600,947</w:t>
            </w:r>
          </w:p>
        </w:tc>
        <w:tc>
          <w:tcPr>
            <w:tcW w:w="40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37,859,656</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28.21 %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940" w:type="dxa"/>
            <w:vAlign w:val="bottom"/>
            <w:tcBorders>
              <w:bottom w:val="single" w:sz="8" w:color="D5DCE4"/>
            </w:tcBorders>
          </w:tcPr>
          <w:p>
            <w:pPr>
              <w:spacing w:after="0"/>
              <w:rPr>
                <w:sz w:val="20"/>
                <w:szCs w:val="20"/>
                <w:color w:val="auto"/>
              </w:rPr>
            </w:pPr>
          </w:p>
        </w:tc>
        <w:tc>
          <w:tcPr>
            <w:tcW w:w="260" w:type="dxa"/>
            <w:vAlign w:val="bottom"/>
            <w:tcBorders>
              <w:bottom w:val="single" w:sz="8" w:color="D5DCE4"/>
            </w:tcBorders>
          </w:tcPr>
          <w:p>
            <w:pPr>
              <w:spacing w:after="0"/>
              <w:rPr>
                <w:sz w:val="20"/>
                <w:szCs w:val="20"/>
                <w:color w:val="auto"/>
              </w:rPr>
            </w:pPr>
          </w:p>
        </w:tc>
        <w:tc>
          <w:tcPr>
            <w:tcW w:w="2960" w:type="dxa"/>
            <w:vAlign w:val="bottom"/>
            <w:tcBorders>
              <w:bottom w:val="single" w:sz="8" w:color="D5DCE4"/>
            </w:tcBorders>
            <w:gridSpan w:val="2"/>
          </w:tcPr>
          <w:p>
            <w:pPr>
              <w:jc w:val="right"/>
              <w:ind w:right="120"/>
              <w:spacing w:after="0"/>
              <w:rPr>
                <w:sz w:val="20"/>
                <w:szCs w:val="20"/>
                <w:color w:val="auto"/>
              </w:rPr>
            </w:pPr>
            <w:r>
              <w:rPr>
                <w:rFonts w:ascii="Arial" w:cs="Arial" w:eastAsia="Arial" w:hAnsi="Arial"/>
                <w:sz w:val="16"/>
                <w:szCs w:val="16"/>
                <w:i w:val="1"/>
                <w:iCs w:val="1"/>
                <w:color w:val="auto"/>
              </w:rPr>
              <w:t>Other Money Markets</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271,357</w:t>
            </w: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24,015,465</w:t>
            </w:r>
          </w:p>
        </w:tc>
        <w:tc>
          <w:tcPr>
            <w:tcW w:w="100" w:type="dxa"/>
            <w:vAlign w:val="bottom"/>
            <w:tcBorders>
              <w:bottom w:val="single" w:sz="8" w:color="D5DCE4"/>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20,893</w:t>
            </w: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1,314,152</w:t>
            </w:r>
          </w:p>
        </w:tc>
        <w:tc>
          <w:tcPr>
            <w:tcW w:w="120" w:type="dxa"/>
            <w:vAlign w:val="bottom"/>
            <w:tcBorders>
              <w:bottom w:val="single" w:sz="8" w:color="D5DCE4"/>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1198.77 %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940" w:type="dxa"/>
            <w:vAlign w:val="bottom"/>
            <w:shd w:val="clear" w:color="auto" w:fill="D5DCE4"/>
          </w:tcPr>
          <w:p>
            <w:pPr>
              <w:spacing w:after="0"/>
              <w:rPr>
                <w:sz w:val="20"/>
                <w:szCs w:val="20"/>
                <w:color w:val="auto"/>
              </w:rPr>
            </w:pPr>
          </w:p>
        </w:tc>
        <w:tc>
          <w:tcPr>
            <w:tcW w:w="260" w:type="dxa"/>
            <w:vAlign w:val="bottom"/>
            <w:tcBorders>
              <w:right w:val="single" w:sz="8" w:color="D5DCE4"/>
            </w:tcBorders>
            <w:shd w:val="clear" w:color="auto" w:fill="D5DCE4"/>
          </w:tcPr>
          <w:p>
            <w:pPr>
              <w:spacing w:after="0"/>
              <w:rPr>
                <w:sz w:val="20"/>
                <w:szCs w:val="20"/>
                <w:color w:val="auto"/>
              </w:rPr>
            </w:pPr>
          </w:p>
        </w:tc>
        <w:tc>
          <w:tcPr>
            <w:tcW w:w="296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bottom w:val="single" w:sz="8" w:color="auto"/>
            </w:tcBorders>
            <w:shd w:val="clear" w:color="auto" w:fill="D5DCE4"/>
          </w:tcPr>
          <w:p>
            <w:pPr>
              <w:spacing w:after="0"/>
              <w:rPr>
                <w:sz w:val="20"/>
                <w:szCs w:val="20"/>
                <w:color w:val="auto"/>
              </w:rPr>
            </w:pPr>
          </w:p>
        </w:tc>
        <w:tc>
          <w:tcPr>
            <w:tcW w:w="102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1,041,814</w:t>
            </w:r>
          </w:p>
        </w:tc>
        <w:tc>
          <w:tcPr>
            <w:tcW w:w="420" w:type="dxa"/>
            <w:vAlign w:val="bottom"/>
            <w:tcBorders>
              <w:bottom w:val="single" w:sz="8" w:color="auto"/>
            </w:tcBorders>
            <w:shd w:val="clear" w:color="auto" w:fill="D5DCE4"/>
          </w:tcPr>
          <w:p>
            <w:pPr>
              <w:spacing w:after="0"/>
              <w:rPr>
                <w:sz w:val="20"/>
                <w:szCs w:val="20"/>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71,783,776</w:t>
            </w:r>
          </w:p>
        </w:tc>
        <w:tc>
          <w:tcPr>
            <w:tcW w:w="100" w:type="dxa"/>
            <w:vAlign w:val="bottom"/>
            <w:tcBorders>
              <w:right w:val="single" w:sz="8" w:color="D5DCE4"/>
            </w:tcBorders>
            <w:shd w:val="clear" w:color="auto" w:fill="D5DCE4"/>
          </w:tcPr>
          <w:p>
            <w:pPr>
              <w:spacing w:after="0"/>
              <w:rPr>
                <w:sz w:val="20"/>
                <w:szCs w:val="20"/>
                <w:color w:val="auto"/>
              </w:rPr>
            </w:pPr>
          </w:p>
        </w:tc>
        <w:tc>
          <w:tcPr>
            <w:tcW w:w="340" w:type="dxa"/>
            <w:vAlign w:val="bottom"/>
            <w:tcBorders>
              <w:bottom w:val="single" w:sz="8" w:color="auto"/>
            </w:tcBorders>
            <w:shd w:val="clear" w:color="auto" w:fill="D5DCE4"/>
          </w:tcPr>
          <w:p>
            <w:pPr>
              <w:spacing w:after="0"/>
              <w:rPr>
                <w:sz w:val="20"/>
                <w:szCs w:val="20"/>
                <w:color w:val="auto"/>
              </w:rPr>
            </w:pPr>
          </w:p>
        </w:tc>
        <w:tc>
          <w:tcPr>
            <w:tcW w:w="1040" w:type="dxa"/>
            <w:vAlign w:val="bottom"/>
            <w:tcBorders>
              <w:bottom w:val="single" w:sz="8" w:color="auto"/>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621,840</w:t>
            </w:r>
          </w:p>
        </w:tc>
        <w:tc>
          <w:tcPr>
            <w:tcW w:w="400" w:type="dxa"/>
            <w:vAlign w:val="bottom"/>
            <w:tcBorders>
              <w:bottom w:val="single" w:sz="8" w:color="auto"/>
            </w:tcBorders>
            <w:shd w:val="clear" w:color="auto" w:fill="D5DCE4"/>
          </w:tcPr>
          <w:p>
            <w:pPr>
              <w:spacing w:after="0"/>
              <w:rPr>
                <w:sz w:val="20"/>
                <w:szCs w:val="20"/>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39,173,808</w:t>
            </w:r>
          </w:p>
        </w:tc>
        <w:tc>
          <w:tcPr>
            <w:tcW w:w="120" w:type="dxa"/>
            <w:vAlign w:val="bottom"/>
            <w:tcBorders>
              <w:right w:val="single" w:sz="8" w:color="D5DCE4"/>
            </w:tcBorders>
            <w:shd w:val="clear" w:color="auto" w:fill="D5DCE4"/>
          </w:tcPr>
          <w:p>
            <w:pPr>
              <w:spacing w:after="0"/>
              <w:rPr>
                <w:sz w:val="20"/>
                <w:szCs w:val="20"/>
                <w:color w:val="auto"/>
              </w:rPr>
            </w:pP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67.54 %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940" w:type="dxa"/>
            <w:vAlign w:val="bottom"/>
            <w:tcBorders>
              <w:bottom w:val="single" w:sz="8" w:color="D5DCE4"/>
            </w:tcBorders>
          </w:tcPr>
          <w:p>
            <w:pPr>
              <w:spacing w:after="0"/>
              <w:rPr>
                <w:sz w:val="17"/>
                <w:szCs w:val="17"/>
                <w:color w:val="auto"/>
              </w:rPr>
            </w:pPr>
          </w:p>
        </w:tc>
        <w:tc>
          <w:tcPr>
            <w:tcW w:w="260" w:type="dxa"/>
            <w:vAlign w:val="bottom"/>
            <w:tcBorders>
              <w:bottom w:val="single" w:sz="8" w:color="D5DCE4"/>
            </w:tcBorders>
          </w:tcPr>
          <w:p>
            <w:pPr>
              <w:spacing w:after="0"/>
              <w:rPr>
                <w:sz w:val="17"/>
                <w:szCs w:val="17"/>
                <w:color w:val="auto"/>
              </w:rPr>
            </w:pPr>
          </w:p>
        </w:tc>
        <w:tc>
          <w:tcPr>
            <w:tcW w:w="2860" w:type="dxa"/>
            <w:vAlign w:val="bottom"/>
            <w:tcBorders>
              <w:bottom w:val="single" w:sz="8" w:color="D5DCE4"/>
            </w:tcBorders>
          </w:tcPr>
          <w:p>
            <w:pPr>
              <w:spacing w:after="0"/>
              <w:rPr>
                <w:sz w:val="17"/>
                <w:szCs w:val="17"/>
                <w:color w:val="auto"/>
              </w:rPr>
            </w:pPr>
          </w:p>
        </w:tc>
        <w:tc>
          <w:tcPr>
            <w:tcW w:w="100" w:type="dxa"/>
            <w:vAlign w:val="bottom"/>
            <w:tcBorders>
              <w:bottom w:val="single" w:sz="8" w:color="D5DCE4"/>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940" w:type="dxa"/>
            <w:vAlign w:val="bottom"/>
            <w:shd w:val="clear" w:color="auto" w:fill="D5DCE4"/>
          </w:tcPr>
          <w:p>
            <w:pPr>
              <w:spacing w:after="0"/>
              <w:rPr>
                <w:sz w:val="20"/>
                <w:szCs w:val="20"/>
                <w:color w:val="auto"/>
              </w:rPr>
            </w:pPr>
          </w:p>
        </w:tc>
        <w:tc>
          <w:tcPr>
            <w:tcW w:w="260" w:type="dxa"/>
            <w:vAlign w:val="bottom"/>
            <w:tcBorders>
              <w:right w:val="single" w:sz="8" w:color="D5DCE4"/>
            </w:tcBorders>
            <w:shd w:val="clear" w:color="auto" w:fill="D5DCE4"/>
          </w:tcPr>
          <w:p>
            <w:pPr>
              <w:spacing w:after="0"/>
              <w:rPr>
                <w:sz w:val="20"/>
                <w:szCs w:val="20"/>
                <w:color w:val="auto"/>
              </w:rPr>
            </w:pPr>
          </w:p>
        </w:tc>
        <w:tc>
          <w:tcPr>
            <w:tcW w:w="2860" w:type="dxa"/>
            <w:vAlign w:val="bottom"/>
            <w:tcBorders>
              <w:bottom w:val="single" w:sz="8" w:color="auto"/>
            </w:tcBorders>
            <w:shd w:val="clear" w:color="auto" w:fill="D5DCE4"/>
          </w:tcPr>
          <w:p>
            <w:pPr>
              <w:spacing w:after="0"/>
              <w:rPr>
                <w:sz w:val="20"/>
                <w:szCs w:val="20"/>
                <w:color w:val="auto"/>
              </w:rPr>
            </w:pPr>
          </w:p>
        </w:tc>
        <w:tc>
          <w:tcPr>
            <w:tcW w:w="100" w:type="dxa"/>
            <w:vAlign w:val="bottom"/>
            <w:tcBorders>
              <w:bottom w:val="single" w:sz="8" w:color="auto"/>
              <w:right w:val="single" w:sz="8" w:color="auto"/>
            </w:tcBorders>
            <w:shd w:val="clear" w:color="auto" w:fill="D5DCE4"/>
          </w:tcPr>
          <w:p>
            <w:pPr>
              <w:spacing w:after="0"/>
              <w:rPr>
                <w:sz w:val="20"/>
                <w:szCs w:val="20"/>
                <w:color w:val="auto"/>
              </w:rPr>
            </w:pPr>
          </w:p>
        </w:tc>
        <w:tc>
          <w:tcPr>
            <w:tcW w:w="1340" w:type="dxa"/>
            <w:vAlign w:val="bottom"/>
            <w:tcBorders>
              <w:bottom w:val="single" w:sz="8" w:color="auto"/>
              <w:right w:val="single" w:sz="8" w:color="auto"/>
            </w:tcBorders>
            <w:gridSpan w:val="2"/>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ADV (USD mm)</w:t>
            </w:r>
          </w:p>
        </w:tc>
        <w:tc>
          <w:tcPr>
            <w:tcW w:w="1540" w:type="dxa"/>
            <w:vAlign w:val="bottom"/>
            <w:tcBorders>
              <w:bottom w:val="single" w:sz="8" w:color="auto"/>
              <w:right w:val="single" w:sz="8" w:color="auto"/>
            </w:tcBorders>
            <w:gridSpan w:val="3"/>
            <w:shd w:val="clear" w:color="auto" w:fill="D5DCE4"/>
          </w:tcPr>
          <w:p>
            <w:pPr>
              <w:ind w:left="20"/>
              <w:spacing w:after="0"/>
              <w:rPr>
                <w:sz w:val="20"/>
                <w:szCs w:val="20"/>
                <w:color w:val="auto"/>
              </w:rPr>
            </w:pPr>
            <w:r>
              <w:rPr>
                <w:rFonts w:ascii="Arial" w:cs="Arial" w:eastAsia="Arial" w:hAnsi="Arial"/>
                <w:sz w:val="16"/>
                <w:szCs w:val="16"/>
                <w:b w:val="1"/>
                <w:bCs w:val="1"/>
                <w:color w:val="auto"/>
              </w:rPr>
              <w:t>Volume (USD mm)</w:t>
            </w:r>
          </w:p>
        </w:tc>
        <w:tc>
          <w:tcPr>
            <w:tcW w:w="1380" w:type="dxa"/>
            <w:vAlign w:val="bottom"/>
            <w:tcBorders>
              <w:bottom w:val="single" w:sz="8" w:color="auto"/>
              <w:right w:val="single" w:sz="8" w:color="auto"/>
            </w:tcBorders>
            <w:gridSpan w:val="2"/>
            <w:shd w:val="clear" w:color="auto" w:fill="D5DCE4"/>
          </w:tcPr>
          <w:p>
            <w:pPr>
              <w:ind w:left="100"/>
              <w:spacing w:after="0"/>
              <w:rPr>
                <w:sz w:val="20"/>
                <w:szCs w:val="20"/>
                <w:color w:val="auto"/>
              </w:rPr>
            </w:pPr>
            <w:r>
              <w:rPr>
                <w:rFonts w:ascii="Arial" w:cs="Arial" w:eastAsia="Arial" w:hAnsi="Arial"/>
                <w:sz w:val="16"/>
                <w:szCs w:val="16"/>
                <w:b w:val="1"/>
                <w:bCs w:val="1"/>
                <w:color w:val="auto"/>
              </w:rPr>
              <w:t>ADV (USD mm)</w:t>
            </w:r>
          </w:p>
        </w:tc>
        <w:tc>
          <w:tcPr>
            <w:tcW w:w="1540" w:type="dxa"/>
            <w:vAlign w:val="bottom"/>
            <w:tcBorders>
              <w:bottom w:val="single" w:sz="8" w:color="auto"/>
              <w:right w:val="single" w:sz="8" w:color="auto"/>
            </w:tcBorders>
            <w:gridSpan w:val="3"/>
            <w:shd w:val="clear" w:color="auto" w:fill="D5DCE4"/>
          </w:tcPr>
          <w:p>
            <w:pPr>
              <w:spacing w:after="0"/>
              <w:rPr>
                <w:sz w:val="20"/>
                <w:szCs w:val="20"/>
                <w:color w:val="auto"/>
              </w:rPr>
            </w:pPr>
            <w:r>
              <w:rPr>
                <w:rFonts w:ascii="Arial" w:cs="Arial" w:eastAsia="Arial" w:hAnsi="Arial"/>
                <w:sz w:val="16"/>
                <w:szCs w:val="16"/>
                <w:b w:val="1"/>
                <w:bCs w:val="1"/>
                <w:color w:val="auto"/>
              </w:rPr>
              <w:t>Volume (USD mm)</w:t>
            </w:r>
          </w:p>
        </w:tc>
        <w:tc>
          <w:tcPr>
            <w:tcW w:w="1220" w:type="dxa"/>
            <w:vAlign w:val="bottom"/>
            <w:tcBorders>
              <w:bottom w:val="single" w:sz="8" w:color="auto"/>
            </w:tcBorders>
            <w:shd w:val="clear" w:color="auto" w:fill="D5DCE4"/>
          </w:tcPr>
          <w:p>
            <w:pPr>
              <w:ind w:left="460"/>
              <w:spacing w:after="0"/>
              <w:rPr>
                <w:sz w:val="20"/>
                <w:szCs w:val="20"/>
                <w:color w:val="auto"/>
              </w:rPr>
            </w:pPr>
            <w:r>
              <w:rPr>
                <w:rFonts w:ascii="Arial" w:cs="Arial" w:eastAsia="Arial" w:hAnsi="Arial"/>
                <w:sz w:val="16"/>
                <w:szCs w:val="16"/>
                <w:b w:val="1"/>
                <w:bCs w:val="1"/>
                <w:color w:val="auto"/>
              </w:rPr>
              <w:t>YoY</w:t>
            </w: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29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2,550,022</w:t>
            </w: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165,321,162</w:t>
            </w:r>
          </w:p>
        </w:tc>
        <w:tc>
          <w:tcPr>
            <w:tcW w:w="100" w:type="dxa"/>
            <w:vAlign w:val="bottom"/>
            <w:tcBorders>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1,922,247</w:t>
            </w:r>
          </w:p>
        </w:tc>
        <w:tc>
          <w:tcPr>
            <w:tcW w:w="4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121,044,793</w:t>
            </w:r>
          </w:p>
        </w:tc>
        <w:tc>
          <w:tcPr>
            <w:tcW w:w="12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32.7 %</w:t>
            </w: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bl>
    <w:p>
      <w:pPr>
        <w:spacing w:after="0" w:line="365" w:lineRule="exact"/>
        <w:rPr>
          <w:sz w:val="20"/>
          <w:szCs w:val="20"/>
          <w:color w:val="auto"/>
        </w:rPr>
      </w:pPr>
    </w:p>
    <w:p>
      <w:pPr>
        <w:ind w:left="440" w:right="480" w:hanging="414"/>
        <w:spacing w:after="0" w:line="294" w:lineRule="auto"/>
        <w:tabs>
          <w:tab w:leader="none" w:pos="4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We acquired ICD on August 1, 2024. Total volume reported includes volumes from the acquired business subsequent to the closing date of the acquisition. For average daily volume derived from acquisitions, the denominator is the number of trading days within the reporting period that have elapsed from the acquisition date to the end date of the reporting period.</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To access historical traded volumes, go to </w:t>
      </w:r>
      <w:r>
        <w:rPr>
          <w:rFonts w:ascii="Arial" w:cs="Arial" w:eastAsia="Arial" w:hAnsi="Arial"/>
          <w:sz w:val="16"/>
          <w:szCs w:val="16"/>
          <w:u w:val="single" w:color="auto"/>
          <w:color w:val="0E32E1"/>
        </w:rPr>
        <w:t>https://www.tradeweb.com/newsroom/monthly-activity-reports/</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10</w:t>
      </w:r>
    </w:p>
    <w:p>
      <w:pPr>
        <w:sectPr>
          <w:pgSz w:w="11900" w:h="16838" w:orient="portrait"/>
          <w:cols w:equalWidth="0" w:num="1">
            <w:col w:w="11240"/>
          </w:cols>
          <w:pgMar w:left="320" w:top="773"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083566"/>
        </w:rPr>
        <w:t>BASIS OF PRESENTATION</w:t>
      </w:r>
    </w:p>
    <w:p>
      <w:pPr>
        <w:spacing w:after="0" w:line="113"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Tradeweb Markets Inc. (unless the context otherwise requires, together with its subsidiaries, referred to as “we,” “our,” “Tradeweb,” “Tradeweb Markets” or the “Company”) closed its IPO on April 8, 2019. As a result of certain reorganization transactions (the “Reorganization Transactions”) completed in connection with the IPO, on April 4, 2019, Tradeweb Markets Inc. became a holding company whose principal assets consist of its direct and indirect equity interest in Tradeweb Markets LLC (“TWM LLC”) and related deferred tax assets. As the sole manager of TWM LLC, Tradeweb Markets Inc. operates and controls all of the business and affairs of TWM LLC and, through TWM LLC and its subsidiaries, conducts its business. As a result of this control, and because Tradeweb Markets Inc. has a substantial financial interest in TWM LLC, Tradeweb Markets Inc. consolidates the financial results of TWM LLC and its subsidiaries.</w:t>
      </w:r>
    </w:p>
    <w:p>
      <w:pPr>
        <w:spacing w:after="0" w:line="201" w:lineRule="exact"/>
        <w:rPr>
          <w:sz w:val="20"/>
          <w:szCs w:val="20"/>
          <w:color w:val="auto"/>
        </w:rPr>
      </w:pPr>
    </w:p>
    <w:p>
      <w:pPr>
        <w:ind w:right="400"/>
        <w:spacing w:after="0" w:line="304" w:lineRule="auto"/>
        <w:rPr>
          <w:sz w:val="20"/>
          <w:szCs w:val="20"/>
          <w:color w:val="auto"/>
        </w:rPr>
      </w:pPr>
      <w:r>
        <w:rPr>
          <w:rFonts w:ascii="Arial" w:cs="Arial" w:eastAsia="Arial" w:hAnsi="Arial"/>
          <w:sz w:val="16"/>
          <w:szCs w:val="16"/>
          <w:color w:val="auto"/>
        </w:rPr>
        <w:t>Numerical figures included in this release have been subject to rounding adjustments and as a result totals may not be the arithmetic aggregation of the amounts that precede them and figures expressed as percentages may not total 100%.</w:t>
      </w:r>
    </w:p>
    <w:p>
      <w:pPr>
        <w:spacing w:after="0" w:line="14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Please refer to the Company's previously filed Quarterly Reports on Form 10-Q and Annual Report on Form 10-K for capitalized terms not otherwise defined herein.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UNAUDITED INTERIM RESULTS</w:t>
      </w:r>
    </w:p>
    <w:p>
      <w:pPr>
        <w:spacing w:after="0" w:line="221"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The interim financial results presented herein for the three and six months ended June 30, 2025 and 2024 are unaudited. Operating results for interim periods are not necessarily indicative of the results that may be expected for the full year.</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FORWARD-LOOKING STATEMENTS</w:t>
      </w:r>
    </w:p>
    <w:p>
      <w:pPr>
        <w:spacing w:after="0" w:line="221"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This release contains forward-looking statements within the meaning of the federal securities laws. Statements related to, among other things, our guidance, including full-year 2025 guidance and full-year 2025 revenue guidance related to the LSEG market data license agreement, pending and completed acquisitions, partnerships and collaborations, future performance, the industry and markets in which we operate, our expectations, beliefs, plans, strategies, objectives, prospects and assumptions and future events are forward-looking statements.</w:t>
      </w:r>
    </w:p>
    <w:p>
      <w:pPr>
        <w:spacing w:after="0" w:line="186"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under the heading “Risk Factors” in the documents of Tradeweb Markets Inc. on file with or furnished to the SEC, may cause our actual results, performance or achievements to differ materially from those expressed or implied by these forward-looking statements. Given these risks and uncertainties, you are cautioned not to place undue reliance on such forward-looking statements. The forward-looking statements contained in this release are not guarantees of future events or performance and future events, our actual results of operations, financial condition or liquidity, and the development of the industry and markets in which we operate, may differ materially from the forward-looking statements contained in this release. In addition, even if future events, our results of operations, financial condition, or liquidity, and events in the industry and markets in which we operate, are consistent with the forward-looking statements contained in this release, they may not be predictive of events, results or developments in future periods. Any forward-looking statement that we make in this release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release.</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NON-GAAP FINANCIAL MEASURES</w:t>
      </w:r>
    </w:p>
    <w:p>
      <w:pPr>
        <w:spacing w:after="0" w:line="221"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This release contains “non-GAAP financial measures,” including Adjusted EBITDA, Adjusted EBITDA margin, Adjusted EBIT, Adjusted EBIT margin, Adjusted Net Income, Adjusted Net Income per diluted share ("Adjusted Diluted EPS"), Adjusted Expenses, Free Cash Flow and constant currency change, which are supplemental financial measures that are not calculated and presented in accordance with GAAP. We make use of non-GAAP financial measures in evaluating our past results and future prospects. We present these non-GAAP financial measures because we believe they assist investors and analysts in comparing our operating performance across reporting periods on a consistent basis by excluding items that we do not believe are indicative of our core operating performance.</w:t>
      </w:r>
    </w:p>
    <w:p>
      <w:pPr>
        <w:spacing w:after="0" w:line="176"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w:t>
      </w:r>
    </w:p>
    <w:p>
      <w:pPr>
        <w:spacing w:after="0" w:line="186" w:lineRule="exact"/>
        <w:rPr>
          <w:sz w:val="20"/>
          <w:szCs w:val="20"/>
          <w:color w:val="auto"/>
        </w:rPr>
      </w:pPr>
    </w:p>
    <w:p>
      <w:pPr>
        <w:ind w:right="360"/>
        <w:spacing w:after="0" w:line="265" w:lineRule="auto"/>
        <w:rPr>
          <w:sz w:val="20"/>
          <w:szCs w:val="20"/>
          <w:color w:val="auto"/>
        </w:rPr>
      </w:pPr>
      <w:r>
        <w:rPr>
          <w:rFonts w:ascii="Arial" w:cs="Arial" w:eastAsia="Arial" w:hAnsi="Arial"/>
          <w:sz w:val="16"/>
          <w:szCs w:val="16"/>
          <w:color w:val="auto"/>
        </w:rPr>
        <w:t>We use Adjusted Net Income and Adjusted Diluted EPS as supplemental metrics to evaluate our business performance in a way that also considers our ability to generate profit without the impact of certain items. Each of the normal recurring adjustments and other adjustments included in Adjusted Net Income and Adjusted Diluted EPS help to provide management with a measure of our operating performance over time by removing items that are not related to day-to-day operations or are non-cash expenses.</w:t>
      </w:r>
    </w:p>
    <w:p>
      <w:pPr>
        <w:spacing w:after="0" w:line="173"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We use Adjusted Expenses as a supplemental metric to evaluate our underlying operating performance over time by removing items that are not related to day-to-day operations or are non-cash expenses.</w:t>
      </w:r>
    </w:p>
    <w:p>
      <w:pPr>
        <w:sectPr>
          <w:pgSz w:w="11900" w:h="16838" w:orient="portrait"/>
          <w:cols w:equalWidth="0" w:num="1">
            <w:col w:w="11240"/>
          </w:cols>
          <w:pgMar w:left="320" w:top="989" w:right="339" w:bottom="1440" w:gutter="0" w:footer="0" w:header="0"/>
        </w:sectPr>
      </w:pPr>
    </w:p>
    <w:p>
      <w:pPr>
        <w:spacing w:after="0" w:line="218" w:lineRule="exact"/>
        <w:rPr>
          <w:sz w:val="20"/>
          <w:szCs w:val="20"/>
          <w:color w:val="auto"/>
        </w:rPr>
      </w:pPr>
    </w:p>
    <w:p>
      <w:pPr>
        <w:ind w:left="10480"/>
        <w:spacing w:after="0"/>
        <w:rPr>
          <w:sz w:val="20"/>
          <w:szCs w:val="20"/>
          <w:color w:val="auto"/>
        </w:rPr>
      </w:pPr>
      <w:r>
        <w:rPr>
          <w:rFonts w:ascii="Arial" w:cs="Arial" w:eastAsia="Arial" w:hAnsi="Arial"/>
          <w:sz w:val="17"/>
          <w:szCs w:val="17"/>
          <w:color w:val="auto"/>
        </w:rPr>
        <w:t>Page | 11</w:t>
      </w:r>
    </w:p>
    <w:p>
      <w:pPr>
        <w:sectPr>
          <w:pgSz w:w="11900" w:h="16838" w:orient="portrait"/>
          <w:cols w:equalWidth="0" w:num="1">
            <w:col w:w="11240"/>
          </w:cols>
          <w:pgMar w:left="320" w:top="989" w:right="339" w:bottom="1440" w:gutter="0" w:footer="0" w:header="0"/>
          <w:type w:val="continuous"/>
        </w:sectPr>
      </w:pPr>
    </w:p>
    <w:bookmarkStart w:id="14" w:name="page15"/>
    <w:bookmarkEnd w:id="14"/>
    <w:p>
      <w:pPr>
        <w:ind w:right="160"/>
        <w:spacing w:after="0" w:line="286" w:lineRule="auto"/>
        <w:rPr>
          <w:sz w:val="20"/>
          <w:szCs w:val="20"/>
          <w:color w:val="auto"/>
        </w:rPr>
      </w:pPr>
      <w:r>
        <w:rPr>
          <w:rFonts w:ascii="Arial" w:cs="Arial" w:eastAsia="Arial" w:hAnsi="Arial"/>
          <w:sz w:val="16"/>
          <w:szCs w:val="16"/>
          <w:color w:val="auto"/>
        </w:rPr>
        <w:t>We use Free Cash Flow to assess our liquidity in a way that considers the amount of cash generated from our core operations after non-acquisition related expenditures for capitalized software development costs and furniture, equipment and leasehold improvements.</w:t>
      </w:r>
    </w:p>
    <w:p>
      <w:pPr>
        <w:spacing w:after="0" w:line="169"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We present certain changes on a “constant currency” basis. Since our consolidated financial statements are presented in U.S. dollars, we must translate non-U.S. dollar revenues and expenses into U.S. dollars. Constant currency change, which is a non-GAAP financial measure, is defined as change excluding the effects of foreign currency fluctuations. Constant currency information is calculated by translating the current period and prior period’s results using the annual average exchange rates for the prior period. We use constant currency change as a supplemental metric to evaluate our underlying performance between periods by removing the impact of foreign currency fluctuations. We present certain constant currency change information because we believe it provides investors and analysts a useful comparison of our results and trends between periods. This information should be considered in addition to, not as a substitute for, results reported in accordance with GAAP.</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See the attached schedules for reconciliations of the non-GAAP financial measures contained in this release to their most comparable GAAP financial measure. Non-GAAP financial measures have limitations as analytical tools, and you should not consider these non-GAAP financial measures in isolation or as alternatives to net income attributable to Tradeweb Markets Inc., net income, net income margin, earnings per share, operating income, operating expenses, cash flow from operating activities or any other financial measure prepared or derived in accordance with GAAP. You are encouraged to evaluate each adjustment included in the reconciliations. In addition, in evaluating Adjusted EBITDA, Adjusted EBITDA margin, Adjusted EBIT, Adjusted EBIT margin, Adjusted EBT, Adjusted Net Income, Adjusted Diluted EPS, Adjusted Expenses and Free Cash Flow, you should be aware that in the future, we may incur expenses similar to the adjustments in the presentation of these non-GAAP financial measures.</w:t>
      </w:r>
    </w:p>
    <w:p>
      <w:pPr>
        <w:spacing w:after="0" w:line="176"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Our presentation of non-GAAP financial measures should not be construed as an inference that our future results will be unaffected by unusual or non-recurring items. In addition, the non-GAAP financial measures contained in this release may not be comparable to similarly titled measures used by other companies in our industry or across different industries.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MARKET AND INDUSTRY DATA</w:t>
      </w:r>
    </w:p>
    <w:p>
      <w:pPr>
        <w:spacing w:after="0" w:line="235"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This release includes estimates regarding market and industry data that we prepared based on our management’s knowledge and experience in the markets in which we operate, together with information obtained from various sources, including publicly available information, industry reports and publications, surveys, our clients, trade and business organizations and other contacts in the markets in which we operate. In presenting this information, we have made certain assumptions that we believe to be reasonable based on such data and other similar sources and on our knowledge of, and our experience to date in, the markets in which we operate. While such information is believed to be reliable for the purposes used herein, no representations are made as to the accuracy or completeness thereof and we take no responsibility for such information.</w:t>
      </w: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TRADEWEB SOCIAL MEDIA</w:t>
      </w:r>
    </w:p>
    <w:p>
      <w:pPr>
        <w:spacing w:after="0" w:line="235"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Investors and others should note that Tradeweb announces material financial and operational information using its investor relations website, press releases, SEC filings and public conference calls and webcasts. Information about Tradeweb, its business and its results of operations may also be announced by posts on the Company’s accounts on the following social media channels: Instagram, LinkedIn and X. The information that we post through these social media channels may be deemed material. As a result, we encourage investors, the media, and others interested in Tradeweb to monitor these social media channels in addition to following our investor relations website, press releases, SEC filings and public conference calls and webcasts. These social media channels may be updated from time to time on our investor relations website.</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 #</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12</w:t>
      </w:r>
    </w:p>
    <w:sectPr>
      <w:pgSz w:w="11900" w:h="16838" w:orient="portrait"/>
      <w:cols w:equalWidth="0" w:num="1">
        <w:col w:w="11240"/>
      </w:cols>
      <w:pgMar w:left="320" w:top="9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2"/>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2025-07-30T06:08:27Z</dcterms:created>
  <dcterms:modified xsi:type="dcterms:W3CDTF">2025-07-30T06:08:27Z</dcterms:modified>
</cp:coreProperties>
</file>